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4991F">
      <w:pPr>
        <w:ind w:firstLine="3654" w:firstLineChars="1300"/>
        <w:rPr>
          <w:rFonts w:ascii="宋体" w:hAnsi="宋体"/>
          <w:color w:val="FF0000"/>
          <w:szCs w:val="21"/>
        </w:rPr>
      </w:pPr>
      <w:r>
        <w:rPr>
          <w:rFonts w:hint="eastAsia" w:ascii="宋体" w:hAnsi="宋体" w:eastAsia="黑体"/>
          <w:b/>
          <w:bCs/>
          <w:color w:val="FF0000"/>
          <w:kern w:val="44"/>
          <w:sz w:val="28"/>
          <w:szCs w:val="44"/>
        </w:rPr>
        <w:t>特别警示条款</w:t>
      </w:r>
    </w:p>
    <w:p w14:paraId="474B0C5D">
      <w:pPr>
        <w:pBdr>
          <w:top w:val="none" w:color="auto" w:sz="0" w:space="0"/>
          <w:left w:val="none" w:color="auto" w:sz="0" w:space="0"/>
          <w:bottom w:val="none" w:color="auto" w:sz="0" w:space="0"/>
          <w:right w:val="none" w:color="auto" w:sz="0" w:space="0"/>
        </w:pBdr>
        <w:spacing w:after="240" w:afterLines="100" w:line="400" w:lineRule="exact"/>
        <w:ind w:firstLine="422" w:firstLineChars="200"/>
        <w:rPr>
          <w:rFonts w:ascii="宋体" w:hAnsi="宋体" w:cs="宋体"/>
          <w:b/>
          <w:bCs/>
          <w:color w:val="FF0000"/>
          <w:szCs w:val="21"/>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2512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75229628">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序号</w:t>
            </w:r>
          </w:p>
        </w:tc>
        <w:tc>
          <w:tcPr>
            <w:tcW w:w="7711" w:type="dxa"/>
            <w:tcBorders>
              <w:tl2br w:val="nil"/>
              <w:tr2bl w:val="nil"/>
            </w:tcBorders>
            <w:vAlign w:val="center"/>
          </w:tcPr>
          <w:p w14:paraId="5E16A448">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b/>
                <w:bCs/>
                <w:color w:val="FF0000"/>
                <w:szCs w:val="21"/>
              </w:rPr>
              <w:t>供应商参与投标禁止情形</w:t>
            </w:r>
          </w:p>
        </w:tc>
      </w:tr>
      <w:tr w14:paraId="5BB0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7341FAF7">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1</w:t>
            </w:r>
          </w:p>
        </w:tc>
        <w:tc>
          <w:tcPr>
            <w:tcW w:w="7711" w:type="dxa"/>
            <w:tcBorders>
              <w:tl2br w:val="nil"/>
              <w:tr2bl w:val="nil"/>
            </w:tcBorders>
            <w:vAlign w:val="center"/>
          </w:tcPr>
          <w:p w14:paraId="4C73A1C5">
            <w:pPr>
              <w:pBdr>
                <w:top w:val="none" w:color="auto" w:sz="0" w:space="0"/>
                <w:left w:val="none" w:color="auto" w:sz="0" w:space="0"/>
                <w:bottom w:val="none" w:color="auto" w:sz="0" w:space="0"/>
                <w:right w:val="none" w:color="auto" w:sz="0" w:space="0"/>
              </w:pBdr>
              <w:spacing w:line="400" w:lineRule="exact"/>
              <w:jc w:val="left"/>
              <w:rPr>
                <w:rFonts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0BD7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1C36F342">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2</w:t>
            </w:r>
          </w:p>
        </w:tc>
        <w:tc>
          <w:tcPr>
            <w:tcW w:w="7711" w:type="dxa"/>
            <w:tcBorders>
              <w:tl2br w:val="nil"/>
              <w:tr2bl w:val="nil"/>
            </w:tcBorders>
            <w:vAlign w:val="center"/>
          </w:tcPr>
          <w:p w14:paraId="50934D10">
            <w:pPr>
              <w:pBdr>
                <w:top w:val="none" w:color="auto" w:sz="0" w:space="0"/>
                <w:left w:val="none" w:color="auto" w:sz="0" w:space="0"/>
                <w:bottom w:val="none" w:color="auto" w:sz="0" w:space="0"/>
                <w:right w:val="none" w:color="auto" w:sz="0" w:space="0"/>
              </w:pBdr>
              <w:spacing w:line="400" w:lineRule="exact"/>
              <w:jc w:val="left"/>
              <w:rPr>
                <w:rFonts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5155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250E34E1">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3</w:t>
            </w:r>
          </w:p>
        </w:tc>
        <w:tc>
          <w:tcPr>
            <w:tcW w:w="7711" w:type="dxa"/>
            <w:tcBorders>
              <w:tl2br w:val="nil"/>
              <w:tr2bl w:val="nil"/>
            </w:tcBorders>
            <w:vAlign w:val="center"/>
          </w:tcPr>
          <w:p w14:paraId="36DE7ECC">
            <w:pPr>
              <w:pBdr>
                <w:top w:val="none" w:color="auto" w:sz="0" w:space="0"/>
                <w:left w:val="none" w:color="auto" w:sz="0" w:space="0"/>
                <w:bottom w:val="none" w:color="auto" w:sz="0" w:space="0"/>
                <w:right w:val="none" w:color="auto" w:sz="0" w:space="0"/>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0CB8C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52387AFB">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4</w:t>
            </w:r>
          </w:p>
        </w:tc>
        <w:tc>
          <w:tcPr>
            <w:tcW w:w="7711" w:type="dxa"/>
            <w:tcBorders>
              <w:tl2br w:val="nil"/>
              <w:tr2bl w:val="nil"/>
            </w:tcBorders>
            <w:vAlign w:val="center"/>
          </w:tcPr>
          <w:p w14:paraId="7981D933">
            <w:pPr>
              <w:pBdr>
                <w:top w:val="none" w:color="auto" w:sz="0" w:space="0"/>
                <w:left w:val="none" w:color="auto" w:sz="0" w:space="0"/>
                <w:bottom w:val="none" w:color="auto" w:sz="0" w:space="0"/>
                <w:right w:val="none" w:color="auto" w:sz="0" w:space="0"/>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4FDD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05582180">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5</w:t>
            </w:r>
          </w:p>
        </w:tc>
        <w:tc>
          <w:tcPr>
            <w:tcW w:w="7711" w:type="dxa"/>
            <w:tcBorders>
              <w:tl2br w:val="nil"/>
              <w:tr2bl w:val="nil"/>
            </w:tcBorders>
            <w:vAlign w:val="center"/>
          </w:tcPr>
          <w:p w14:paraId="3365B2C6">
            <w:pPr>
              <w:pBdr>
                <w:top w:val="none" w:color="auto" w:sz="0" w:space="0"/>
                <w:left w:val="none" w:color="auto" w:sz="0" w:space="0"/>
                <w:bottom w:val="none" w:color="auto" w:sz="0" w:space="0"/>
                <w:right w:val="none" w:color="auto" w:sz="0" w:space="0"/>
              </w:pBdr>
              <w:spacing w:line="400" w:lineRule="exact"/>
              <w:jc w:val="left"/>
              <w:rPr>
                <w:rFonts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4527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73D47ECC">
            <w:pPr>
              <w:pBdr>
                <w:top w:val="none" w:color="auto" w:sz="0" w:space="0"/>
                <w:left w:val="none" w:color="auto" w:sz="0" w:space="0"/>
                <w:bottom w:val="none" w:color="auto" w:sz="0" w:space="0"/>
                <w:right w:val="none" w:color="auto" w:sz="0" w:space="0"/>
              </w:pBdr>
              <w:spacing w:line="400" w:lineRule="exact"/>
              <w:jc w:val="center"/>
              <w:rPr>
                <w:rFonts w:ascii="宋体" w:hAnsi="宋体" w:cs="宋体"/>
                <w:color w:val="FF0000"/>
                <w:szCs w:val="21"/>
              </w:rPr>
            </w:pPr>
            <w:r>
              <w:rPr>
                <w:rFonts w:hint="eastAsia" w:ascii="宋体" w:hAnsi="宋体" w:cs="宋体"/>
                <w:color w:val="FF0000"/>
                <w:szCs w:val="21"/>
              </w:rPr>
              <w:t>6</w:t>
            </w:r>
          </w:p>
        </w:tc>
        <w:tc>
          <w:tcPr>
            <w:tcW w:w="7711" w:type="dxa"/>
            <w:tcBorders>
              <w:tl2br w:val="nil"/>
              <w:tr2bl w:val="nil"/>
            </w:tcBorders>
            <w:vAlign w:val="center"/>
          </w:tcPr>
          <w:p w14:paraId="066C4DDD">
            <w:pPr>
              <w:pBdr>
                <w:top w:val="none" w:color="auto" w:sz="0" w:space="0"/>
                <w:left w:val="none" w:color="auto" w:sz="0" w:space="0"/>
                <w:bottom w:val="none" w:color="auto" w:sz="0" w:space="0"/>
                <w:right w:val="none" w:color="auto" w:sz="0" w:space="0"/>
              </w:pBdr>
              <w:spacing w:line="400" w:lineRule="exact"/>
              <w:jc w:val="left"/>
              <w:rPr>
                <w:rFonts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18B1DF7A">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p>
    <w:p w14:paraId="56F73BE4">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6AD405BE">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7E01E4EA">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223BE6C6">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0B78979F">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74D8497E">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24378A83">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567C5FC7">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5F7CAF77">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4E06FAB5">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1C7F25FE">
      <w:pPr>
        <w:pBdr>
          <w:top w:val="none" w:color="auto" w:sz="0" w:space="0"/>
          <w:left w:val="none" w:color="auto" w:sz="0" w:space="0"/>
          <w:bottom w:val="none" w:color="auto" w:sz="0" w:space="0"/>
          <w:right w:val="none" w:color="auto" w:sz="0" w:space="0"/>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35D32839">
      <w:pPr>
        <w:pBdr>
          <w:top w:val="none" w:color="auto" w:sz="0" w:space="0"/>
          <w:left w:val="none" w:color="auto" w:sz="0" w:space="0"/>
          <w:bottom w:val="none" w:color="auto" w:sz="0" w:space="0"/>
          <w:right w:val="none" w:color="auto" w:sz="0" w:space="0"/>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57363CAD">
      <w:pPr>
        <w:pBdr>
          <w:top w:val="none" w:color="auto" w:sz="0" w:space="0"/>
          <w:left w:val="none" w:color="auto" w:sz="0" w:space="0"/>
          <w:bottom w:val="none" w:color="auto" w:sz="0" w:space="0"/>
          <w:right w:val="none" w:color="auto" w:sz="0" w:space="0"/>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00953FF8">
      <w:pPr>
        <w:pBdr>
          <w:top w:val="none" w:color="auto" w:sz="0" w:space="0"/>
          <w:left w:val="none" w:color="auto" w:sz="0" w:space="0"/>
          <w:bottom w:val="none" w:color="auto" w:sz="0" w:space="0"/>
          <w:right w:val="none" w:color="auto" w:sz="0" w:space="0"/>
        </w:pBdr>
        <w:ind w:firstLine="400" w:firstLineChars="200"/>
        <w:rPr>
          <w:bCs/>
          <w:color w:val="FF0000"/>
          <w:sz w:val="20"/>
          <w:szCs w:val="20"/>
        </w:rPr>
      </w:pPr>
      <w:r>
        <w:rPr>
          <w:rFonts w:hint="eastAsia"/>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10B049A6">
      <w:pPr>
        <w:pBdr>
          <w:top w:val="none" w:color="auto" w:sz="0" w:space="0"/>
          <w:left w:val="none" w:color="auto" w:sz="0" w:space="0"/>
          <w:bottom w:val="none" w:color="auto" w:sz="0" w:space="0"/>
          <w:right w:val="none" w:color="auto" w:sz="0" w:space="0"/>
        </w:pBdr>
        <w:ind w:firstLine="400" w:firstLineChars="200"/>
        <w:rPr>
          <w:bCs/>
          <w:color w:val="FF0000"/>
          <w:sz w:val="20"/>
          <w:szCs w:val="20"/>
        </w:rPr>
      </w:pPr>
      <w:r>
        <w:rPr>
          <w:rFonts w:hint="eastAsia"/>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6FD4A079">
      <w:pPr>
        <w:pBdr>
          <w:top w:val="none" w:color="auto" w:sz="0" w:space="0"/>
          <w:left w:val="none" w:color="auto" w:sz="0" w:space="0"/>
          <w:bottom w:val="none" w:color="auto" w:sz="0" w:space="0"/>
          <w:right w:val="none" w:color="auto" w:sz="0" w:space="0"/>
        </w:pBdr>
        <w:ind w:firstLine="400" w:firstLineChars="2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rPr>
        <w:t>、</w:t>
      </w:r>
      <w:r>
        <w:rPr>
          <w:rFonts w:hint="eastAsia" w:ascii="宋体" w:hAnsi="宋体"/>
          <w:color w:val="FF0000"/>
          <w:sz w:val="20"/>
          <w:szCs w:val="20"/>
        </w:rPr>
        <w:t>依法吊销其营业</w:t>
      </w:r>
      <w:r>
        <w:rPr>
          <w:rFonts w:hint="eastAsia" w:hAnsi="宋体"/>
          <w:color w:val="FF0000"/>
          <w:sz w:val="20"/>
          <w:szCs w:val="20"/>
        </w:rPr>
        <w:t>执照等行政处罚，</w:t>
      </w:r>
      <w:r>
        <w:rPr>
          <w:rFonts w:hint="eastAsia" w:ascii="宋体" w:hAnsi="宋体"/>
          <w:color w:val="FF0000"/>
          <w:sz w:val="20"/>
          <w:szCs w:val="20"/>
        </w:rPr>
        <w:t>构成犯罪的，依法追究刑事责任</w:t>
      </w:r>
      <w:r>
        <w:rPr>
          <w:rFonts w:hint="eastAsia"/>
          <w:bCs/>
          <w:color w:val="FF0000"/>
          <w:sz w:val="20"/>
          <w:szCs w:val="20"/>
        </w:rPr>
        <w:t>，请各供应商独立编制、上传投标文件，妥善保管和使用电子</w:t>
      </w:r>
      <w:r>
        <w:rPr>
          <w:rFonts w:hint="eastAsia" w:ascii="Times New Roman" w:eastAsia="宋体"/>
          <w:b w:val="0"/>
          <w:bCs/>
          <w:color w:val="FF0000"/>
          <w:sz w:val="20"/>
          <w:szCs w:val="20"/>
          <w:lang w:val="en-US" w:eastAsia="zh-CN"/>
        </w:rPr>
        <w:t>密</w:t>
      </w:r>
      <w:r>
        <w:rPr>
          <w:rFonts w:hint="eastAsia"/>
          <w:bCs/>
          <w:color w:val="FF0000"/>
          <w:sz w:val="20"/>
          <w:szCs w:val="20"/>
        </w:rPr>
        <w:t>钥。</w:t>
      </w:r>
    </w:p>
    <w:p w14:paraId="32C62B81">
      <w:pPr>
        <w:pStyle w:val="18"/>
      </w:pPr>
    </w:p>
    <w:p w14:paraId="4A4CD254">
      <w:pPr>
        <w:pBdr>
          <w:top w:val="none" w:color="auto" w:sz="0" w:space="0"/>
          <w:left w:val="none" w:color="auto" w:sz="0" w:space="0"/>
          <w:bottom w:val="none" w:color="auto" w:sz="0" w:space="0"/>
          <w:right w:val="none" w:color="auto" w:sz="0" w:space="0"/>
        </w:pBdr>
        <w:ind w:firstLine="422" w:firstLineChars="200"/>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11BE4C1B">
      <w:pPr>
        <w:pStyle w:val="18"/>
        <w:numPr>
          <w:ilvl w:val="255"/>
          <w:numId w:val="0"/>
        </w:numPr>
      </w:pPr>
    </w:p>
    <w:p w14:paraId="07115958">
      <w:pPr>
        <w:pBdr>
          <w:top w:val="none" w:color="auto" w:sz="0" w:space="0"/>
          <w:left w:val="none" w:color="auto" w:sz="0" w:space="0"/>
          <w:bottom w:val="none" w:color="auto" w:sz="0" w:space="0"/>
          <w:right w:val="none" w:color="auto" w:sz="0" w:space="0"/>
        </w:pBdr>
        <w:ind w:firstLine="422" w:firstLineChars="200"/>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1479C613">
      <w:pPr>
        <w:pStyle w:val="59"/>
        <w:pBdr>
          <w:top w:val="none" w:color="auto" w:sz="0" w:space="0"/>
          <w:left w:val="none" w:color="auto" w:sz="0" w:space="0"/>
          <w:bottom w:val="none" w:color="auto" w:sz="0" w:space="0"/>
          <w:right w:val="none" w:color="auto" w:sz="0" w:space="0"/>
        </w:pBdr>
        <w:rPr>
          <w:bCs/>
          <w:color w:val="FF0000"/>
          <w:sz w:val="20"/>
          <w:szCs w:val="20"/>
        </w:rPr>
      </w:pPr>
    </w:p>
    <w:p w14:paraId="5D7022B3">
      <w:pPr>
        <w:widowControl/>
        <w:pBdr>
          <w:top w:val="none" w:color="auto" w:sz="0" w:space="0"/>
          <w:left w:val="none" w:color="auto" w:sz="0" w:space="0"/>
          <w:bottom w:val="none" w:color="auto" w:sz="0" w:space="0"/>
          <w:right w:val="none" w:color="auto" w:sz="0" w:space="0"/>
        </w:pBdr>
        <w:spacing w:beforeAutospacing="1" w:afterAutospacing="1"/>
        <w:outlineLvl w:val="1"/>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02F58EF3">
      <w:pPr>
        <w:widowControl/>
        <w:spacing w:beforeAutospacing="1" w:afterAutospacing="1"/>
        <w:jc w:val="center"/>
        <w:outlineLvl w:val="1"/>
        <w:rPr>
          <w:rFonts w:ascii="黑体" w:hAnsi="宋体" w:eastAsia="黑体" w:cs="黑体"/>
          <w:kern w:val="0"/>
          <w:sz w:val="40"/>
          <w:szCs w:val="40"/>
        </w:rPr>
        <w:sectPr>
          <w:headerReference r:id="rId3"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58D778AA">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8381" w:type="dxa"/>
        <w:jc w:val="center"/>
        <w:tblCellSpacing w:w="0" w:type="dxa"/>
        <w:tblLayout w:type="fixed"/>
        <w:tblCellMar>
          <w:top w:w="45" w:type="dxa"/>
          <w:left w:w="45" w:type="dxa"/>
          <w:bottom w:w="45" w:type="dxa"/>
          <w:right w:w="45" w:type="dxa"/>
        </w:tblCellMar>
      </w:tblPr>
      <w:tblGrid>
        <w:gridCol w:w="2723"/>
        <w:gridCol w:w="5658"/>
      </w:tblGrid>
      <w:tr w14:paraId="0D6BEFD8">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6FB545DC">
            <w:pPr>
              <w:widowControl/>
              <w:jc w:val="right"/>
              <w:rPr>
                <w:sz w:val="30"/>
                <w:szCs w:val="30"/>
                <w:highlight w:val="none"/>
              </w:rPr>
            </w:pPr>
            <w:r>
              <w:rPr>
                <w:rFonts w:ascii="宋体" w:hAnsi="宋体" w:cs="宋体"/>
                <w:kern w:val="0"/>
                <w:sz w:val="30"/>
                <w:szCs w:val="30"/>
                <w:highlight w:val="none"/>
              </w:rPr>
              <w:t>项目编号：</w:t>
            </w:r>
          </w:p>
        </w:tc>
        <w:tc>
          <w:tcPr>
            <w:tcW w:w="5658" w:type="dxa"/>
            <w:shd w:val="clear" w:color="auto" w:fill="auto"/>
            <w:vAlign w:val="center"/>
          </w:tcPr>
          <w:p w14:paraId="23AA9550">
            <w:pPr>
              <w:widowControl/>
              <w:jc w:val="left"/>
              <w:rPr>
                <w:sz w:val="30"/>
                <w:szCs w:val="30"/>
                <w:highlight w:val="none"/>
              </w:rPr>
            </w:pPr>
          </w:p>
        </w:tc>
      </w:tr>
      <w:tr w14:paraId="3105D740">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3A970BD">
            <w:pPr>
              <w:widowControl/>
              <w:jc w:val="right"/>
              <w:rPr>
                <w:sz w:val="30"/>
                <w:szCs w:val="30"/>
                <w:highlight w:val="none"/>
              </w:rPr>
            </w:pPr>
            <w:r>
              <w:rPr>
                <w:rFonts w:ascii="宋体" w:hAnsi="宋体" w:cs="宋体"/>
                <w:kern w:val="0"/>
                <w:sz w:val="30"/>
                <w:szCs w:val="30"/>
                <w:highlight w:val="none"/>
              </w:rPr>
              <w:t>项目名称：</w:t>
            </w:r>
          </w:p>
        </w:tc>
        <w:tc>
          <w:tcPr>
            <w:tcW w:w="5658" w:type="dxa"/>
            <w:shd w:val="clear" w:color="auto" w:fill="auto"/>
            <w:vAlign w:val="center"/>
          </w:tcPr>
          <w:p w14:paraId="66C60962">
            <w:pPr>
              <w:widowControl/>
              <w:jc w:val="left"/>
              <w:rPr>
                <w:rFonts w:hint="eastAsia" w:eastAsia="宋体"/>
                <w:sz w:val="30"/>
                <w:szCs w:val="30"/>
                <w:highlight w:val="none"/>
                <w:lang w:eastAsia="zh-CN"/>
              </w:rPr>
            </w:pPr>
            <w:r>
              <w:rPr>
                <w:rFonts w:hint="eastAsia"/>
                <w:sz w:val="30"/>
                <w:szCs w:val="30"/>
                <w:highlight w:val="none"/>
                <w:lang w:eastAsia="zh-CN"/>
              </w:rPr>
              <w:t>深圳</w:t>
            </w:r>
            <w:r>
              <w:rPr>
                <w:rFonts w:hint="eastAsia"/>
                <w:sz w:val="30"/>
                <w:szCs w:val="30"/>
                <w:highlight w:val="none"/>
                <w:lang w:val="en-US" w:eastAsia="zh-CN"/>
              </w:rPr>
              <w:t>市</w:t>
            </w:r>
            <w:r>
              <w:rPr>
                <w:rFonts w:hint="eastAsia"/>
                <w:sz w:val="30"/>
                <w:szCs w:val="30"/>
                <w:highlight w:val="none"/>
                <w:lang w:eastAsia="zh-CN"/>
              </w:rPr>
              <w:t>第七高级中学食堂主副食配送服务</w:t>
            </w:r>
          </w:p>
        </w:tc>
      </w:tr>
      <w:tr w14:paraId="27A8D89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8A4D608">
            <w:pPr>
              <w:widowControl/>
              <w:jc w:val="right"/>
              <w:rPr>
                <w:sz w:val="30"/>
                <w:szCs w:val="30"/>
              </w:rPr>
            </w:pPr>
            <w:r>
              <w:rPr>
                <w:rFonts w:ascii="宋体" w:hAnsi="宋体" w:cs="宋体"/>
                <w:kern w:val="0"/>
                <w:sz w:val="30"/>
                <w:szCs w:val="30"/>
              </w:rPr>
              <w:t>包 号：</w:t>
            </w:r>
          </w:p>
        </w:tc>
        <w:tc>
          <w:tcPr>
            <w:tcW w:w="5658" w:type="dxa"/>
            <w:shd w:val="clear" w:color="auto" w:fill="auto"/>
            <w:vAlign w:val="center"/>
          </w:tcPr>
          <w:p w14:paraId="2F6D1725">
            <w:pPr>
              <w:widowControl/>
              <w:jc w:val="left"/>
              <w:rPr>
                <w:sz w:val="30"/>
                <w:szCs w:val="30"/>
              </w:rPr>
            </w:pPr>
            <w:r>
              <w:rPr>
                <w:rFonts w:ascii="宋体" w:hAnsi="宋体" w:cs="宋体"/>
                <w:kern w:val="0"/>
                <w:sz w:val="30"/>
                <w:szCs w:val="30"/>
              </w:rPr>
              <w:t>A</w:t>
            </w:r>
          </w:p>
        </w:tc>
      </w:tr>
      <w:tr w14:paraId="29A99314">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6B73310">
            <w:pPr>
              <w:widowControl/>
              <w:jc w:val="right"/>
              <w:rPr>
                <w:sz w:val="30"/>
                <w:szCs w:val="30"/>
              </w:rPr>
            </w:pPr>
            <w:r>
              <w:rPr>
                <w:rFonts w:ascii="宋体" w:hAnsi="宋体" w:cs="宋体"/>
                <w:kern w:val="0"/>
                <w:sz w:val="30"/>
                <w:szCs w:val="30"/>
              </w:rPr>
              <w:t>项目类型：</w:t>
            </w:r>
          </w:p>
        </w:tc>
        <w:tc>
          <w:tcPr>
            <w:tcW w:w="5658" w:type="dxa"/>
            <w:shd w:val="clear" w:color="auto" w:fill="auto"/>
            <w:vAlign w:val="center"/>
          </w:tcPr>
          <w:p w14:paraId="793B665D">
            <w:pPr>
              <w:widowControl/>
              <w:jc w:val="left"/>
              <w:rPr>
                <w:sz w:val="30"/>
                <w:szCs w:val="30"/>
              </w:rPr>
            </w:pPr>
            <w:r>
              <w:rPr>
                <w:rFonts w:hint="eastAsia" w:ascii="宋体" w:hAnsi="宋体" w:cs="宋体"/>
                <w:kern w:val="0"/>
                <w:sz w:val="30"/>
                <w:szCs w:val="30"/>
              </w:rPr>
              <w:t>服务</w:t>
            </w:r>
            <w:r>
              <w:rPr>
                <w:rFonts w:ascii="宋体" w:hAnsi="宋体" w:cs="宋体"/>
                <w:kern w:val="0"/>
                <w:sz w:val="30"/>
                <w:szCs w:val="30"/>
              </w:rPr>
              <w:t>类</w:t>
            </w:r>
          </w:p>
        </w:tc>
      </w:tr>
      <w:tr w14:paraId="6DBA972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B55DA58">
            <w:pPr>
              <w:widowControl/>
              <w:jc w:val="right"/>
              <w:rPr>
                <w:sz w:val="30"/>
                <w:szCs w:val="30"/>
              </w:rPr>
            </w:pPr>
            <w:r>
              <w:rPr>
                <w:rFonts w:ascii="宋体" w:hAnsi="宋体" w:cs="宋体"/>
                <w:kern w:val="0"/>
                <w:sz w:val="30"/>
                <w:szCs w:val="30"/>
              </w:rPr>
              <w:t>采购方式：</w:t>
            </w:r>
          </w:p>
        </w:tc>
        <w:tc>
          <w:tcPr>
            <w:tcW w:w="5658" w:type="dxa"/>
            <w:shd w:val="clear" w:color="auto" w:fill="auto"/>
            <w:vAlign w:val="center"/>
          </w:tcPr>
          <w:p w14:paraId="426B3741">
            <w:pPr>
              <w:widowControl/>
              <w:jc w:val="left"/>
              <w:rPr>
                <w:sz w:val="30"/>
                <w:szCs w:val="30"/>
              </w:rPr>
            </w:pPr>
            <w:r>
              <w:rPr>
                <w:rFonts w:ascii="宋体" w:hAnsi="宋体" w:cs="宋体"/>
                <w:kern w:val="0"/>
                <w:sz w:val="30"/>
                <w:szCs w:val="30"/>
              </w:rPr>
              <w:t>公开招标</w:t>
            </w:r>
          </w:p>
        </w:tc>
      </w:tr>
      <w:tr w14:paraId="1A8014FA">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C8B7E6F">
            <w:pPr>
              <w:widowControl/>
              <w:jc w:val="right"/>
              <w:rPr>
                <w:sz w:val="30"/>
                <w:szCs w:val="30"/>
              </w:rPr>
            </w:pPr>
            <w:r>
              <w:rPr>
                <w:rFonts w:ascii="宋体" w:hAnsi="宋体" w:cs="宋体"/>
                <w:kern w:val="0"/>
                <w:sz w:val="30"/>
                <w:szCs w:val="30"/>
              </w:rPr>
              <w:t>货币类型：</w:t>
            </w:r>
          </w:p>
        </w:tc>
        <w:tc>
          <w:tcPr>
            <w:tcW w:w="5658" w:type="dxa"/>
            <w:shd w:val="clear" w:color="auto" w:fill="auto"/>
            <w:vAlign w:val="center"/>
          </w:tcPr>
          <w:p w14:paraId="4F972054">
            <w:pPr>
              <w:widowControl/>
              <w:jc w:val="left"/>
              <w:rPr>
                <w:sz w:val="30"/>
                <w:szCs w:val="30"/>
              </w:rPr>
            </w:pPr>
            <w:r>
              <w:rPr>
                <w:rFonts w:ascii="宋体" w:hAnsi="宋体" w:cs="宋体"/>
                <w:kern w:val="0"/>
                <w:sz w:val="30"/>
                <w:szCs w:val="30"/>
              </w:rPr>
              <w:t>人民币</w:t>
            </w:r>
          </w:p>
        </w:tc>
      </w:tr>
    </w:tbl>
    <w:p w14:paraId="65EDEA7A">
      <w:pPr>
        <w:pStyle w:val="37"/>
        <w:jc w:val="center"/>
        <w:outlineLvl w:val="1"/>
        <w:rPr>
          <w:rFonts w:ascii="黑体" w:hAnsi="黑体" w:eastAsia="黑体"/>
          <w:sz w:val="40"/>
          <w:szCs w:val="40"/>
        </w:rPr>
      </w:pPr>
    </w:p>
    <w:p w14:paraId="31F8B196">
      <w:pPr>
        <w:pStyle w:val="37"/>
        <w:jc w:val="center"/>
        <w:outlineLvl w:val="1"/>
        <w:rPr>
          <w:rFonts w:ascii="黑体" w:hAnsi="黑体" w:eastAsia="黑体"/>
          <w:sz w:val="40"/>
          <w:szCs w:val="40"/>
        </w:rPr>
        <w:sectPr>
          <w:pgSz w:w="11907" w:h="16840"/>
          <w:pgMar w:top="1440" w:right="1417" w:bottom="1440" w:left="1417" w:header="851" w:footer="992" w:gutter="0"/>
          <w:cols w:space="425" w:num="1"/>
          <w:titlePg/>
          <w:docGrid w:linePitch="462" w:charSpace="0"/>
        </w:sectPr>
      </w:pPr>
    </w:p>
    <w:p w14:paraId="54AF4105">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14164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DB57B85">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27002A2">
            <w:pPr>
              <w:jc w:val="center"/>
              <w:rPr>
                <w:rFonts w:ascii="宋体" w:hAnsi="宋体" w:cs="宋体"/>
                <w:sz w:val="28"/>
                <w:szCs w:val="28"/>
              </w:rPr>
            </w:pPr>
            <w:r>
              <w:rPr>
                <w:sz w:val="28"/>
                <w:szCs w:val="28"/>
              </w:rPr>
              <w:t>内容</w:t>
            </w:r>
          </w:p>
        </w:tc>
      </w:tr>
      <w:tr w14:paraId="6D7521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1AAE388">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24B9B95A">
            <w:pPr>
              <w:rPr>
                <w:rFonts w:ascii="宋体" w:hAnsi="宋体" w:cs="宋体"/>
                <w:szCs w:val="21"/>
              </w:rPr>
            </w:pPr>
            <w:r>
              <w:rPr>
                <w:rFonts w:ascii="宋体" w:hAnsi="宋体" w:cs="宋体"/>
                <w:kern w:val="0"/>
                <w:szCs w:val="21"/>
              </w:rPr>
              <w:t>投标人不</w:t>
            </w:r>
            <w:r>
              <w:rPr>
                <w:rFonts w:hint="eastAsia" w:ascii="宋体" w:hAnsi="宋体" w:cs="宋体"/>
                <w:kern w:val="0"/>
                <w:szCs w:val="21"/>
              </w:rPr>
              <w:t>符合</w:t>
            </w:r>
            <w:r>
              <w:rPr>
                <w:rFonts w:ascii="宋体" w:hAnsi="宋体" w:cs="宋体"/>
                <w:kern w:val="0"/>
                <w:szCs w:val="21"/>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rPr>
              <w:t>）</w:t>
            </w:r>
          </w:p>
        </w:tc>
      </w:tr>
    </w:tbl>
    <w:p w14:paraId="440FFDAE">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BC326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02F6237">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DEAC9ED">
            <w:pPr>
              <w:jc w:val="center"/>
              <w:rPr>
                <w:rFonts w:ascii="宋体" w:hAnsi="宋体" w:cs="宋体"/>
                <w:sz w:val="28"/>
                <w:szCs w:val="28"/>
              </w:rPr>
            </w:pPr>
            <w:r>
              <w:rPr>
                <w:sz w:val="28"/>
                <w:szCs w:val="28"/>
              </w:rPr>
              <w:t>内容</w:t>
            </w:r>
          </w:p>
        </w:tc>
      </w:tr>
      <w:tr w14:paraId="383009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39A7747">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C3EDFC4">
            <w:pPr>
              <w:rPr>
                <w:rFonts w:ascii="宋体" w:hAnsi="宋体" w:cs="宋体"/>
                <w:szCs w:val="21"/>
              </w:rPr>
            </w:pPr>
            <w:r>
              <w:rPr>
                <w:rFonts w:hint="eastAsia"/>
              </w:rPr>
              <w:t>不得将一个包的内容拆开投标；</w:t>
            </w:r>
          </w:p>
        </w:tc>
      </w:tr>
      <w:tr w14:paraId="3D23DA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31FA951">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02B52E7C">
            <w:pPr>
              <w:rPr>
                <w:rFonts w:ascii="宋体" w:hAnsi="宋体" w:cs="宋体"/>
                <w:szCs w:val="21"/>
              </w:rPr>
            </w:pPr>
            <w:r>
              <w:rPr>
                <w:rFonts w:hint="eastAsia"/>
              </w:rPr>
              <w:t>对同一项目投标时，不得提供两套以上的投标方案（招标文件另有规定的除外）；</w:t>
            </w:r>
          </w:p>
        </w:tc>
      </w:tr>
      <w:tr w14:paraId="75A731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0D4226F">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0BA507D6">
            <w:pPr>
              <w:rPr>
                <w:rFonts w:ascii="宋体" w:hAnsi="宋体" w:cs="宋体"/>
                <w:szCs w:val="21"/>
              </w:rPr>
            </w:pPr>
            <w:r>
              <w:rPr>
                <w:rFonts w:hint="eastAsia" w:ascii="Times New Roman" w:hAnsi="Times New Roman" w:eastAsia="宋体" w:cs="Times New Roman"/>
                <w:b/>
                <w:bCs/>
                <w:color w:val="FF0000"/>
              </w:rPr>
              <w:t>填报的“折扣率”不满足“0＜折扣率≤1”（最多保留小数点后两位）要求的；“折扣率”缺填、漏填或填报了两个或以上“折扣率”；“投标关键信息”开标一览表中填写的投标报价与项目详细</w:t>
            </w:r>
            <w:r>
              <w:rPr>
                <w:rFonts w:hint="eastAsia" w:ascii="Times New Roman" w:hAnsi="Times New Roman" w:eastAsia="宋体" w:cs="Times New Roman"/>
                <w:b/>
                <w:bCs/>
                <w:color w:val="FF0000"/>
                <w:lang w:val="en-US" w:eastAsia="zh-CN"/>
              </w:rPr>
              <w:t>报价的</w:t>
            </w:r>
            <w:r>
              <w:rPr>
                <w:rFonts w:hint="eastAsia" w:ascii="Times New Roman" w:hAnsi="Times New Roman" w:eastAsia="宋体" w:cs="Times New Roman"/>
                <w:b/>
                <w:bCs/>
                <w:color w:val="FF0000"/>
              </w:rPr>
              <w:t>分项报价表中填写的“折扣率”不一致的</w:t>
            </w:r>
            <w:r>
              <w:rPr>
                <w:rFonts w:hint="eastAsia"/>
                <w:b/>
                <w:bCs/>
                <w:color w:val="FF0000"/>
              </w:rPr>
              <w:t>；</w:t>
            </w:r>
          </w:p>
        </w:tc>
      </w:tr>
      <w:tr w14:paraId="245517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DDDC92B">
            <w:pPr>
              <w:jc w:val="center"/>
              <w:rPr>
                <w:rFonts w:hint="eastAsia" w:ascii="宋体" w:hAnsi="宋体" w:eastAsia="宋体" w:cs="宋体"/>
                <w:szCs w:val="21"/>
                <w:lang w:eastAsia="zh-CN"/>
              </w:rPr>
            </w:pPr>
            <w:r>
              <w:rPr>
                <w:rFonts w:hint="eastAsia"/>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4BB31827">
            <w:pPr>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63925F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12E310E">
            <w:pPr>
              <w:jc w:val="center"/>
              <w:rPr>
                <w:rFonts w:hint="eastAsia" w:ascii="宋体" w:hAnsi="宋体" w:eastAsia="宋体" w:cs="宋体"/>
                <w:szCs w:val="21"/>
                <w:lang w:eastAsia="zh-CN"/>
              </w:rPr>
            </w:pPr>
            <w:r>
              <w:rPr>
                <w:rFonts w:hint="eastAsia"/>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12BE962F">
            <w:pPr>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463B62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88C5D7A">
            <w:pPr>
              <w:jc w:val="center"/>
              <w:rPr>
                <w:rFonts w:hint="eastAsia" w:ascii="宋体" w:hAnsi="宋体" w:eastAsia="宋体" w:cs="宋体"/>
                <w:szCs w:val="21"/>
                <w:lang w:eastAsia="zh-CN"/>
              </w:rPr>
            </w:pPr>
            <w:r>
              <w:rPr>
                <w:rFonts w:hint="eastAsia"/>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473997CE">
            <w:pPr>
              <w:rPr>
                <w:rFonts w:ascii="宋体" w:hAnsi="宋体" w:cs="宋体"/>
                <w:szCs w:val="21"/>
              </w:rPr>
            </w:pPr>
            <w:r>
              <w:rPr>
                <w:rFonts w:hint="eastAsia"/>
              </w:rPr>
              <w:t>采购标的/服务清单/报价等任意一类有缺漏项或响应不全，或者对招标文件规定的项目需求内容或者需求数量进行修改</w:t>
            </w:r>
            <w:r>
              <w:rPr>
                <w:rFonts w:hint="eastAsia"/>
                <w:szCs w:val="21"/>
              </w:rPr>
              <w:t>，评审委员会判定投标响应不满足采购需求</w:t>
            </w:r>
            <w:r>
              <w:rPr>
                <w:rFonts w:hint="eastAsia"/>
              </w:rPr>
              <w:t>；</w:t>
            </w:r>
          </w:p>
        </w:tc>
      </w:tr>
      <w:tr w14:paraId="4DE5D3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E106B64">
            <w:pPr>
              <w:jc w:val="center"/>
              <w:rPr>
                <w:rFonts w:hint="eastAsia" w:ascii="宋体" w:hAnsi="宋体" w:eastAsia="宋体" w:cs="宋体"/>
                <w:szCs w:val="21"/>
                <w:lang w:eastAsia="zh-CN"/>
              </w:rPr>
            </w:pPr>
            <w:r>
              <w:rPr>
                <w:rFonts w:hint="eastAsia"/>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00C5F4CF">
            <w:pPr>
              <w:rPr>
                <w:rFonts w:ascii="宋体" w:hAnsi="宋体" w:cs="宋体"/>
                <w:szCs w:val="21"/>
              </w:rPr>
            </w:pPr>
            <w:r>
              <w:rPr>
                <w:rFonts w:hint="eastAsia"/>
              </w:rPr>
              <w:t>投标文件存在列放位置错误，导致属于信息公开情形的没有被公开；</w:t>
            </w:r>
          </w:p>
        </w:tc>
      </w:tr>
      <w:tr w14:paraId="15D45E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7FE5455">
            <w:pPr>
              <w:jc w:val="center"/>
              <w:rPr>
                <w:rFonts w:hint="eastAsia" w:ascii="宋体" w:hAnsi="宋体" w:eastAsia="宋体" w:cs="宋体"/>
                <w:szCs w:val="21"/>
                <w:lang w:eastAsia="zh-CN"/>
              </w:rPr>
            </w:pPr>
            <w:r>
              <w:rPr>
                <w:rFonts w:hint="eastAsia"/>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5975C207">
            <w:pPr>
              <w:rPr>
                <w:rFonts w:ascii="宋体" w:hAnsi="宋体" w:cs="宋体"/>
                <w:szCs w:val="21"/>
              </w:rPr>
            </w:pPr>
            <w:r>
              <w:rPr>
                <w:rFonts w:hint="eastAsia"/>
              </w:rPr>
              <w:t>投标文件电子文档不得带病毒；</w:t>
            </w:r>
          </w:p>
        </w:tc>
      </w:tr>
      <w:tr w14:paraId="0C29A6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91DC99B">
            <w:pPr>
              <w:jc w:val="center"/>
              <w:rPr>
                <w:rFonts w:hint="eastAsia" w:ascii="宋体" w:hAnsi="宋体" w:eastAsia="宋体" w:cs="宋体"/>
                <w:szCs w:val="21"/>
                <w:lang w:eastAsia="zh-CN"/>
              </w:rPr>
            </w:pPr>
            <w:r>
              <w:rPr>
                <w:rFonts w:hint="eastAsia"/>
                <w:szCs w:val="21"/>
                <w:lang w:val="en-US" w:eastAsia="zh-CN"/>
              </w:rPr>
              <w:t>9</w:t>
            </w:r>
          </w:p>
        </w:tc>
        <w:tc>
          <w:tcPr>
            <w:tcW w:w="8278" w:type="dxa"/>
            <w:tcBorders>
              <w:top w:val="single" w:color="000000" w:sz="8" w:space="0"/>
              <w:left w:val="single" w:color="000000" w:sz="8" w:space="0"/>
              <w:bottom w:val="single" w:color="000000" w:sz="8" w:space="0"/>
              <w:right w:val="single" w:color="000000" w:sz="8" w:space="0"/>
            </w:tcBorders>
          </w:tcPr>
          <w:p w14:paraId="77C1AD0D">
            <w:pPr>
              <w:rPr>
                <w:rFonts w:ascii="宋体" w:hAnsi="宋体" w:cs="宋体"/>
                <w:szCs w:val="21"/>
              </w:rPr>
            </w:pPr>
            <w:r>
              <w:rPr>
                <w:rFonts w:hint="eastAsia"/>
              </w:rPr>
              <w:t>投标文件不得用不属于本公司的电子密钥或电子营业执照进行加密的；</w:t>
            </w:r>
          </w:p>
        </w:tc>
      </w:tr>
      <w:tr w14:paraId="58A316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244ED46">
            <w:pPr>
              <w:widowControl/>
              <w:jc w:val="center"/>
              <w:textAlignment w:val="top"/>
              <w:rPr>
                <w:rFonts w:hint="default" w:ascii="宋体" w:hAnsi="宋体" w:eastAsia="宋体" w:cs="宋体"/>
                <w:szCs w:val="21"/>
                <w:lang w:val="en-US" w:eastAsia="zh-CN"/>
              </w:rPr>
            </w:pPr>
            <w:r>
              <w:rPr>
                <w:rFonts w:hint="eastAsia"/>
                <w:lang w:val="en-US" w:eastAsia="zh-CN"/>
              </w:rPr>
              <w:t>10</w:t>
            </w:r>
          </w:p>
        </w:tc>
        <w:tc>
          <w:tcPr>
            <w:tcW w:w="8278" w:type="dxa"/>
            <w:tcBorders>
              <w:top w:val="single" w:color="000000" w:sz="8" w:space="0"/>
              <w:left w:val="single" w:color="000000" w:sz="8" w:space="0"/>
              <w:bottom w:val="single" w:color="000000" w:sz="8" w:space="0"/>
              <w:right w:val="single" w:color="000000" w:sz="8" w:space="0"/>
            </w:tcBorders>
          </w:tcPr>
          <w:p w14:paraId="1384E703">
            <w:pPr>
              <w:widowControl/>
              <w:jc w:val="left"/>
              <w:textAlignment w:val="top"/>
            </w:pPr>
            <w:r>
              <w:rPr>
                <w:rFonts w:hint="eastAsia"/>
              </w:rPr>
              <w:t>不得与其他投标供应商投标文件“文件制作机器码”一致；</w:t>
            </w:r>
          </w:p>
        </w:tc>
      </w:tr>
      <w:tr w14:paraId="198B61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4173926">
            <w:pPr>
              <w:widowControl/>
              <w:jc w:val="center"/>
              <w:textAlignment w:val="top"/>
              <w:rPr>
                <w:rFonts w:hint="default" w:ascii="宋体" w:hAnsi="宋体" w:eastAsia="宋体" w:cs="宋体"/>
                <w:szCs w:val="21"/>
                <w:lang w:val="en-US" w:eastAsia="zh-CN"/>
              </w:rPr>
            </w:pPr>
            <w:r>
              <w:rPr>
                <w:rFonts w:hint="eastAsia"/>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tcPr>
          <w:p w14:paraId="5CA3848D">
            <w:pPr>
              <w:widowControl/>
              <w:jc w:val="left"/>
              <w:textAlignment w:val="top"/>
            </w:pPr>
            <w:r>
              <w:rPr>
                <w:rFonts w:hint="eastAsia"/>
              </w:rPr>
              <w:t>不得与其他投标供应商投标文件“文件创建标识码”一致；</w:t>
            </w:r>
          </w:p>
        </w:tc>
      </w:tr>
      <w:tr w14:paraId="32356B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7851C088">
            <w:pPr>
              <w:widowControl/>
              <w:jc w:val="center"/>
              <w:textAlignment w:val="top"/>
              <w:rPr>
                <w:rFonts w:hint="default"/>
                <w:lang w:val="en-US"/>
              </w:rPr>
            </w:pPr>
            <w:r>
              <w:rPr>
                <w:rFonts w:hint="eastAsia"/>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1F5DD22A">
            <w:pPr>
              <w:keepNext w:val="0"/>
              <w:keepLines w:val="0"/>
              <w:pageBreakBefore w:val="0"/>
              <w:widowControl/>
              <w:kinsoku/>
              <w:wordWrap/>
              <w:overflowPunct/>
              <w:topLinePunct w:val="0"/>
              <w:autoSpaceDE/>
              <w:autoSpaceDN/>
              <w:bidi w:val="0"/>
              <w:adjustRightInd/>
              <w:snapToGrid/>
              <w:jc w:val="left"/>
              <w:textAlignment w:val="top"/>
              <w:rPr>
                <w:rFonts w:hint="eastAsia"/>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737CC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975354E">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218B5B0D">
            <w:pPr>
              <w:rPr>
                <w:rFonts w:ascii="宋体" w:hAnsi="宋体" w:cs="宋体"/>
                <w:szCs w:val="21"/>
              </w:rPr>
            </w:pPr>
            <w:r>
              <w:rPr>
                <w:rFonts w:hint="eastAsia"/>
              </w:rPr>
              <w:t>法律、法规、规章、规范性文件规定的其他情形。</w:t>
            </w:r>
          </w:p>
        </w:tc>
      </w:tr>
    </w:tbl>
    <w:p w14:paraId="354A0480">
      <w:pPr>
        <w:widowControl/>
        <w:spacing w:beforeAutospacing="1" w:afterAutospacing="1"/>
        <w:jc w:val="center"/>
        <w:outlineLvl w:val="1"/>
        <w:rPr>
          <w:rFonts w:ascii="黑体" w:hAnsi="宋体" w:eastAsia="黑体" w:cs="黑体"/>
          <w:kern w:val="0"/>
          <w:sz w:val="40"/>
          <w:szCs w:val="40"/>
          <w:highlight w:val="none"/>
          <w:lang w:val="en-US" w:eastAsia="zh-CN" w:bidi="ar-SA"/>
        </w:rPr>
      </w:pPr>
      <w:r>
        <w:rPr>
          <w:rFonts w:hint="eastAsia" w:ascii="黑体" w:hAnsi="宋体" w:eastAsia="黑体" w:cs="黑体"/>
          <w:kern w:val="0"/>
          <w:sz w:val="40"/>
          <w:szCs w:val="40"/>
          <w:highlight w:val="none"/>
          <w:lang w:val="en-US" w:eastAsia="zh-CN" w:bidi="ar-SA"/>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43C18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DF3C173">
            <w:pPr>
              <w:widowControl/>
              <w:jc w:val="center"/>
              <w:rPr>
                <w:sz w:val="21"/>
                <w:szCs w:val="21"/>
                <w:highlight w:val="none"/>
              </w:rPr>
            </w:pPr>
            <w:r>
              <w:rPr>
                <w:rFonts w:ascii="宋体" w:hAnsi="宋体" w:cs="宋体"/>
                <w:kern w:val="0"/>
                <w:sz w:val="21"/>
                <w:szCs w:val="21"/>
                <w:highlight w:val="none"/>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2D116CB">
            <w:pPr>
              <w:widowControl/>
              <w:jc w:val="center"/>
              <w:rPr>
                <w:sz w:val="21"/>
                <w:szCs w:val="21"/>
                <w:highlight w:val="none"/>
              </w:rPr>
            </w:pPr>
            <w:r>
              <w:rPr>
                <w:rFonts w:ascii="宋体" w:hAnsi="宋体" w:cs="宋体"/>
                <w:kern w:val="0"/>
                <w:sz w:val="21"/>
                <w:szCs w:val="21"/>
                <w:highlight w:val="none"/>
              </w:rPr>
              <w:t>内容</w:t>
            </w:r>
          </w:p>
        </w:tc>
      </w:tr>
      <w:tr w14:paraId="52D5AC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5B8035">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01C305E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7B69CA70">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1.投标（响应）报价低于全部通过符合性审查供应商投标（响应）报价平均值65%的，即投标（响应）报价&lt;全部通过符合性审查供应商投标（响应）报价平均值×65%；</w:t>
            </w:r>
          </w:p>
          <w:p w14:paraId="2DB41069">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A05DDC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2.投标（响应）报价低于通过符合性审查的次低报价供应商投标（响应）报价65%的，即投标（响应）报价&lt;通过符合性审查的次低报价供应商投标（响应）报价×65%；</w:t>
            </w:r>
          </w:p>
          <w:p w14:paraId="400389A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1F75601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yellow"/>
                <w:lang w:eastAsia="zh-CN"/>
              </w:rPr>
              <w:t>（</w:t>
            </w:r>
            <w:r>
              <w:rPr>
                <w:rFonts w:hint="eastAsia" w:ascii="宋体" w:hAnsi="宋体" w:cs="宋体"/>
                <w:sz w:val="21"/>
                <w:szCs w:val="21"/>
                <w:highlight w:val="yellow"/>
                <w:lang w:val="en-US" w:eastAsia="zh-CN"/>
              </w:rPr>
              <w:t>指折扣率1.00</w:t>
            </w:r>
            <w:r>
              <w:rPr>
                <w:rFonts w:hint="eastAsia" w:ascii="宋体" w:hAnsi="宋体" w:cs="宋体"/>
                <w:sz w:val="21"/>
                <w:szCs w:val="21"/>
                <w:highlight w:val="yellow"/>
                <w:lang w:eastAsia="zh-CN"/>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5%的，即投标（响应）报价&lt;采购项目最高限价×</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5%；</w:t>
            </w:r>
          </w:p>
          <w:p w14:paraId="7DB71A2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7183F10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1F197DA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78B5E880">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48144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0578A561">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619F2A87">
      <w:pPr>
        <w:pStyle w:val="37"/>
        <w:jc w:val="center"/>
        <w:outlineLvl w:val="1"/>
        <w:rPr>
          <w:rFonts w:ascii="黑体" w:hAnsi="黑体" w:eastAsia="黑体"/>
          <w:sz w:val="40"/>
          <w:szCs w:val="40"/>
        </w:rPr>
        <w:sectPr>
          <w:pgSz w:w="11907" w:h="16840"/>
          <w:pgMar w:top="1440" w:right="1417" w:bottom="1440" w:left="1417" w:header="851" w:footer="992" w:gutter="0"/>
          <w:cols w:space="425" w:num="1"/>
          <w:titlePg/>
          <w:docGrid w:linePitch="462" w:charSpace="0"/>
        </w:sectPr>
      </w:pPr>
    </w:p>
    <w:p w14:paraId="27524C0E">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51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45" w:type="dxa"/>
          <w:left w:w="45" w:type="dxa"/>
          <w:bottom w:w="45" w:type="dxa"/>
          <w:right w:w="45" w:type="dxa"/>
        </w:tblCellMar>
      </w:tblPr>
      <w:tblGrid>
        <w:gridCol w:w="10"/>
        <w:gridCol w:w="596"/>
        <w:gridCol w:w="606"/>
        <w:gridCol w:w="1852"/>
        <w:gridCol w:w="698"/>
        <w:gridCol w:w="5121"/>
        <w:gridCol w:w="622"/>
        <w:gridCol w:w="13"/>
      </w:tblGrid>
      <w:tr w14:paraId="343D4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Before w:val="1"/>
          <w:gridAfter w:val="1"/>
          <w:wBefore w:w="10" w:type="dxa"/>
          <w:wAfter w:w="13" w:type="dxa"/>
          <w:tblCellSpacing w:w="0" w:type="dxa"/>
          <w:jc w:val="center"/>
        </w:trPr>
        <w:tc>
          <w:tcPr>
            <w:tcW w:w="8873" w:type="dxa"/>
            <w:gridSpan w:val="5"/>
            <w:shd w:val="clear" w:color="auto" w:fill="auto"/>
            <w:vAlign w:val="center"/>
          </w:tcPr>
          <w:p w14:paraId="216D686C">
            <w:pPr>
              <w:widowControl/>
              <w:jc w:val="left"/>
              <w:rPr>
                <w:b/>
                <w:bCs/>
                <w:sz w:val="24"/>
              </w:rPr>
            </w:pPr>
            <w:r>
              <w:rPr>
                <w:b/>
                <w:bCs/>
              </w:rPr>
              <w:t>评标方法：综合评分法</w:t>
            </w:r>
          </w:p>
        </w:tc>
        <w:tc>
          <w:tcPr>
            <w:tcW w:w="622" w:type="dxa"/>
            <w:shd w:val="clear" w:color="auto" w:fill="auto"/>
            <w:vAlign w:val="center"/>
          </w:tcPr>
          <w:p w14:paraId="3F80A38C">
            <w:pPr>
              <w:jc w:val="right"/>
              <w:rPr>
                <w:rFonts w:ascii="宋体"/>
                <w:b/>
                <w:bCs/>
                <w:sz w:val="24"/>
              </w:rPr>
            </w:pPr>
          </w:p>
        </w:tc>
      </w:tr>
      <w:tr w14:paraId="69020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5" w:type="dxa"/>
            <w:left w:w="45" w:type="dxa"/>
            <w:bottom w:w="45" w:type="dxa"/>
            <w:right w:w="45" w:type="dxa"/>
          </w:tblCellMar>
        </w:tblPrEx>
        <w:trPr>
          <w:gridBefore w:val="1"/>
          <w:gridAfter w:val="1"/>
          <w:wBefore w:w="10" w:type="dxa"/>
          <w:wAfter w:w="13" w:type="dxa"/>
          <w:tblCellSpacing w:w="0" w:type="dxa"/>
          <w:jc w:val="center"/>
        </w:trPr>
        <w:tc>
          <w:tcPr>
            <w:tcW w:w="9495" w:type="dxa"/>
            <w:gridSpan w:val="6"/>
            <w:shd w:val="clear" w:color="auto" w:fill="auto"/>
            <w:vAlign w:val="center"/>
          </w:tcPr>
          <w:p w14:paraId="5CAD6C1D">
            <w:pPr>
              <w:ind w:firstLine="420"/>
              <w:rPr>
                <w:szCs w:val="21"/>
              </w:rPr>
            </w:pPr>
            <w:r>
              <w:rPr>
                <w:szCs w:val="21"/>
              </w:rPr>
              <w:t>综合评分法，</w:t>
            </w:r>
            <w:r>
              <w:rPr>
                <w:rFonts w:hint="eastAsia"/>
                <w:szCs w:val="21"/>
              </w:rPr>
              <w:t>是指投标文件满足招标文件全部实质性要求，且按照评审因素的量化指标评审得分</w:t>
            </w:r>
            <w:r>
              <w:rPr>
                <w:rFonts w:hint="eastAsia"/>
                <w:szCs w:val="21"/>
                <w:lang w:val="en-US" w:eastAsia="zh-CN"/>
              </w:rPr>
              <w:t>排名前列</w:t>
            </w:r>
            <w:r>
              <w:rPr>
                <w:szCs w:val="21"/>
              </w:rPr>
              <w:t>的投标人为中标候选人的评标方法。</w:t>
            </w:r>
          </w:p>
          <w:p w14:paraId="20B39C47">
            <w:pPr>
              <w:ind w:firstLine="420"/>
              <w:rPr>
                <w:szCs w:val="21"/>
              </w:rPr>
            </w:pPr>
          </w:p>
          <w:p w14:paraId="1E0DAD15">
            <w:pPr>
              <w:ind w:firstLine="420"/>
              <w:rPr>
                <w:szCs w:val="21"/>
              </w:rPr>
            </w:pPr>
            <w:r>
              <w:rPr>
                <w:szCs w:val="21"/>
              </w:rPr>
              <w:t>价格分计算方法：</w:t>
            </w:r>
          </w:p>
          <w:p w14:paraId="4BC11449">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r>
              <w:rPr>
                <w:szCs w:val="21"/>
              </w:rPr>
              <w:br w:type="textWrapping"/>
            </w:r>
            <w:r>
              <w:rPr>
                <w:szCs w:val="21"/>
              </w:rPr>
              <w:t xml:space="preserve">投标报价得分=(评标基准价／投标报价)×100 </w:t>
            </w:r>
            <w:r>
              <w:rPr>
                <w:szCs w:val="21"/>
              </w:rPr>
              <w:br w:type="textWrapping"/>
            </w:r>
            <w:r>
              <w:rPr>
                <w:szCs w:val="21"/>
              </w:rPr>
              <w:t xml:space="preserve">评标总得分＝F1×A1＋F2×A2＋……＋Fn×An </w:t>
            </w:r>
            <w:r>
              <w:rPr>
                <w:szCs w:val="21"/>
              </w:rPr>
              <w:br w:type="textWrapping"/>
            </w:r>
            <w:r>
              <w:rPr>
                <w:szCs w:val="21"/>
              </w:rPr>
              <w:t xml:space="preserve">F1、F2……Fn分别为各项评审因素的得分； </w:t>
            </w:r>
            <w:r>
              <w:rPr>
                <w:szCs w:val="21"/>
              </w:rPr>
              <w:br w:type="textWrapping"/>
            </w:r>
            <w:r>
              <w:rPr>
                <w:szCs w:val="21"/>
              </w:rPr>
              <w:t xml:space="preserve">A1、A2、……An 分别为各项评审因素所占的权重(A1＋A2＋……＋An＝1)。 </w:t>
            </w:r>
            <w:r>
              <w:rPr>
                <w:szCs w:val="21"/>
              </w:rPr>
              <w:br w:type="textWrapping"/>
            </w:r>
            <w:r>
              <w:rPr>
                <w:szCs w:val="21"/>
              </w:rPr>
              <w:t>评标过程中，不得去掉报价中的最高报价和最低报价。</w:t>
            </w:r>
          </w:p>
          <w:p w14:paraId="01E1B69D">
            <w:pPr>
              <w:widowControl/>
              <w:ind w:left="420"/>
              <w:jc w:val="left"/>
              <w:rPr>
                <w:szCs w:val="21"/>
              </w:rPr>
            </w:pPr>
            <w:r>
              <w:rPr>
                <w:rFonts w:hint="eastAsia"/>
                <w:szCs w:val="21"/>
              </w:rPr>
              <w:t>因落实政府采购政策进行价格调整的，以调整后的价格计算评标基准价和投标报价。</w:t>
            </w:r>
          </w:p>
          <w:p w14:paraId="3226F39C">
            <w:pPr>
              <w:widowControl/>
              <w:ind w:left="420"/>
              <w:jc w:val="left"/>
              <w:rPr>
                <w:kern w:val="0"/>
                <w:sz w:val="24"/>
              </w:rPr>
            </w:pPr>
          </w:p>
          <w:p w14:paraId="05DC063C">
            <w:pPr>
              <w:pStyle w:val="18"/>
            </w:pPr>
            <w:r>
              <w:rPr>
                <w:rFonts w:hint="eastAsia"/>
                <w:sz w:val="22"/>
                <w:szCs w:val="22"/>
              </w:rPr>
              <w:t>注：投标人的“投标技术响应”“技术要求偏离表中偏离情况”等必须与客观实际保持一致，响应不实且情节严重的，经查实，将依法记入供应商诚信档案或受到行政处罚。</w:t>
            </w:r>
          </w:p>
        </w:tc>
      </w:tr>
      <w:tr w14:paraId="6636D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gridAfter w:val="1"/>
          <w:wAfter w:w="13" w:type="dxa"/>
          <w:trHeight w:val="632" w:hRule="atLeast"/>
          <w:tblCellSpacing w:w="0" w:type="dxa"/>
          <w:jc w:val="center"/>
        </w:trPr>
        <w:tc>
          <w:tcPr>
            <w:tcW w:w="606" w:type="dxa"/>
            <w:gridSpan w:val="2"/>
            <w:shd w:val="clear" w:color="auto" w:fill="E6EFFA"/>
            <w:vAlign w:val="center"/>
          </w:tcPr>
          <w:p w14:paraId="6431CB1F">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kern w:val="2"/>
                <w:lang w:eastAsia="zh-CN"/>
              </w:rPr>
            </w:pPr>
            <w:r>
              <w:rPr>
                <w:rFonts w:hint="eastAsia" w:ascii="宋体" w:hAnsi="宋体" w:eastAsia="宋体" w:cs="宋体"/>
                <w:b/>
                <w:bCs/>
                <w:kern w:val="2"/>
                <w:sz w:val="21"/>
                <w:lang w:eastAsia="zh-CN"/>
              </w:rPr>
              <w:t>序号</w:t>
            </w:r>
          </w:p>
        </w:tc>
        <w:tc>
          <w:tcPr>
            <w:tcW w:w="3156" w:type="dxa"/>
            <w:gridSpan w:val="3"/>
            <w:shd w:val="clear" w:color="auto" w:fill="E6EFFA"/>
            <w:vAlign w:val="center"/>
          </w:tcPr>
          <w:p w14:paraId="4ED8B597">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kern w:val="2"/>
                <w:lang w:eastAsia="zh-CN"/>
              </w:rPr>
            </w:pPr>
            <w:r>
              <w:rPr>
                <w:rFonts w:hint="eastAsia" w:ascii="宋体" w:hAnsi="宋体" w:eastAsia="宋体" w:cs="宋体"/>
                <w:b/>
                <w:bCs/>
                <w:kern w:val="2"/>
                <w:sz w:val="21"/>
                <w:lang w:eastAsia="zh-CN"/>
              </w:rPr>
              <w:t>评分项</w:t>
            </w:r>
          </w:p>
        </w:tc>
        <w:tc>
          <w:tcPr>
            <w:tcW w:w="5743" w:type="dxa"/>
            <w:gridSpan w:val="2"/>
            <w:shd w:val="clear" w:color="auto" w:fill="E6EFFA"/>
            <w:vAlign w:val="center"/>
          </w:tcPr>
          <w:p w14:paraId="413BAEA3">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kern w:val="2"/>
                <w:lang w:eastAsia="zh-CN"/>
              </w:rPr>
            </w:pPr>
            <w:r>
              <w:rPr>
                <w:rFonts w:hint="eastAsia" w:ascii="宋体" w:hAnsi="宋体" w:eastAsia="宋体" w:cs="宋体"/>
                <w:b/>
                <w:bCs/>
                <w:kern w:val="2"/>
                <w:sz w:val="21"/>
                <w:lang w:eastAsia="zh-CN"/>
              </w:rPr>
              <w:t>权重（%）</w:t>
            </w:r>
          </w:p>
        </w:tc>
      </w:tr>
      <w:tr w14:paraId="77F8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gridAfter w:val="1"/>
          <w:wAfter w:w="13" w:type="dxa"/>
          <w:tblCellSpacing w:w="0" w:type="dxa"/>
          <w:jc w:val="center"/>
        </w:trPr>
        <w:tc>
          <w:tcPr>
            <w:tcW w:w="606" w:type="dxa"/>
            <w:gridSpan w:val="2"/>
          </w:tcPr>
          <w:p w14:paraId="195B79C7">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1</w:t>
            </w:r>
          </w:p>
        </w:tc>
        <w:tc>
          <w:tcPr>
            <w:tcW w:w="3156" w:type="dxa"/>
            <w:gridSpan w:val="3"/>
          </w:tcPr>
          <w:p w14:paraId="7A17D7F6">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价格</w:t>
            </w:r>
          </w:p>
        </w:tc>
        <w:tc>
          <w:tcPr>
            <w:tcW w:w="5743" w:type="dxa"/>
            <w:gridSpan w:val="2"/>
          </w:tcPr>
          <w:p w14:paraId="09036DDC">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10</w:t>
            </w:r>
          </w:p>
        </w:tc>
      </w:tr>
      <w:tr w14:paraId="3241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gridAfter w:val="1"/>
          <w:wAfter w:w="13" w:type="dxa"/>
          <w:tblCellSpacing w:w="0" w:type="dxa"/>
          <w:jc w:val="center"/>
        </w:trPr>
        <w:tc>
          <w:tcPr>
            <w:tcW w:w="606" w:type="dxa"/>
            <w:gridSpan w:val="2"/>
            <w:vMerge w:val="restart"/>
          </w:tcPr>
          <w:p w14:paraId="725CE5C4">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2</w:t>
            </w:r>
          </w:p>
        </w:tc>
        <w:tc>
          <w:tcPr>
            <w:tcW w:w="3156" w:type="dxa"/>
            <w:gridSpan w:val="3"/>
          </w:tcPr>
          <w:p w14:paraId="4F81E883">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技术部分</w:t>
            </w:r>
          </w:p>
        </w:tc>
        <w:tc>
          <w:tcPr>
            <w:tcW w:w="5743" w:type="dxa"/>
            <w:gridSpan w:val="2"/>
          </w:tcPr>
          <w:p w14:paraId="61339866">
            <w:pPr>
              <w:keepNext w:val="0"/>
              <w:keepLines w:val="0"/>
              <w:widowControl w:val="0"/>
              <w:suppressLineNumbers w:val="0"/>
              <w:wordWrap w:val="0"/>
              <w:spacing w:before="0" w:beforeAutospacing="0" w:after="0" w:afterAutospacing="0"/>
              <w:ind w:left="0" w:right="0"/>
              <w:jc w:val="center"/>
              <w:rPr>
                <w:rFonts w:hint="default" w:ascii="宋体" w:hAnsi="宋体" w:eastAsia="宋体" w:cs="宋体"/>
                <w:b/>
                <w:bCs/>
                <w:color w:val="0000FF"/>
                <w:kern w:val="2"/>
                <w:lang w:val="en-US" w:eastAsia="zh-CN"/>
              </w:rPr>
            </w:pPr>
            <w:r>
              <w:rPr>
                <w:rFonts w:hint="eastAsia" w:ascii="宋体" w:hAnsi="宋体" w:cs="宋体"/>
                <w:b/>
                <w:bCs/>
                <w:color w:val="0000FF"/>
                <w:kern w:val="2"/>
                <w:sz w:val="21"/>
                <w:lang w:val="en-US" w:eastAsia="zh-CN"/>
              </w:rPr>
              <w:t>62</w:t>
            </w:r>
          </w:p>
        </w:tc>
      </w:tr>
      <w:tr w14:paraId="79E1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gridAfter w:val="1"/>
          <w:wAfter w:w="13" w:type="dxa"/>
          <w:tblCellSpacing w:w="0" w:type="dxa"/>
          <w:jc w:val="center"/>
        </w:trPr>
        <w:tc>
          <w:tcPr>
            <w:tcW w:w="606" w:type="dxa"/>
            <w:gridSpan w:val="2"/>
            <w:vMerge w:val="continue"/>
            <w:shd w:val="clear" w:color="auto" w:fill="E6EFFA"/>
            <w:vAlign w:val="center"/>
          </w:tcPr>
          <w:p w14:paraId="276B557B">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shd w:val="clear" w:color="auto" w:fill="E6EFFA"/>
            <w:vAlign w:val="center"/>
          </w:tcPr>
          <w:p w14:paraId="2FFD86EA">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序号</w:t>
            </w:r>
          </w:p>
        </w:tc>
        <w:tc>
          <w:tcPr>
            <w:tcW w:w="1852" w:type="dxa"/>
            <w:shd w:val="clear" w:color="auto" w:fill="E6EFFA"/>
            <w:vAlign w:val="center"/>
          </w:tcPr>
          <w:p w14:paraId="07EFAB17">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评审因素</w:t>
            </w:r>
          </w:p>
        </w:tc>
        <w:tc>
          <w:tcPr>
            <w:tcW w:w="698" w:type="dxa"/>
            <w:shd w:val="clear" w:color="auto" w:fill="E6EFFA"/>
            <w:vAlign w:val="center"/>
          </w:tcPr>
          <w:p w14:paraId="2C7062C0">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权重（%）</w:t>
            </w:r>
          </w:p>
        </w:tc>
        <w:tc>
          <w:tcPr>
            <w:tcW w:w="5743" w:type="dxa"/>
            <w:gridSpan w:val="2"/>
            <w:shd w:val="clear" w:color="auto" w:fill="E6EFFA"/>
            <w:vAlign w:val="center"/>
          </w:tcPr>
          <w:p w14:paraId="0FC694B8">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评分准则</w:t>
            </w:r>
          </w:p>
        </w:tc>
      </w:tr>
      <w:tr w14:paraId="3B2F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gridAfter w:val="1"/>
          <w:wAfter w:w="13" w:type="dxa"/>
          <w:tblCellSpacing w:w="0" w:type="dxa"/>
          <w:jc w:val="center"/>
        </w:trPr>
        <w:tc>
          <w:tcPr>
            <w:tcW w:w="606" w:type="dxa"/>
            <w:gridSpan w:val="2"/>
            <w:vMerge w:val="continue"/>
            <w:vAlign w:val="center"/>
          </w:tcPr>
          <w:p w14:paraId="2B254085">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666E8AB7">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w:t>
            </w:r>
          </w:p>
        </w:tc>
        <w:tc>
          <w:tcPr>
            <w:tcW w:w="1852" w:type="dxa"/>
            <w:vAlign w:val="center"/>
          </w:tcPr>
          <w:p w14:paraId="4DE8BC0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项目管理方案</w:t>
            </w:r>
          </w:p>
        </w:tc>
        <w:tc>
          <w:tcPr>
            <w:tcW w:w="698" w:type="dxa"/>
            <w:vAlign w:val="center"/>
          </w:tcPr>
          <w:p w14:paraId="7750A352">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6</w:t>
            </w:r>
          </w:p>
        </w:tc>
        <w:tc>
          <w:tcPr>
            <w:tcW w:w="5743" w:type="dxa"/>
            <w:gridSpan w:val="2"/>
            <w:vAlign w:val="top"/>
          </w:tcPr>
          <w:p w14:paraId="659E79DF">
            <w:pPr>
              <w:keepNext w:val="0"/>
              <w:keepLines w:val="0"/>
              <w:pageBreakBefore w:val="0"/>
              <w:widowControl/>
              <w:suppressLineNumbers w:val="0"/>
              <w:kinsoku/>
              <w:overflowPunct/>
              <w:topLinePunct w:val="0"/>
              <w:autoSpaceDE/>
              <w:autoSpaceDN/>
              <w:bidi w:val="0"/>
              <w:adjustRightInd/>
              <w:snapToGrid/>
              <w:spacing w:before="0" w:beforeAutospacing="0" w:after="0" w:afterAutospacing="0" w:line="300" w:lineRule="exact"/>
              <w:ind w:left="0" w:right="0"/>
              <w:jc w:val="left"/>
              <w:textAlignment w:val="center"/>
              <w:rPr>
                <w:rFonts w:hint="eastAsia" w:ascii="宋体" w:hAnsi="宋体" w:eastAsia="宋体" w:cs="宋体"/>
                <w:b/>
                <w:i/>
                <w:kern w:val="2"/>
                <w:sz w:val="21"/>
                <w:szCs w:val="21"/>
                <w:u w:val="single"/>
                <w:lang w:eastAsia="zh-CN"/>
              </w:rPr>
            </w:pPr>
            <w:r>
              <w:rPr>
                <w:rFonts w:hint="eastAsia" w:ascii="宋体" w:hAnsi="宋体" w:eastAsia="宋体" w:cs="宋体"/>
                <w:b/>
                <w:color w:val="000000"/>
                <w:kern w:val="2"/>
                <w:sz w:val="21"/>
                <w:szCs w:val="21"/>
                <w:lang w:eastAsia="zh-CN"/>
              </w:rPr>
              <w:t>（一）</w:t>
            </w:r>
            <w:r>
              <w:rPr>
                <w:rFonts w:hint="eastAsia" w:ascii="宋体" w:hAnsi="宋体" w:eastAsia="宋体" w:cs="宋体"/>
                <w:b/>
                <w:bCs/>
                <w:color w:val="000000"/>
                <w:sz w:val="21"/>
                <w:szCs w:val="21"/>
                <w:lang w:eastAsia="zh-CN"/>
              </w:rPr>
              <w:t>评分内容：</w:t>
            </w:r>
            <w:r>
              <w:rPr>
                <w:rFonts w:hint="eastAsia" w:ascii="宋体" w:hAnsi="宋体" w:eastAsia="宋体" w:cs="宋体"/>
                <w:kern w:val="2"/>
                <w:sz w:val="21"/>
                <w:szCs w:val="21"/>
                <w:lang w:eastAsia="zh-CN"/>
              </w:rPr>
              <w:br w:type="textWrapping"/>
            </w:r>
            <w:r>
              <w:rPr>
                <w:rFonts w:hint="eastAsia" w:ascii="宋体" w:hAnsi="宋体" w:eastAsia="宋体" w:cs="宋体"/>
                <w:sz w:val="21"/>
                <w:szCs w:val="21"/>
                <w:lang w:eastAsia="zh-CN"/>
              </w:rPr>
              <w:t>根据招标文件要求提供</w:t>
            </w:r>
            <w:r>
              <w:rPr>
                <w:rFonts w:hint="eastAsia" w:ascii="宋体" w:hAnsi="宋体" w:eastAsia="宋体" w:cs="宋体"/>
                <w:kern w:val="2"/>
                <w:sz w:val="21"/>
                <w:szCs w:val="21"/>
                <w:lang w:eastAsia="zh-CN"/>
              </w:rPr>
              <w:t>项目管理方案</w:t>
            </w:r>
            <w:r>
              <w:rPr>
                <w:rFonts w:hint="eastAsia" w:ascii="宋体" w:hAnsi="宋体" w:eastAsia="宋体" w:cs="宋体"/>
                <w:sz w:val="21"/>
                <w:szCs w:val="21"/>
                <w:lang w:eastAsia="zh-CN"/>
              </w:rPr>
              <w:t>，内容包括：①货源、采购渠道管理；②</w:t>
            </w:r>
            <w:r>
              <w:rPr>
                <w:rFonts w:hint="eastAsia" w:ascii="宋体" w:hAnsi="宋体" w:eastAsia="宋体" w:cs="宋体"/>
                <w:kern w:val="2"/>
                <w:sz w:val="21"/>
                <w:lang w:eastAsia="zh-CN"/>
              </w:rPr>
              <w:t>仓储管理</w:t>
            </w:r>
            <w:r>
              <w:rPr>
                <w:rFonts w:hint="eastAsia" w:ascii="宋体" w:hAnsi="宋体" w:eastAsia="宋体" w:cs="宋体"/>
                <w:sz w:val="21"/>
                <w:szCs w:val="21"/>
                <w:lang w:eastAsia="zh-CN"/>
              </w:rPr>
              <w:t>；③品质监控；④</w:t>
            </w:r>
            <w:r>
              <w:rPr>
                <w:rFonts w:hint="eastAsia" w:ascii="宋体" w:hAnsi="宋体" w:eastAsia="宋体" w:cs="宋体"/>
                <w:sz w:val="21"/>
                <w:szCs w:val="21"/>
                <w:lang w:val="en-US" w:eastAsia="zh-CN"/>
              </w:rPr>
              <w:t>运输管理</w:t>
            </w:r>
            <w:r>
              <w:rPr>
                <w:rFonts w:hint="eastAsia" w:ascii="宋体" w:hAnsi="宋体" w:eastAsia="宋体" w:cs="宋体"/>
                <w:sz w:val="21"/>
                <w:szCs w:val="21"/>
                <w:lang w:eastAsia="zh-CN"/>
              </w:rPr>
              <w:t>。</w:t>
            </w:r>
          </w:p>
          <w:p w14:paraId="15A6D6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b/>
                <w:color w:val="000000"/>
                <w:kern w:val="2"/>
                <w:sz w:val="21"/>
                <w:szCs w:val="21"/>
                <w:lang w:eastAsia="zh-CN"/>
              </w:rPr>
            </w:pPr>
            <w:r>
              <w:rPr>
                <w:rFonts w:hint="eastAsia" w:ascii="宋体" w:hAnsi="宋体" w:eastAsia="宋体" w:cs="宋体"/>
                <w:b/>
                <w:color w:val="000000"/>
                <w:kern w:val="2"/>
                <w:sz w:val="21"/>
                <w:szCs w:val="21"/>
                <w:lang w:eastAsia="zh-CN"/>
              </w:rPr>
              <w:t>（二）评分依据：</w:t>
            </w:r>
          </w:p>
          <w:p w14:paraId="62BD2A3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1.每提供上述任意一项内容得15分，本小项累计最高得60分。</w:t>
            </w:r>
          </w:p>
          <w:p w14:paraId="2A48A5A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2.在此基础（第1项得分）上，评审委员会根据各投标人的具体响应内容进行进一步评审：</w:t>
            </w:r>
          </w:p>
          <w:p w14:paraId="23D1B28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优评分标准：方案优于且满足项目实际需求，内容系统完整、细节详尽规范；各方案逻辑思路清晰，核心环节的设计合理性极强，可操作性高的，得40分；</w:t>
            </w:r>
          </w:p>
          <w:p w14:paraId="037D627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良评分标准：方案完全满足项目实际需求，内容基本完整、规范；各方案逻辑思路较清晰，核心环节设计合理性较强，具备基本可操作性，得25分；</w:t>
            </w:r>
          </w:p>
          <w:p w14:paraId="0D74C9D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中评分标准：方案部分满足项目实际需求，内容完整性和规范性一般；方案逻辑思路不够清晰，核心环节设计合理性一般，部分内容可操作性不足，得10分；</w:t>
            </w:r>
          </w:p>
          <w:p w14:paraId="43C18B5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差评分标准：存在方案严重不规范的情况；方案逻辑思路混乱，核心环节设计合理性差，不具备可操作性，评价为差不得分。</w:t>
            </w:r>
          </w:p>
          <w:p w14:paraId="631247E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备注：投标人未提供相应方案的，得0分。</w:t>
            </w:r>
          </w:p>
          <w:p w14:paraId="265905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center"/>
              <w:rPr>
                <w:rFonts w:hint="eastAsia" w:ascii="宋体" w:hAnsi="宋体" w:eastAsia="宋体" w:cs="宋体"/>
                <w:kern w:val="2"/>
                <w:sz w:val="21"/>
                <w:szCs w:val="21"/>
                <w:lang w:eastAsia="zh-CN"/>
              </w:rPr>
            </w:pPr>
            <w:r>
              <w:rPr>
                <w:rFonts w:hint="eastAsia" w:ascii="宋体" w:hAnsi="宋体" w:eastAsia="宋体" w:cs="宋体"/>
                <w:b/>
                <w:bCs/>
                <w:kern w:val="2"/>
                <w:sz w:val="21"/>
                <w:szCs w:val="21"/>
                <w:lang w:eastAsia="zh-CN"/>
              </w:rPr>
              <w:t>以上两项得分累计，最高得100分。</w:t>
            </w:r>
          </w:p>
        </w:tc>
      </w:tr>
      <w:tr w14:paraId="0B40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31F27B21">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0211A9F6">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w:t>
            </w:r>
          </w:p>
        </w:tc>
        <w:tc>
          <w:tcPr>
            <w:tcW w:w="1852" w:type="dxa"/>
            <w:vAlign w:val="center"/>
          </w:tcPr>
          <w:p w14:paraId="21F195B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项目配送方案</w:t>
            </w:r>
          </w:p>
        </w:tc>
        <w:tc>
          <w:tcPr>
            <w:tcW w:w="698" w:type="dxa"/>
            <w:vAlign w:val="center"/>
          </w:tcPr>
          <w:p w14:paraId="7BFB9C80">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6</w:t>
            </w:r>
          </w:p>
        </w:tc>
        <w:tc>
          <w:tcPr>
            <w:tcW w:w="5756" w:type="dxa"/>
            <w:gridSpan w:val="3"/>
            <w:vAlign w:val="top"/>
          </w:tcPr>
          <w:p w14:paraId="344A8EF2">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6BAA1542">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根据招标文件要求提供项目配送方案，内容包括：①供货时间安排；②人员安排；③设备配备；④换货、调货安排。</w:t>
            </w:r>
          </w:p>
          <w:p w14:paraId="3C18CABB">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5AA411B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1.每提供上述任意一项内容得15分，本小项累计最高得60分。</w:t>
            </w:r>
          </w:p>
          <w:p w14:paraId="756F58F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2.在此基础（第1项得分）上，评审委员会根据各投标人的具体响应内容进行进一步评审：</w:t>
            </w:r>
          </w:p>
          <w:p w14:paraId="69E21742">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优评分标准：方案优于且满足项目实际需求，内容系统完整、细节详尽规范；各方案逻辑思路清晰，核心环节的设计合理性极强，可操作性高的，得40分；</w:t>
            </w:r>
          </w:p>
          <w:p w14:paraId="1F6571F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良评分标准：方案完全满足项目实际需求，内容基本完整、规范；各方案逻辑思路较清晰，核心环节设计合理性较强，具备基本可操作性，得25分；</w:t>
            </w:r>
          </w:p>
          <w:p w14:paraId="46C9C2F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中评分标准：方案部分满足项目实际需求，内容完整性和规范性一般；方案逻辑思路不够清晰，核心环节设计合理性一般，部分内容可操作性不足，得10分；</w:t>
            </w:r>
          </w:p>
          <w:p w14:paraId="3788A910">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差评分标准：存在方案严重不规范的情况；方案逻辑思路混乱，核心环节设计合理性差，不具备可操作性，评价为差不得分。</w:t>
            </w:r>
          </w:p>
          <w:p w14:paraId="21C6C28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备注：投标人未提供相应方案的，得0分。</w:t>
            </w:r>
          </w:p>
          <w:p w14:paraId="479B642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b/>
                <w:bCs/>
                <w:kern w:val="2"/>
                <w:sz w:val="21"/>
                <w:szCs w:val="21"/>
                <w:lang w:eastAsia="zh-CN"/>
              </w:rPr>
              <w:t>以上两项得分累计，最高得100分。</w:t>
            </w:r>
          </w:p>
        </w:tc>
      </w:tr>
      <w:tr w14:paraId="336D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766E6A24">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096CDE33">
            <w:pPr>
              <w:keepNext w:val="0"/>
              <w:keepLines w:val="0"/>
              <w:widowControl w:val="0"/>
              <w:suppressLineNumbers w:val="0"/>
              <w:wordWrap w:val="0"/>
              <w:spacing w:before="0" w:beforeAutospacing="0" w:after="0" w:afterAutospacing="0"/>
              <w:ind w:left="0" w:right="0"/>
              <w:jc w:val="center"/>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3</w:t>
            </w:r>
          </w:p>
        </w:tc>
        <w:tc>
          <w:tcPr>
            <w:tcW w:w="1852" w:type="dxa"/>
            <w:vAlign w:val="center"/>
          </w:tcPr>
          <w:p w14:paraId="647D22A3">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规章管理制度</w:t>
            </w:r>
          </w:p>
        </w:tc>
        <w:tc>
          <w:tcPr>
            <w:tcW w:w="698" w:type="dxa"/>
            <w:vAlign w:val="center"/>
          </w:tcPr>
          <w:p w14:paraId="2611C91C">
            <w:pPr>
              <w:keepNext w:val="0"/>
              <w:keepLines w:val="0"/>
              <w:widowControl w:val="0"/>
              <w:suppressLineNumbers w:val="0"/>
              <w:spacing w:before="0" w:beforeAutospacing="0" w:after="0" w:afterAutospacing="0"/>
              <w:ind w:left="0" w:right="0"/>
              <w:jc w:val="center"/>
              <w:rPr>
                <w:rFonts w:hint="default"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6</w:t>
            </w:r>
          </w:p>
        </w:tc>
        <w:tc>
          <w:tcPr>
            <w:tcW w:w="5756" w:type="dxa"/>
            <w:gridSpan w:val="3"/>
            <w:vAlign w:val="top"/>
          </w:tcPr>
          <w:p w14:paraId="0829B2D0">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2B8E2229">
            <w:pPr>
              <w:keepNext w:val="0"/>
              <w:keepLines w:val="0"/>
              <w:widowControl w:val="0"/>
              <w:suppressLineNumbers w:val="0"/>
              <w:spacing w:before="0" w:beforeAutospacing="0" w:after="0" w:afterAutospacing="0"/>
              <w:ind w:left="0" w:right="0"/>
              <w:jc w:val="left"/>
              <w:rPr>
                <w:rFonts w:hint="eastAsia" w:ascii="宋体" w:hAnsi="宋体" w:eastAsia="宋体" w:cs="宋体"/>
                <w:b w:val="0"/>
                <w:bCs w:val="0"/>
                <w:kern w:val="2"/>
                <w:sz w:val="21"/>
                <w:szCs w:val="21"/>
                <w:lang w:eastAsia="zh-CN"/>
              </w:rPr>
            </w:pPr>
            <w:r>
              <w:rPr>
                <w:rFonts w:hint="eastAsia" w:ascii="宋体" w:hAnsi="宋体" w:eastAsia="宋体" w:cs="宋体"/>
                <w:kern w:val="2"/>
                <w:sz w:val="21"/>
                <w:szCs w:val="21"/>
                <w:lang w:eastAsia="zh-CN"/>
              </w:rPr>
              <w:t>根据招标文件要求提供</w:t>
            </w:r>
            <w:r>
              <w:rPr>
                <w:rFonts w:hint="eastAsia" w:ascii="宋体" w:hAnsi="宋体" w:eastAsia="宋体" w:cs="宋体"/>
                <w:b w:val="0"/>
                <w:bCs w:val="0"/>
                <w:kern w:val="2"/>
                <w:sz w:val="21"/>
                <w:szCs w:val="21"/>
                <w:lang w:eastAsia="zh-CN"/>
              </w:rPr>
              <w:t>本项目的项目规章管理制度、工作流程等，包括以下内容:</w:t>
            </w:r>
            <w:r>
              <w:rPr>
                <w:rFonts w:hint="eastAsia" w:ascii="宋体" w:hAnsi="宋体" w:eastAsia="宋体" w:cs="宋体"/>
                <w:kern w:val="2"/>
                <w:sz w:val="21"/>
                <w:szCs w:val="21"/>
                <w:lang w:eastAsia="zh-CN"/>
              </w:rPr>
              <w:t>①</w:t>
            </w:r>
            <w:r>
              <w:rPr>
                <w:rFonts w:hint="eastAsia" w:ascii="宋体" w:hAnsi="宋体" w:eastAsia="宋体" w:cs="宋体"/>
                <w:b w:val="0"/>
                <w:bCs w:val="0"/>
                <w:kern w:val="2"/>
                <w:sz w:val="21"/>
                <w:szCs w:val="21"/>
                <w:lang w:eastAsia="zh-CN"/>
              </w:rPr>
              <w:t>食品安全保障制度；</w:t>
            </w:r>
            <w:r>
              <w:rPr>
                <w:rFonts w:hint="eastAsia" w:ascii="宋体" w:hAnsi="宋体" w:eastAsia="宋体" w:cs="宋体"/>
                <w:kern w:val="2"/>
                <w:sz w:val="21"/>
                <w:szCs w:val="21"/>
                <w:lang w:eastAsia="zh-CN"/>
              </w:rPr>
              <w:t>②</w:t>
            </w:r>
            <w:r>
              <w:rPr>
                <w:rFonts w:hint="eastAsia" w:ascii="宋体" w:hAnsi="宋体" w:eastAsia="宋体" w:cs="宋体"/>
                <w:b w:val="0"/>
                <w:bCs w:val="0"/>
                <w:kern w:val="2"/>
                <w:sz w:val="21"/>
                <w:szCs w:val="21"/>
                <w:lang w:eastAsia="zh-CN"/>
              </w:rPr>
              <w:t>人员岗位职责；</w:t>
            </w:r>
            <w:r>
              <w:rPr>
                <w:rFonts w:hint="eastAsia" w:ascii="宋体" w:hAnsi="宋体" w:eastAsia="宋体" w:cs="宋体"/>
                <w:kern w:val="2"/>
                <w:sz w:val="21"/>
                <w:szCs w:val="21"/>
                <w:lang w:eastAsia="zh-CN"/>
              </w:rPr>
              <w:t>③</w:t>
            </w:r>
            <w:r>
              <w:rPr>
                <w:rFonts w:hint="eastAsia" w:ascii="宋体" w:hAnsi="宋体" w:eastAsia="宋体" w:cs="宋体"/>
                <w:b w:val="0"/>
                <w:bCs w:val="0"/>
                <w:kern w:val="2"/>
                <w:sz w:val="21"/>
                <w:szCs w:val="21"/>
                <w:lang w:eastAsia="zh-CN"/>
              </w:rPr>
              <w:t>操作规程；</w:t>
            </w:r>
            <w:r>
              <w:rPr>
                <w:rFonts w:hint="eastAsia" w:ascii="宋体" w:hAnsi="宋体" w:eastAsia="宋体" w:cs="宋体"/>
                <w:kern w:val="2"/>
                <w:sz w:val="21"/>
                <w:szCs w:val="21"/>
                <w:lang w:eastAsia="zh-CN"/>
              </w:rPr>
              <w:t>④</w:t>
            </w:r>
            <w:r>
              <w:rPr>
                <w:rFonts w:hint="eastAsia" w:ascii="宋体" w:hAnsi="宋体" w:eastAsia="宋体" w:cs="宋体"/>
                <w:b w:val="0"/>
                <w:bCs w:val="0"/>
                <w:kern w:val="2"/>
                <w:sz w:val="21"/>
                <w:szCs w:val="21"/>
                <w:lang w:eastAsia="zh-CN"/>
              </w:rPr>
              <w:t>劳动纪律和奖惩办法；</w:t>
            </w:r>
            <w:r>
              <w:rPr>
                <w:rFonts w:hint="eastAsia" w:ascii="宋体" w:hAnsi="宋体" w:eastAsia="宋体" w:cs="宋体"/>
                <w:kern w:val="2"/>
                <w:sz w:val="21"/>
                <w:szCs w:val="21"/>
                <w:lang w:eastAsia="zh-CN"/>
              </w:rPr>
              <w:t>⑤</w:t>
            </w:r>
            <w:r>
              <w:rPr>
                <w:rFonts w:hint="eastAsia" w:ascii="宋体" w:hAnsi="宋体" w:eastAsia="宋体" w:cs="宋体"/>
                <w:b w:val="0"/>
                <w:bCs w:val="0"/>
                <w:kern w:val="2"/>
                <w:sz w:val="21"/>
                <w:szCs w:val="21"/>
                <w:lang w:eastAsia="zh-CN"/>
              </w:rPr>
              <w:t>客户投诉反馈管理制度。</w:t>
            </w:r>
          </w:p>
          <w:p w14:paraId="5191C0A7">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4A5F8B64">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1.每提供上述任意一项内容得15分，本小项累计最高得75分。</w:t>
            </w:r>
          </w:p>
          <w:p w14:paraId="32822481">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2.在此基础（第1项得分）上，评审委员会根据各投标人的具体响应内容进一步评审：</w:t>
            </w:r>
          </w:p>
          <w:p w14:paraId="46414D31">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优评分标准：规章管理制度、工作流程详细具体、针对性强、科学合理、可操作性强加25分；</w:t>
            </w:r>
          </w:p>
          <w:p w14:paraId="17E63ED6">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良评分标准：规章管理制度、工作流程较为详细具体、针对性较强、较为科学合理、可操作性较强的加15分；</w:t>
            </w:r>
          </w:p>
          <w:p w14:paraId="6F4AAF4D">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中评分标准：规章管理制度、工作流程不够全面具体、针对性一般、科学合理性一般、可操作性一般的加5分；</w:t>
            </w:r>
          </w:p>
          <w:p w14:paraId="24B2882E">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差评分标准：规章管理制度、工作流程无针对性、不科学合理、可操作性差的不加分。</w:t>
            </w:r>
          </w:p>
          <w:p w14:paraId="0E607781">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备注：投标人未提供相应方案的，得0分。</w:t>
            </w:r>
          </w:p>
          <w:p w14:paraId="4EAA40F1">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lang w:eastAsia="zh-CN"/>
              </w:rPr>
            </w:pPr>
            <w:r>
              <w:rPr>
                <w:rFonts w:hint="eastAsia" w:ascii="宋体" w:hAnsi="宋体" w:eastAsia="宋体" w:cs="宋体"/>
                <w:b/>
                <w:bCs/>
                <w:kern w:val="2"/>
                <w:sz w:val="21"/>
                <w:szCs w:val="21"/>
                <w:lang w:eastAsia="zh-CN"/>
              </w:rPr>
              <w:t>以上两项得分累计，最高得100分。</w:t>
            </w:r>
          </w:p>
        </w:tc>
      </w:tr>
      <w:tr w14:paraId="7A28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306E97CD">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072761EC">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4</w:t>
            </w:r>
          </w:p>
        </w:tc>
        <w:tc>
          <w:tcPr>
            <w:tcW w:w="1852" w:type="dxa"/>
            <w:vAlign w:val="center"/>
          </w:tcPr>
          <w:p w14:paraId="5A425E4D">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sz w:val="21"/>
                <w:szCs w:val="21"/>
                <w:lang w:eastAsia="zh-CN"/>
              </w:rPr>
              <w:t>应急方案</w:t>
            </w:r>
          </w:p>
        </w:tc>
        <w:tc>
          <w:tcPr>
            <w:tcW w:w="698" w:type="dxa"/>
            <w:vAlign w:val="center"/>
          </w:tcPr>
          <w:p w14:paraId="41799787">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8</w:t>
            </w:r>
          </w:p>
        </w:tc>
        <w:tc>
          <w:tcPr>
            <w:tcW w:w="5756" w:type="dxa"/>
            <w:gridSpan w:val="3"/>
            <w:vAlign w:val="top"/>
          </w:tcPr>
          <w:p w14:paraId="5B66C683">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44AF3F51">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根据招标文件要求提供应急方案，内容包含：</w:t>
            </w:r>
          </w:p>
          <w:p w14:paraId="44C268E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①就餐人数浮动需增加配送份额或者临时配送需求、响应时间及配送时效解决方案；②遇台风、暴雨恶劣天气配送解决方案；③中标人所提供的肉菜质量不符合要求，需要更换问题菜品的解决方案；④采购单位食堂出现食品安全事故，供应商内部自检及善后处理问题解决方案；⑤其他应急事件解决方案。</w:t>
            </w:r>
          </w:p>
          <w:p w14:paraId="48AAA848">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189F628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1.每提供上述任意一项内容得12分，本小项累计最高得60分。</w:t>
            </w:r>
          </w:p>
          <w:p w14:paraId="396503F9">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2.在此基础（第1项得分）上，评审委员会根据各投标人的具体响应内容进行进一步评审：</w:t>
            </w:r>
          </w:p>
          <w:p w14:paraId="1EC0DD6D">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优评分标准：方案优于且满足项目实际需求，内容系统完整、细节详尽规范；各方案逻辑思路清晰，核心环节的设计合理性极强，可操作性高的，得40分；</w:t>
            </w:r>
          </w:p>
          <w:p w14:paraId="7DB05C6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良评分标准：方案完全满足项目实际需求，内容基本完整、规范；各方案逻辑思路较清晰，核心环节设计合理性较强，具备基本可操作性，得25分；</w:t>
            </w:r>
          </w:p>
          <w:p w14:paraId="56914D18">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中评分标准：方案部分满足项目实际需求，内容完整性和规范性一般；方案逻辑思路不够清晰，核心环节设计合理性一般，部分内容可操作性不足，得10分；</w:t>
            </w:r>
          </w:p>
          <w:p w14:paraId="4019CC78">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差评分标准：存在方案严重不规范的情况；方案逻辑思路混乱，核心环节设计合理性差，不具备可操作性，评价为差不得分。</w:t>
            </w:r>
          </w:p>
          <w:p w14:paraId="3C85E38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备注：投标人未提供相应方案的，得0分。</w:t>
            </w:r>
          </w:p>
          <w:p w14:paraId="75526CF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b/>
                <w:bCs/>
                <w:kern w:val="2"/>
                <w:sz w:val="21"/>
                <w:szCs w:val="21"/>
                <w:lang w:eastAsia="zh-CN"/>
              </w:rPr>
              <w:t>以上两项得分累计，最高得100分。</w:t>
            </w:r>
          </w:p>
        </w:tc>
      </w:tr>
      <w:tr w14:paraId="36D45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1E84C2CD">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759D630D">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5</w:t>
            </w:r>
          </w:p>
        </w:tc>
        <w:tc>
          <w:tcPr>
            <w:tcW w:w="1852" w:type="dxa"/>
            <w:vAlign w:val="center"/>
          </w:tcPr>
          <w:p w14:paraId="4F27713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lang w:eastAsia="zh-CN"/>
              </w:rPr>
              <w:t>应急及</w:t>
            </w:r>
            <w:r>
              <w:rPr>
                <w:rFonts w:hint="eastAsia" w:ascii="宋体" w:hAnsi="宋体" w:eastAsia="宋体" w:cs="宋体"/>
                <w:kern w:val="2"/>
                <w:sz w:val="21"/>
                <w:szCs w:val="21"/>
                <w:lang w:eastAsia="zh-CN"/>
              </w:rPr>
              <w:t>食品</w:t>
            </w:r>
            <w:r>
              <w:rPr>
                <w:rFonts w:hint="eastAsia" w:ascii="宋体" w:hAnsi="宋体" w:eastAsia="宋体" w:cs="宋体"/>
                <w:kern w:val="2"/>
                <w:sz w:val="21"/>
                <w:lang w:eastAsia="zh-CN"/>
              </w:rPr>
              <w:t>安全响应</w:t>
            </w:r>
          </w:p>
        </w:tc>
        <w:tc>
          <w:tcPr>
            <w:tcW w:w="698" w:type="dxa"/>
            <w:vAlign w:val="center"/>
          </w:tcPr>
          <w:p w14:paraId="4990D9B8">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1</w:t>
            </w:r>
          </w:p>
        </w:tc>
        <w:tc>
          <w:tcPr>
            <w:tcW w:w="5756" w:type="dxa"/>
            <w:gridSpan w:val="3"/>
            <w:vAlign w:val="top"/>
          </w:tcPr>
          <w:p w14:paraId="0B3B9E3E">
            <w:pPr>
              <w:keepNext w:val="0"/>
              <w:keepLines w:val="0"/>
              <w:widowControl w:val="0"/>
              <w:suppressLineNumbers w:val="0"/>
              <w:spacing w:before="0" w:beforeAutospacing="0" w:after="0" w:afterAutospacing="0"/>
              <w:ind w:left="0" w:right="0"/>
              <w:jc w:val="both"/>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05604300">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投标人承诺自采购人告知应急事项起0.5 小时（含）内完成应急处置响应（应急处置响应判定标准：不单纯以接通电话、微信消息联络作为响应依据，须在承诺时限内同步完成三项工作：①专人对接核实全部应急问题；②向采购人出具可落地应急处置方案；③同步启动备用车辆、备货、现场人员等实质性调配处置工作，三者全部完成方视为有效响应</w:t>
            </w:r>
            <w:r>
              <w:rPr>
                <w:rFonts w:hint="eastAsia" w:ascii="宋体" w:hAnsi="宋体" w:cs="宋体"/>
                <w:kern w:val="2"/>
                <w:sz w:val="21"/>
                <w:szCs w:val="21"/>
                <w:lang w:eastAsia="zh-CN"/>
              </w:rPr>
              <w:t>，</w:t>
            </w:r>
            <w:r>
              <w:rPr>
                <w:rFonts w:hint="eastAsia" w:ascii="宋体" w:hAnsi="宋体" w:cs="宋体"/>
                <w:kern w:val="2"/>
                <w:sz w:val="21"/>
                <w:szCs w:val="21"/>
                <w:lang w:val="en-US" w:eastAsia="zh-CN"/>
              </w:rPr>
              <w:t>得100分。</w:t>
            </w:r>
            <w:r>
              <w:rPr>
                <w:rFonts w:hint="eastAsia" w:ascii="宋体" w:hAnsi="宋体" w:eastAsia="宋体" w:cs="宋体"/>
                <w:kern w:val="2"/>
                <w:sz w:val="21"/>
                <w:szCs w:val="21"/>
                <w:lang w:eastAsia="zh-CN"/>
              </w:rPr>
              <w:t>）</w:t>
            </w:r>
          </w:p>
          <w:p w14:paraId="57566FD3">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【本项最高可得100分】</w:t>
            </w:r>
          </w:p>
          <w:p w14:paraId="057B6089">
            <w:pPr>
              <w:keepNext w:val="0"/>
              <w:keepLines w:val="0"/>
              <w:widowControl w:val="0"/>
              <w:suppressLineNumbers w:val="0"/>
              <w:spacing w:before="0" w:beforeAutospacing="0" w:after="0" w:afterAutospacing="0"/>
              <w:ind w:left="0" w:right="0"/>
              <w:jc w:val="both"/>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3FBDA537">
            <w:pPr>
              <w:keepNext w:val="0"/>
              <w:keepLines w:val="0"/>
              <w:widowControl w:val="0"/>
              <w:suppressLineNumbers w:val="0"/>
              <w:spacing w:before="0" w:beforeAutospacing="0" w:after="0" w:afterAutospacing="0"/>
              <w:ind w:left="0" w:right="0"/>
              <w:jc w:val="both"/>
              <w:rPr>
                <w:rFonts w:hint="eastAsia" w:ascii="宋体" w:hAnsi="宋体" w:eastAsia="宋体" w:cs="宋体"/>
                <w:b/>
                <w:bCs/>
                <w:kern w:val="2"/>
                <w:sz w:val="21"/>
                <w:szCs w:val="21"/>
                <w:lang w:eastAsia="zh-CN"/>
              </w:rPr>
            </w:pPr>
            <w:r>
              <w:rPr>
                <w:rFonts w:hint="eastAsia" w:ascii="宋体" w:hAnsi="宋体" w:eastAsia="宋体" w:cs="宋体"/>
                <w:b w:val="0"/>
                <w:bCs w:val="0"/>
                <w:kern w:val="2"/>
                <w:sz w:val="21"/>
                <w:szCs w:val="21"/>
                <w:lang w:eastAsia="zh-CN"/>
              </w:rPr>
              <w:t>投标人提供承诺函（格式自拟），未提供承诺函的不得分。如未按要求提供证明材料，或所提供的证明材料未能体现上述评分内容的，视为该证明材料无效。</w:t>
            </w:r>
          </w:p>
        </w:tc>
      </w:tr>
      <w:tr w14:paraId="5693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705DE6C3">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6129DD00">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6</w:t>
            </w:r>
          </w:p>
        </w:tc>
        <w:tc>
          <w:tcPr>
            <w:tcW w:w="1852" w:type="dxa"/>
            <w:vAlign w:val="center"/>
          </w:tcPr>
          <w:p w14:paraId="39FA45B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冷库</w:t>
            </w:r>
            <w:r>
              <w:rPr>
                <w:rFonts w:hint="eastAsia" w:ascii="宋体" w:hAnsi="宋体" w:cs="宋体"/>
                <w:kern w:val="2"/>
                <w:sz w:val="21"/>
                <w:szCs w:val="21"/>
                <w:lang w:val="en-US" w:eastAsia="zh-CN"/>
              </w:rPr>
              <w:t>容</w:t>
            </w:r>
            <w:r>
              <w:rPr>
                <w:rFonts w:hint="eastAsia" w:ascii="宋体" w:hAnsi="宋体" w:eastAsia="宋体" w:cs="宋体"/>
                <w:kern w:val="2"/>
                <w:sz w:val="21"/>
                <w:szCs w:val="21"/>
                <w:lang w:eastAsia="zh-CN"/>
              </w:rPr>
              <w:t>积</w:t>
            </w:r>
          </w:p>
        </w:tc>
        <w:tc>
          <w:tcPr>
            <w:tcW w:w="698" w:type="dxa"/>
            <w:vAlign w:val="center"/>
          </w:tcPr>
          <w:p w14:paraId="4C3F2B42">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3</w:t>
            </w:r>
          </w:p>
        </w:tc>
        <w:tc>
          <w:tcPr>
            <w:tcW w:w="5756" w:type="dxa"/>
            <w:gridSpan w:val="3"/>
            <w:vAlign w:val="top"/>
          </w:tcPr>
          <w:p w14:paraId="0E3C3A48">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0CB0410D">
            <w:pPr>
              <w:ind w:firstLine="420" w:firstLineChars="200"/>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投标人自有或租赁的冷库【含冷冻（或急冻）和冷藏（或保鲜）】</w:t>
            </w:r>
            <w:r>
              <w:rPr>
                <w:rFonts w:hint="eastAsia" w:ascii="宋体" w:hAnsi="宋体" w:cs="宋体"/>
                <w:kern w:val="2"/>
                <w:sz w:val="21"/>
                <w:szCs w:val="21"/>
                <w:lang w:val="en-US" w:eastAsia="zh-CN"/>
              </w:rPr>
              <w:t>容</w:t>
            </w:r>
            <w:r>
              <w:rPr>
                <w:rFonts w:hint="eastAsia" w:ascii="宋体" w:hAnsi="宋体" w:eastAsia="宋体" w:cs="宋体"/>
                <w:kern w:val="2"/>
                <w:sz w:val="21"/>
                <w:szCs w:val="21"/>
                <w:lang w:eastAsia="zh-CN"/>
              </w:rPr>
              <w:t>积：</w:t>
            </w:r>
          </w:p>
          <w:p w14:paraId="0FFDC57F">
            <w:pPr>
              <w:rPr>
                <w:rFonts w:hint="eastAsia" w:ascii="宋体" w:hAnsi="宋体" w:cs="宋体"/>
                <w:bCs/>
                <w:snapToGrid w:val="0"/>
                <w:szCs w:val="21"/>
                <w:highlight w:val="none"/>
              </w:rPr>
            </w:pPr>
            <w:r>
              <w:rPr>
                <w:rFonts w:hint="eastAsia" w:ascii="宋体" w:hAnsi="宋体" w:cs="宋体"/>
                <w:bCs/>
                <w:snapToGrid w:val="0"/>
                <w:szCs w:val="21"/>
                <w:highlight w:val="none"/>
              </w:rPr>
              <w:t>1.冷库容积总计≥2000立方米的得100</w:t>
            </w:r>
            <w:r>
              <w:rPr>
                <w:rFonts w:hint="eastAsia" w:ascii="宋体" w:hAnsi="宋体" w:cs="宋体"/>
                <w:bCs/>
                <w:snapToGrid w:val="0"/>
                <w:szCs w:val="21"/>
                <w:highlight w:val="none"/>
                <w:lang w:val="en-US" w:eastAsia="zh-CN"/>
              </w:rPr>
              <w:t>分</w:t>
            </w:r>
            <w:r>
              <w:rPr>
                <w:rFonts w:hint="eastAsia" w:ascii="宋体" w:hAnsi="宋体" w:cs="宋体"/>
                <w:bCs/>
                <w:snapToGrid w:val="0"/>
                <w:szCs w:val="21"/>
                <w:highlight w:val="none"/>
              </w:rPr>
              <w:t>；</w:t>
            </w:r>
          </w:p>
          <w:p w14:paraId="3E1BF4AD">
            <w:pPr>
              <w:rPr>
                <w:rFonts w:hint="eastAsia" w:ascii="宋体" w:hAnsi="宋体" w:cs="宋体"/>
                <w:bCs/>
                <w:snapToGrid w:val="0"/>
                <w:szCs w:val="21"/>
                <w:highlight w:val="none"/>
              </w:rPr>
            </w:pPr>
            <w:r>
              <w:rPr>
                <w:rFonts w:hint="eastAsia" w:ascii="宋体" w:hAnsi="宋体" w:cs="宋体"/>
                <w:bCs/>
                <w:snapToGrid w:val="0"/>
                <w:szCs w:val="21"/>
                <w:highlight w:val="none"/>
              </w:rPr>
              <w:t>2.1</w:t>
            </w:r>
            <w:r>
              <w:rPr>
                <w:rFonts w:hint="eastAsia" w:ascii="宋体" w:hAnsi="宋体" w:cs="宋体"/>
                <w:bCs/>
                <w:snapToGrid w:val="0"/>
                <w:szCs w:val="21"/>
                <w:highlight w:val="none"/>
                <w:lang w:val="en-US" w:eastAsia="zh-CN"/>
              </w:rPr>
              <w:t>000</w:t>
            </w:r>
            <w:r>
              <w:rPr>
                <w:rFonts w:hint="eastAsia" w:ascii="宋体" w:hAnsi="宋体" w:cs="宋体"/>
                <w:bCs/>
                <w:snapToGrid w:val="0"/>
                <w:szCs w:val="21"/>
                <w:highlight w:val="none"/>
              </w:rPr>
              <w:t>立方米≤冷库容积总计＜2000立方米的得</w:t>
            </w:r>
            <w:r>
              <w:rPr>
                <w:rFonts w:hint="eastAsia" w:ascii="宋体" w:hAnsi="宋体" w:cs="宋体"/>
                <w:bCs/>
                <w:snapToGrid w:val="0"/>
                <w:szCs w:val="21"/>
                <w:highlight w:val="none"/>
                <w:lang w:val="en-US" w:eastAsia="zh-CN"/>
              </w:rPr>
              <w:t>50分</w:t>
            </w:r>
            <w:r>
              <w:rPr>
                <w:rFonts w:hint="eastAsia" w:ascii="宋体" w:hAnsi="宋体" w:cs="宋体"/>
                <w:bCs/>
                <w:snapToGrid w:val="0"/>
                <w:szCs w:val="21"/>
                <w:highlight w:val="none"/>
              </w:rPr>
              <w:t>；</w:t>
            </w:r>
          </w:p>
          <w:p w14:paraId="310BEFC1">
            <w:pPr>
              <w:keepNext w:val="0"/>
              <w:keepLines w:val="0"/>
              <w:widowControl w:val="0"/>
              <w:suppressLineNumbers w:val="0"/>
              <w:spacing w:before="0" w:beforeAutospacing="0" w:after="0" w:afterAutospacing="0"/>
              <w:ind w:right="0"/>
              <w:jc w:val="left"/>
              <w:rPr>
                <w:rFonts w:hint="default" w:ascii="宋体" w:hAnsi="宋体" w:eastAsia="宋体" w:cs="宋体"/>
                <w:kern w:val="2"/>
                <w:sz w:val="21"/>
                <w:szCs w:val="21"/>
                <w:lang w:val="en-US" w:eastAsia="zh-CN"/>
              </w:rPr>
            </w:pPr>
            <w:r>
              <w:rPr>
                <w:rFonts w:hint="eastAsia" w:ascii="宋体" w:hAnsi="宋体" w:cs="宋体"/>
                <w:bCs/>
                <w:snapToGrid w:val="0"/>
                <w:szCs w:val="21"/>
                <w:highlight w:val="none"/>
              </w:rPr>
              <w:t>3.</w:t>
            </w:r>
            <w:r>
              <w:rPr>
                <w:rFonts w:hint="eastAsia" w:ascii="宋体" w:hAnsi="宋体" w:cs="宋体"/>
                <w:bCs/>
                <w:snapToGrid w:val="0"/>
                <w:szCs w:val="21"/>
                <w:highlight w:val="none"/>
                <w:lang w:val="en-US" w:eastAsia="zh-CN"/>
              </w:rPr>
              <w:t>500</w:t>
            </w:r>
            <w:r>
              <w:rPr>
                <w:rFonts w:hint="eastAsia" w:ascii="宋体" w:hAnsi="宋体" w:cs="宋体"/>
                <w:bCs/>
                <w:snapToGrid w:val="0"/>
                <w:szCs w:val="21"/>
                <w:highlight w:val="none"/>
              </w:rPr>
              <w:t>立方米≤冷库容积总计＜</w:t>
            </w:r>
            <w:r>
              <w:rPr>
                <w:rFonts w:hint="eastAsia" w:ascii="宋体" w:hAnsi="宋体" w:cs="宋体"/>
                <w:bCs/>
                <w:snapToGrid w:val="0"/>
                <w:szCs w:val="21"/>
                <w:highlight w:val="none"/>
                <w:lang w:val="en-US" w:eastAsia="zh-CN"/>
              </w:rPr>
              <w:t>1000</w:t>
            </w:r>
            <w:r>
              <w:rPr>
                <w:rFonts w:hint="eastAsia" w:ascii="宋体" w:hAnsi="宋体" w:cs="宋体"/>
                <w:bCs/>
                <w:snapToGrid w:val="0"/>
                <w:szCs w:val="21"/>
                <w:highlight w:val="none"/>
              </w:rPr>
              <w:t>立方米的得</w:t>
            </w:r>
            <w:r>
              <w:rPr>
                <w:rFonts w:hint="eastAsia" w:ascii="宋体" w:hAnsi="宋体" w:cs="宋体"/>
                <w:bCs/>
                <w:snapToGrid w:val="0"/>
                <w:szCs w:val="21"/>
                <w:highlight w:val="none"/>
                <w:lang w:val="en-US" w:eastAsia="zh-CN"/>
              </w:rPr>
              <w:t>2</w:t>
            </w:r>
            <w:r>
              <w:rPr>
                <w:rFonts w:hint="eastAsia" w:ascii="宋体" w:hAnsi="宋体" w:cs="宋体"/>
                <w:bCs/>
                <w:snapToGrid w:val="0"/>
                <w:szCs w:val="21"/>
                <w:highlight w:val="none"/>
              </w:rPr>
              <w:t>0</w:t>
            </w:r>
            <w:r>
              <w:rPr>
                <w:rFonts w:hint="eastAsia" w:ascii="宋体" w:hAnsi="宋体" w:cs="宋体"/>
                <w:bCs/>
                <w:snapToGrid w:val="0"/>
                <w:szCs w:val="21"/>
                <w:highlight w:val="none"/>
                <w:lang w:val="en-US" w:eastAsia="zh-CN"/>
              </w:rPr>
              <w:t>分；</w:t>
            </w:r>
            <w:r>
              <w:rPr>
                <w:rFonts w:hint="eastAsia" w:ascii="宋体" w:hAnsi="宋体" w:eastAsia="宋体" w:cs="宋体"/>
                <w:kern w:val="2"/>
                <w:sz w:val="21"/>
                <w:szCs w:val="21"/>
                <w:lang w:eastAsia="zh-CN"/>
              </w:rPr>
              <w:br w:type="textWrapping"/>
            </w:r>
            <w:r>
              <w:rPr>
                <w:rFonts w:hint="eastAsia" w:ascii="宋体" w:hAnsi="宋体" w:cs="宋体"/>
                <w:kern w:val="2"/>
                <w:sz w:val="21"/>
                <w:szCs w:val="21"/>
                <w:lang w:val="en-US" w:eastAsia="zh-CN"/>
              </w:rPr>
              <w:t>其余情况不得分。</w:t>
            </w:r>
          </w:p>
          <w:p w14:paraId="62B84AE1">
            <w:pPr>
              <w:keepNext w:val="0"/>
              <w:keepLines w:val="0"/>
              <w:widowControl w:val="0"/>
              <w:suppressLineNumbers w:val="0"/>
              <w:spacing w:before="0" w:beforeAutospacing="0" w:after="0" w:afterAutospacing="0"/>
              <w:ind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注：提供多个冷库的，</w:t>
            </w:r>
            <w:r>
              <w:rPr>
                <w:rFonts w:hint="eastAsia" w:ascii="宋体" w:hAnsi="宋体" w:cs="宋体"/>
                <w:kern w:val="2"/>
                <w:sz w:val="21"/>
                <w:szCs w:val="21"/>
                <w:lang w:val="en-US" w:eastAsia="zh-CN"/>
              </w:rPr>
              <w:t>容积</w:t>
            </w:r>
            <w:r>
              <w:rPr>
                <w:rFonts w:hint="eastAsia" w:ascii="宋体" w:hAnsi="宋体" w:eastAsia="宋体" w:cs="宋体"/>
                <w:kern w:val="2"/>
                <w:sz w:val="21"/>
                <w:szCs w:val="21"/>
                <w:lang w:eastAsia="zh-CN"/>
              </w:rPr>
              <w:t>可以累计。</w:t>
            </w:r>
          </w:p>
          <w:p w14:paraId="12A2E26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【本项最高可得100分】</w:t>
            </w:r>
          </w:p>
          <w:p w14:paraId="57E5DB6A">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5657FCF4">
            <w:pPr>
              <w:keepNext w:val="0"/>
              <w:keepLines w:val="0"/>
              <w:suppressLineNumbers w:val="0"/>
              <w:spacing w:before="0" w:beforeAutospacing="0" w:after="0" w:afterAutospacing="0"/>
              <w:ind w:left="0" w:right="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1.以上情况</w:t>
            </w:r>
            <w:r>
              <w:rPr>
                <w:rFonts w:hint="eastAsia" w:ascii="宋体" w:hAnsi="宋体" w:cs="宋体"/>
                <w:szCs w:val="21"/>
                <w:highlight w:val="none"/>
                <w:lang w:val="en-US" w:eastAsia="zh-CN"/>
              </w:rPr>
              <w:t>可</w:t>
            </w:r>
            <w:r>
              <w:rPr>
                <w:rFonts w:hint="eastAsia" w:ascii="宋体" w:hAnsi="宋体" w:eastAsia="宋体" w:cs="宋体"/>
                <w:szCs w:val="21"/>
                <w:highlight w:val="none"/>
                <w:lang w:val="en-US" w:eastAsia="zh-CN"/>
              </w:rPr>
              <w:t>累计得分。</w:t>
            </w:r>
          </w:p>
          <w:p w14:paraId="54544B43">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lang w:eastAsia="zh-CN"/>
              </w:rPr>
              <w:t>.若提供的是自有冷库</w:t>
            </w:r>
            <w:r>
              <w:rPr>
                <w:rFonts w:hint="eastAsia" w:ascii="宋体" w:hAnsi="宋体" w:eastAsia="宋体" w:cs="宋体"/>
                <w:kern w:val="2"/>
                <w:sz w:val="21"/>
                <w:szCs w:val="21"/>
                <w:lang w:val="en-US" w:eastAsia="zh-CN"/>
              </w:rPr>
              <w:t>须</w:t>
            </w:r>
            <w:r>
              <w:rPr>
                <w:rFonts w:hint="eastAsia" w:ascii="宋体" w:hAnsi="宋体" w:eastAsia="宋体" w:cs="宋体"/>
                <w:kern w:val="2"/>
                <w:sz w:val="21"/>
                <w:szCs w:val="21"/>
                <w:lang w:eastAsia="zh-CN"/>
              </w:rPr>
              <w:t>同时提供以下证明材料扫描件：①冷库安装合同（或冷库施工合同或冷库转让合同或冷库工程竣工验收报告）、②第三方机构出具的2025年或2026年的冷库【含冷冻（或急冻）和冷藏（或保鲜）】的温度校准文件。</w:t>
            </w:r>
          </w:p>
          <w:p w14:paraId="6E2E1ED4">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lang w:eastAsia="zh-CN"/>
              </w:rPr>
              <w:t>.若提供的是租赁冷库</w:t>
            </w:r>
            <w:r>
              <w:rPr>
                <w:rFonts w:hint="eastAsia" w:ascii="宋体" w:hAnsi="宋体" w:eastAsia="宋体" w:cs="宋体"/>
                <w:kern w:val="2"/>
                <w:sz w:val="21"/>
                <w:szCs w:val="21"/>
                <w:lang w:val="en-US" w:eastAsia="zh-CN"/>
              </w:rPr>
              <w:t>须</w:t>
            </w:r>
            <w:r>
              <w:rPr>
                <w:rFonts w:hint="eastAsia" w:ascii="宋体" w:hAnsi="宋体" w:eastAsia="宋体" w:cs="宋体"/>
                <w:kern w:val="2"/>
                <w:sz w:val="21"/>
                <w:szCs w:val="21"/>
                <w:lang w:eastAsia="zh-CN"/>
              </w:rPr>
              <w:t>同时提供以下证明材料扫描件：①冷库租赁合同关键页；②第三方机构出具的2025年或2026年的冷库【含冷冻（或急冻）和冷藏（或保鲜）】的温度校准文件；③提供近三个月内任意1个月租金发票或租金银行转账电子回单。</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val="en-US" w:eastAsia="zh-CN"/>
              </w:rPr>
              <w:t>4</w:t>
            </w:r>
            <w:r>
              <w:rPr>
                <w:rFonts w:hint="eastAsia" w:ascii="宋体" w:hAnsi="宋体" w:eastAsia="宋体" w:cs="宋体"/>
                <w:kern w:val="2"/>
                <w:sz w:val="21"/>
                <w:szCs w:val="21"/>
                <w:lang w:eastAsia="zh-CN"/>
              </w:rPr>
              <w:t>.以上资料若无</w:t>
            </w:r>
            <w:r>
              <w:rPr>
                <w:rFonts w:hint="eastAsia" w:ascii="宋体" w:hAnsi="宋体" w:cs="宋体"/>
                <w:kern w:val="2"/>
                <w:sz w:val="21"/>
                <w:szCs w:val="21"/>
                <w:lang w:val="en-US" w:eastAsia="zh-CN"/>
              </w:rPr>
              <w:t>容积</w:t>
            </w:r>
            <w:r>
              <w:rPr>
                <w:rFonts w:hint="eastAsia" w:ascii="宋体" w:hAnsi="宋体" w:eastAsia="宋体" w:cs="宋体"/>
                <w:kern w:val="2"/>
                <w:sz w:val="21"/>
                <w:szCs w:val="21"/>
                <w:lang w:eastAsia="zh-CN"/>
              </w:rPr>
              <w:t>体现，还需提供第三方测绘机构出具场地测绘报告及测绘机构的测绘资质证书；</w:t>
            </w:r>
          </w:p>
          <w:p w14:paraId="0B1A9408">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.提供冷库正门全景照片和内景照片各一张；</w:t>
            </w:r>
          </w:p>
          <w:p w14:paraId="41E8D381">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lang w:eastAsia="zh-CN"/>
              </w:rPr>
              <w:t>.未提供相关证明材料或者提供的证明材料不符合要求的或者提供的证明材料不清晰导致评审专家无法辨认的，不得分。</w:t>
            </w:r>
          </w:p>
          <w:p w14:paraId="08523DF0">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注：</w:t>
            </w:r>
          </w:p>
          <w:p w14:paraId="30E8631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lang w:eastAsia="zh-CN"/>
              </w:rPr>
              <w:t>）自有或租赁</w:t>
            </w:r>
            <w:r>
              <w:rPr>
                <w:rFonts w:hint="eastAsia" w:ascii="宋体" w:hAnsi="宋体" w:cs="宋体"/>
                <w:kern w:val="2"/>
                <w:sz w:val="21"/>
                <w:szCs w:val="21"/>
                <w:lang w:val="en-US" w:eastAsia="zh-CN"/>
              </w:rPr>
              <w:t>的冷库与</w:t>
            </w:r>
            <w:r>
              <w:rPr>
                <w:rFonts w:hint="eastAsia" w:ascii="宋体" w:hAnsi="宋体" w:eastAsia="宋体" w:cs="宋体"/>
                <w:kern w:val="2"/>
                <w:sz w:val="21"/>
                <w:szCs w:val="21"/>
                <w:lang w:eastAsia="zh-CN"/>
              </w:rPr>
              <w:t>配送场所须</w:t>
            </w:r>
            <w:r>
              <w:rPr>
                <w:rFonts w:hint="eastAsia" w:ascii="宋体" w:hAnsi="宋体" w:cs="宋体"/>
                <w:kern w:val="2"/>
                <w:sz w:val="21"/>
                <w:szCs w:val="21"/>
                <w:lang w:val="en-US" w:eastAsia="zh-CN"/>
              </w:rPr>
              <w:t>在同一</w:t>
            </w:r>
            <w:r>
              <w:rPr>
                <w:rFonts w:hint="eastAsia" w:ascii="宋体" w:hAnsi="宋体" w:eastAsia="宋体" w:cs="宋体"/>
                <w:kern w:val="2"/>
                <w:sz w:val="21"/>
                <w:szCs w:val="21"/>
                <w:lang w:eastAsia="zh-CN"/>
              </w:rPr>
              <w:t>地址内。证明材料需体现冷库所在地址。若投标人提供的证明材料无法体现地址，或评委无法判断根据投标人提供的证明材料判断其冷库地址是否位于配送场所的，作不得分处理。</w:t>
            </w:r>
          </w:p>
          <w:p w14:paraId="7F6E066B">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lang w:eastAsia="zh-CN"/>
              </w:rPr>
            </w:pP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lang w:eastAsia="zh-CN"/>
              </w:rPr>
              <w:t>）租赁合同有效期须在本项目投标截止时间之后，且须覆盖本项目服务期限</w:t>
            </w:r>
            <w:r>
              <w:rPr>
                <w:rFonts w:hint="eastAsia" w:ascii="宋体" w:hAnsi="宋体" w:cs="宋体"/>
                <w:kern w:val="2"/>
                <w:sz w:val="21"/>
                <w:szCs w:val="21"/>
                <w:lang w:val="en-US" w:eastAsia="zh-CN"/>
              </w:rPr>
              <w:t>2027年11月30日</w:t>
            </w:r>
            <w:r>
              <w:rPr>
                <w:rFonts w:hint="eastAsia" w:ascii="宋体" w:hAnsi="宋体" w:eastAsia="宋体" w:cs="宋体"/>
                <w:kern w:val="2"/>
                <w:sz w:val="21"/>
                <w:szCs w:val="21"/>
                <w:lang w:eastAsia="zh-CN"/>
              </w:rPr>
              <w:t>；如合同或协议有效期在本项目投标截止时间之后，但无法覆盖本项目服务期限，须另提供关于“中标后续签冷库租赁合同，且合同有效期将涵盖本项目服务期限”的承诺函（承诺函格式自拟），</w:t>
            </w:r>
            <w:r>
              <w:rPr>
                <w:rFonts w:hint="eastAsia" w:ascii="宋体" w:hAnsi="宋体" w:eastAsia="宋体" w:cs="宋体"/>
                <w:kern w:val="2"/>
                <w:sz w:val="21"/>
                <w:szCs w:val="21"/>
                <w:lang w:val="en-US" w:eastAsia="zh-CN"/>
              </w:rPr>
              <w:t>否则作不得分处理</w:t>
            </w:r>
            <w:r>
              <w:rPr>
                <w:rFonts w:hint="eastAsia" w:ascii="宋体" w:hAnsi="宋体" w:eastAsia="宋体" w:cs="宋体"/>
                <w:kern w:val="2"/>
                <w:sz w:val="21"/>
                <w:szCs w:val="21"/>
                <w:lang w:eastAsia="zh-CN"/>
              </w:rPr>
              <w:t>。</w:t>
            </w:r>
          </w:p>
        </w:tc>
      </w:tr>
      <w:tr w14:paraId="44C2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7CCD63E7">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4F083ECF">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7</w:t>
            </w:r>
          </w:p>
        </w:tc>
        <w:tc>
          <w:tcPr>
            <w:tcW w:w="1852" w:type="dxa"/>
            <w:vAlign w:val="center"/>
          </w:tcPr>
          <w:p w14:paraId="77BA412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配送场所面积</w:t>
            </w:r>
          </w:p>
        </w:tc>
        <w:tc>
          <w:tcPr>
            <w:tcW w:w="698" w:type="dxa"/>
            <w:vAlign w:val="center"/>
          </w:tcPr>
          <w:p w14:paraId="48009B9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4</w:t>
            </w:r>
          </w:p>
        </w:tc>
        <w:tc>
          <w:tcPr>
            <w:tcW w:w="5756" w:type="dxa"/>
            <w:gridSpan w:val="3"/>
            <w:vAlign w:val="top"/>
          </w:tcPr>
          <w:p w14:paraId="32D046AF">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0C6275F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投标人自有或租赁的配送场所面积：①面积≥</w:t>
            </w:r>
            <w:r>
              <w:rPr>
                <w:rFonts w:hint="eastAsia" w:ascii="宋体" w:hAnsi="宋体" w:cs="宋体"/>
                <w:kern w:val="2"/>
                <w:sz w:val="21"/>
                <w:szCs w:val="21"/>
                <w:lang w:val="en-US" w:eastAsia="zh-CN"/>
              </w:rPr>
              <w:t>4</w:t>
            </w:r>
            <w:r>
              <w:rPr>
                <w:rFonts w:hint="eastAsia" w:ascii="宋体" w:hAnsi="宋体" w:eastAsia="宋体" w:cs="宋体"/>
                <w:kern w:val="2"/>
                <w:sz w:val="21"/>
                <w:szCs w:val="21"/>
                <w:lang w:eastAsia="zh-CN"/>
              </w:rPr>
              <w:t>000平方米的，得100分；②3000平方米≤面积＜</w:t>
            </w:r>
            <w:r>
              <w:rPr>
                <w:rFonts w:hint="eastAsia" w:ascii="宋体" w:hAnsi="宋体" w:cs="宋体"/>
                <w:kern w:val="2"/>
                <w:sz w:val="21"/>
                <w:szCs w:val="21"/>
                <w:lang w:val="en-US" w:eastAsia="zh-CN"/>
              </w:rPr>
              <w:t>4</w:t>
            </w:r>
            <w:r>
              <w:rPr>
                <w:rFonts w:hint="eastAsia" w:ascii="宋体" w:hAnsi="宋体" w:eastAsia="宋体" w:cs="宋体"/>
                <w:kern w:val="2"/>
                <w:sz w:val="21"/>
                <w:szCs w:val="21"/>
                <w:lang w:eastAsia="zh-CN"/>
              </w:rPr>
              <w:t>000平方米的，得</w:t>
            </w:r>
            <w:r>
              <w:rPr>
                <w:rFonts w:hint="eastAsia" w:ascii="宋体" w:hAnsi="宋体" w:eastAsia="宋体" w:cs="宋体"/>
                <w:kern w:val="2"/>
                <w:sz w:val="21"/>
                <w:szCs w:val="21"/>
                <w:lang w:val="en-US" w:eastAsia="zh-CN"/>
              </w:rPr>
              <w:t>8</w:t>
            </w:r>
            <w:r>
              <w:rPr>
                <w:rFonts w:hint="eastAsia" w:ascii="宋体" w:hAnsi="宋体" w:eastAsia="宋体" w:cs="宋体"/>
                <w:kern w:val="2"/>
                <w:sz w:val="21"/>
                <w:szCs w:val="21"/>
                <w:lang w:eastAsia="zh-CN"/>
              </w:rPr>
              <w:t>0分；③</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lang w:eastAsia="zh-CN"/>
              </w:rPr>
              <w:t>000平方米≤面积＜3000平方米的，得</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lang w:eastAsia="zh-CN"/>
              </w:rPr>
              <w:t>0分；④</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lang w:eastAsia="zh-CN"/>
              </w:rPr>
              <w:t>000平方米≤面积＜</w:t>
            </w:r>
            <w:r>
              <w:rPr>
                <w:rFonts w:hint="eastAsia" w:ascii="宋体" w:hAnsi="宋体" w:eastAsia="宋体" w:cs="宋体"/>
                <w:kern w:val="2"/>
                <w:sz w:val="21"/>
                <w:szCs w:val="21"/>
                <w:lang w:val="en-US" w:eastAsia="zh-CN"/>
              </w:rPr>
              <w:t>2</w:t>
            </w:r>
            <w:r>
              <w:rPr>
                <w:rFonts w:hint="eastAsia" w:ascii="宋体" w:hAnsi="宋体" w:eastAsia="宋体" w:cs="宋体"/>
                <w:kern w:val="2"/>
                <w:sz w:val="21"/>
                <w:szCs w:val="21"/>
                <w:lang w:eastAsia="zh-CN"/>
              </w:rPr>
              <w:t>000平方米的，得</w:t>
            </w:r>
            <w:r>
              <w:rPr>
                <w:rFonts w:hint="eastAsia" w:ascii="宋体" w:hAnsi="宋体" w:eastAsia="宋体" w:cs="宋体"/>
                <w:kern w:val="2"/>
                <w:sz w:val="21"/>
                <w:szCs w:val="21"/>
                <w:lang w:val="en-US" w:eastAsia="zh-CN"/>
              </w:rPr>
              <w:t>4</w:t>
            </w:r>
            <w:r>
              <w:rPr>
                <w:rFonts w:hint="eastAsia" w:ascii="宋体" w:hAnsi="宋体" w:eastAsia="宋体" w:cs="宋体"/>
                <w:kern w:val="2"/>
                <w:sz w:val="21"/>
                <w:szCs w:val="21"/>
                <w:lang w:eastAsia="zh-CN"/>
              </w:rPr>
              <w:t>0分；⑤面积＜1000平方米的，得20分；其他情况不得分。</w:t>
            </w:r>
          </w:p>
          <w:p w14:paraId="2A95C79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注：提供多个配送场所的，</w:t>
            </w:r>
            <w:r>
              <w:rPr>
                <w:rFonts w:hint="eastAsia" w:ascii="宋体" w:hAnsi="宋体" w:cs="宋体"/>
                <w:kern w:val="2"/>
                <w:sz w:val="21"/>
                <w:szCs w:val="21"/>
                <w:lang w:val="en-US" w:eastAsia="zh-CN"/>
              </w:rPr>
              <w:t>面积可以</w:t>
            </w:r>
            <w:r>
              <w:rPr>
                <w:rFonts w:hint="eastAsia" w:ascii="宋体" w:hAnsi="宋体" w:eastAsia="宋体" w:cs="宋体"/>
                <w:kern w:val="2"/>
                <w:sz w:val="21"/>
                <w:szCs w:val="21"/>
                <w:lang w:eastAsia="zh-CN"/>
              </w:rPr>
              <w:t>累计。</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【本项最高可得100分，最低为0分】</w:t>
            </w:r>
          </w:p>
          <w:p w14:paraId="58589322">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36C1277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1.以上情况</w:t>
            </w:r>
            <w:r>
              <w:rPr>
                <w:rFonts w:hint="eastAsia" w:ascii="宋体" w:hAnsi="宋体" w:cs="宋体"/>
                <w:kern w:val="2"/>
                <w:sz w:val="21"/>
                <w:szCs w:val="21"/>
                <w:lang w:val="en-US" w:eastAsia="zh-CN"/>
              </w:rPr>
              <w:t>可累计得分</w:t>
            </w:r>
            <w:r>
              <w:rPr>
                <w:rFonts w:hint="eastAsia" w:ascii="宋体" w:hAnsi="宋体" w:eastAsia="宋体" w:cs="宋体"/>
                <w:kern w:val="2"/>
                <w:sz w:val="21"/>
                <w:szCs w:val="21"/>
                <w:lang w:eastAsia="zh-CN"/>
              </w:rPr>
              <w:t>。</w:t>
            </w:r>
          </w:p>
          <w:p w14:paraId="138A71C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2.提供配送场所为：</w:t>
            </w:r>
          </w:p>
          <w:p w14:paraId="2E3D76FB">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（1）自有的，提供产权证明文件；</w:t>
            </w:r>
          </w:p>
          <w:p w14:paraId="5C384B31">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（2）租赁的，同时提供：</w:t>
            </w:r>
          </w:p>
          <w:p w14:paraId="1D36FE08">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①租赁合同关键页（包括但不限于：合同名称页、合同主要内容页、合同签订日期页、合同双方签字盖章页，且须在有效期内）扫描件；</w:t>
            </w:r>
          </w:p>
          <w:p w14:paraId="5546EC80">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②提供近三个月内任意1个月的租赁发票或银行转账电子回单；</w:t>
            </w:r>
          </w:p>
          <w:p w14:paraId="440355DD">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注：</w:t>
            </w:r>
            <w:r>
              <w:rPr>
                <w:rFonts w:hint="eastAsia" w:ascii="宋体" w:hAnsi="宋体" w:cs="宋体"/>
                <w:kern w:val="2"/>
                <w:sz w:val="21"/>
                <w:szCs w:val="21"/>
                <w:lang w:val="en-US" w:eastAsia="zh-CN"/>
              </w:rPr>
              <w:t>如</w:t>
            </w:r>
            <w:r>
              <w:rPr>
                <w:rFonts w:hint="eastAsia" w:ascii="宋体" w:hAnsi="宋体" w:eastAsia="宋体" w:cs="宋体"/>
                <w:kern w:val="2"/>
                <w:sz w:val="21"/>
                <w:szCs w:val="21"/>
                <w:lang w:eastAsia="zh-CN"/>
              </w:rPr>
              <w:t>租赁方式，租赁合同有效期须在本项目投标截止时间之后，且须覆盖本项目服务期限</w:t>
            </w:r>
            <w:r>
              <w:rPr>
                <w:rFonts w:hint="eastAsia"/>
                <w:lang w:val="en-US" w:eastAsia="zh-CN"/>
              </w:rPr>
              <w:t>2027年11月30日</w:t>
            </w:r>
            <w:r>
              <w:rPr>
                <w:rFonts w:hint="eastAsia" w:ascii="宋体" w:hAnsi="宋体" w:eastAsia="宋体" w:cs="宋体"/>
                <w:kern w:val="2"/>
                <w:sz w:val="21"/>
                <w:szCs w:val="21"/>
                <w:lang w:eastAsia="zh-CN"/>
              </w:rPr>
              <w:t>；如合同或协议有效期在本项目投标截止时间之后，但无法覆盖本项目服务期限，须另提供关于“中标后续签配送场所租赁合同，且合同有效期将涵盖本项目服务期限”的承诺函（承诺函格式自拟），</w:t>
            </w:r>
            <w:r>
              <w:rPr>
                <w:rFonts w:hint="eastAsia" w:ascii="宋体" w:hAnsi="宋体" w:eastAsia="宋体" w:cs="宋体"/>
                <w:kern w:val="2"/>
                <w:sz w:val="21"/>
                <w:szCs w:val="21"/>
                <w:lang w:val="en-US" w:eastAsia="zh-CN"/>
              </w:rPr>
              <w:t>否则不得分</w:t>
            </w:r>
            <w:r>
              <w:rPr>
                <w:rFonts w:hint="eastAsia" w:ascii="宋体" w:hAnsi="宋体" w:eastAsia="宋体" w:cs="宋体"/>
                <w:kern w:val="2"/>
                <w:sz w:val="21"/>
                <w:szCs w:val="21"/>
                <w:lang w:eastAsia="zh-CN"/>
              </w:rPr>
              <w:t>。</w:t>
            </w:r>
          </w:p>
          <w:p w14:paraId="2CFFD5C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3.以上资料若无面积体现</w:t>
            </w:r>
            <w:r>
              <w:rPr>
                <w:rFonts w:hint="eastAsia" w:ascii="宋体" w:hAnsi="宋体" w:cs="宋体"/>
                <w:kern w:val="2"/>
                <w:sz w:val="21"/>
                <w:szCs w:val="21"/>
                <w:lang w:eastAsia="zh-CN"/>
              </w:rPr>
              <w:t>，</w:t>
            </w:r>
            <w:r>
              <w:rPr>
                <w:rFonts w:hint="eastAsia" w:ascii="宋体" w:hAnsi="宋体" w:cs="宋体"/>
                <w:kern w:val="2"/>
                <w:sz w:val="21"/>
                <w:szCs w:val="21"/>
                <w:lang w:val="en-US" w:eastAsia="zh-CN"/>
              </w:rPr>
              <w:t>须提</w:t>
            </w:r>
            <w:r>
              <w:rPr>
                <w:rFonts w:hint="eastAsia" w:ascii="宋体" w:hAnsi="宋体" w:eastAsia="宋体" w:cs="宋体"/>
                <w:kern w:val="2"/>
                <w:sz w:val="21"/>
                <w:szCs w:val="21"/>
                <w:lang w:eastAsia="zh-CN"/>
              </w:rPr>
              <w:t>供第三方测绘机构出具的面积测绘报告扫描件（委托单位为投标人或出租人，须体现场所面积，测绘报告中的地址需与投标人提供的配送场所地址一致）；</w:t>
            </w:r>
          </w:p>
          <w:p w14:paraId="7FB6C71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4.提供配送场所现场照片</w:t>
            </w:r>
            <w:r>
              <w:rPr>
                <w:rFonts w:hint="eastAsia" w:ascii="宋体" w:hAnsi="宋体" w:cs="宋体"/>
                <w:kern w:val="2"/>
                <w:sz w:val="21"/>
                <w:szCs w:val="21"/>
                <w:lang w:eastAsia="zh-CN"/>
              </w:rPr>
              <w:t>（</w:t>
            </w:r>
            <w:r>
              <w:rPr>
                <w:rFonts w:hint="eastAsia" w:ascii="宋体" w:hAnsi="宋体" w:eastAsia="宋体" w:cs="宋体"/>
                <w:szCs w:val="21"/>
                <w:highlight w:val="none"/>
                <w:lang w:val="en-US" w:eastAsia="zh-CN"/>
              </w:rPr>
              <w:t>配送场所</w:t>
            </w:r>
            <w:r>
              <w:rPr>
                <w:rFonts w:hint="eastAsia" w:ascii="宋体" w:hAnsi="宋体" w:eastAsia="宋体" w:cs="宋体"/>
                <w:szCs w:val="21"/>
                <w:highlight w:val="none"/>
              </w:rPr>
              <w:t>全景照片和内景照片各一张</w:t>
            </w:r>
            <w:r>
              <w:rPr>
                <w:rFonts w:hint="eastAsia" w:ascii="宋体" w:hAnsi="宋体" w:eastAsia="宋体" w:cs="宋体"/>
                <w:szCs w:val="21"/>
                <w:highlight w:val="none"/>
                <w:lang w:eastAsia="zh-CN"/>
              </w:rPr>
              <w:t>）</w:t>
            </w:r>
            <w:r>
              <w:rPr>
                <w:rFonts w:hint="eastAsia" w:ascii="宋体" w:hAnsi="宋体" w:eastAsia="宋体" w:cs="宋体"/>
                <w:kern w:val="2"/>
                <w:sz w:val="21"/>
                <w:szCs w:val="21"/>
                <w:lang w:eastAsia="zh-CN"/>
              </w:rPr>
              <w:t>。</w:t>
            </w:r>
          </w:p>
          <w:p w14:paraId="193E3A38">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未提供相关证明材料或者提供的证明材料不符合要求的或者提供的证明材料不清晰导致评审专家无法辨认的，不得分。</w:t>
            </w:r>
          </w:p>
        </w:tc>
      </w:tr>
      <w:tr w14:paraId="3A1D7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1E57E64E">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418A179E">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9</w:t>
            </w:r>
          </w:p>
        </w:tc>
        <w:tc>
          <w:tcPr>
            <w:tcW w:w="1852" w:type="dxa"/>
            <w:vAlign w:val="center"/>
          </w:tcPr>
          <w:p w14:paraId="0102647A">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食品安全检测报告</w:t>
            </w:r>
          </w:p>
        </w:tc>
        <w:tc>
          <w:tcPr>
            <w:tcW w:w="698" w:type="dxa"/>
            <w:vAlign w:val="center"/>
          </w:tcPr>
          <w:p w14:paraId="7F1ABA5F">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10</w:t>
            </w:r>
          </w:p>
        </w:tc>
        <w:tc>
          <w:tcPr>
            <w:tcW w:w="5756" w:type="dxa"/>
            <w:gridSpan w:val="3"/>
            <w:vAlign w:val="top"/>
          </w:tcPr>
          <w:p w14:paraId="3059CA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val="en-US" w:eastAsia="zh-CN"/>
              </w:rPr>
              <w:t>（一）</w:t>
            </w:r>
            <w:r>
              <w:rPr>
                <w:rFonts w:hint="eastAsia" w:ascii="宋体" w:hAnsi="宋体" w:eastAsia="宋体" w:cs="宋体"/>
                <w:b/>
                <w:bCs/>
                <w:kern w:val="2"/>
                <w:sz w:val="21"/>
                <w:szCs w:val="21"/>
                <w:lang w:eastAsia="zh-CN"/>
              </w:rPr>
              <w:t>评分内容：</w:t>
            </w:r>
          </w:p>
          <w:p w14:paraId="724CDF4C">
            <w:pPr>
              <w:keepNext w:val="0"/>
              <w:keepLines w:val="0"/>
              <w:widowControl w:val="0"/>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kern w:val="2"/>
                <w:sz w:val="21"/>
                <w:szCs w:val="21"/>
                <w:lang w:val="en-US" w:eastAsia="zh-CN"/>
              </w:rPr>
              <w:t>投标人提供</w:t>
            </w:r>
            <w:r>
              <w:rPr>
                <w:rFonts w:hint="eastAsia" w:ascii="宋体" w:hAnsi="宋体" w:eastAsia="宋体" w:cs="宋体"/>
                <w:kern w:val="2"/>
                <w:sz w:val="21"/>
                <w:szCs w:val="21"/>
                <w:lang w:eastAsia="zh-CN"/>
              </w:rPr>
              <w:t>202</w:t>
            </w: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年</w:t>
            </w:r>
            <w:r>
              <w:rPr>
                <w:rFonts w:hint="eastAsia" w:ascii="宋体" w:hAnsi="宋体" w:cs="宋体"/>
                <w:kern w:val="2"/>
                <w:sz w:val="21"/>
                <w:szCs w:val="21"/>
                <w:lang w:val="en-US" w:eastAsia="zh-CN"/>
              </w:rPr>
              <w:t>11</w:t>
            </w:r>
            <w:r>
              <w:rPr>
                <w:rFonts w:hint="eastAsia" w:ascii="宋体" w:hAnsi="宋体" w:eastAsia="宋体" w:cs="宋体"/>
                <w:kern w:val="2"/>
                <w:sz w:val="21"/>
                <w:szCs w:val="21"/>
                <w:lang w:eastAsia="zh-CN"/>
              </w:rPr>
              <w:t>月1日至本项目投标截止之日（送检日期或报告出具的日期</w:t>
            </w:r>
            <w:r>
              <w:rPr>
                <w:rFonts w:hint="eastAsia" w:ascii="宋体" w:hAnsi="宋体" w:eastAsia="宋体" w:cs="宋体"/>
                <w:kern w:val="2"/>
                <w:sz w:val="21"/>
                <w:szCs w:val="21"/>
                <w:lang w:val="en-US" w:eastAsia="zh-CN"/>
              </w:rPr>
              <w:t>在此范围内均可</w:t>
            </w:r>
            <w:r>
              <w:rPr>
                <w:rFonts w:hint="eastAsia" w:ascii="宋体" w:hAnsi="宋体" w:eastAsia="宋体" w:cs="宋体"/>
                <w:kern w:val="2"/>
                <w:sz w:val="21"/>
                <w:szCs w:val="21"/>
                <w:lang w:eastAsia="zh-CN"/>
              </w:rPr>
              <w:t>）由</w:t>
            </w:r>
            <w:r>
              <w:rPr>
                <w:rFonts w:hint="eastAsia" w:ascii="宋体" w:hAnsi="宋体" w:eastAsia="宋体" w:cs="宋体"/>
                <w:color w:val="000000"/>
                <w:sz w:val="21"/>
                <w:szCs w:val="21"/>
                <w:lang w:eastAsia="zh-CN"/>
              </w:rPr>
              <w:t>第三方检测</w:t>
            </w:r>
            <w:r>
              <w:rPr>
                <w:rFonts w:hint="eastAsia" w:ascii="宋体" w:hAnsi="宋体" w:eastAsia="宋体" w:cs="宋体"/>
                <w:color w:val="000000"/>
                <w:sz w:val="21"/>
                <w:szCs w:val="21"/>
                <w:lang w:val="en-US" w:eastAsia="zh-CN"/>
              </w:rPr>
              <w:t>机构</w:t>
            </w:r>
            <w:r>
              <w:rPr>
                <w:rFonts w:hint="eastAsia" w:ascii="宋体" w:hAnsi="宋体" w:eastAsia="宋体" w:cs="宋体"/>
                <w:color w:val="000000"/>
                <w:sz w:val="21"/>
                <w:szCs w:val="21"/>
                <w:lang w:eastAsia="zh-CN"/>
              </w:rPr>
              <w:t>出具的以下品类任意</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eastAsia="zh-CN"/>
              </w:rPr>
              <w:t>个月的检测报告（每份报告的检测项目大于等于10项，</w:t>
            </w:r>
            <w:r>
              <w:rPr>
                <w:rFonts w:hint="eastAsia" w:ascii="宋体" w:hAnsi="宋体" w:eastAsia="宋体" w:cs="宋体"/>
                <w:kern w:val="2"/>
                <w:sz w:val="21"/>
                <w:szCs w:val="21"/>
                <w:lang w:eastAsia="zh-CN"/>
              </w:rPr>
              <w:t>送检单位或委托单位为投标人</w:t>
            </w:r>
            <w:r>
              <w:rPr>
                <w:rStyle w:val="208"/>
                <w:rFonts w:hint="eastAsia" w:ascii="宋体" w:hAnsi="宋体" w:eastAsia="宋体" w:cs="宋体"/>
                <w:color w:val="000000"/>
                <w:kern w:val="0"/>
                <w:sz w:val="21"/>
                <w:szCs w:val="21"/>
                <w:lang w:val="en-US" w:eastAsia="zh-CN"/>
              </w:rPr>
              <w:t>，</w:t>
            </w:r>
            <w:r>
              <w:rPr>
                <w:rFonts w:hint="eastAsia" w:ascii="宋体" w:hAnsi="宋体" w:eastAsia="宋体" w:cs="宋体"/>
                <w:kern w:val="2"/>
                <w:sz w:val="21"/>
                <w:szCs w:val="21"/>
                <w:lang w:eastAsia="zh-CN"/>
              </w:rPr>
              <w:t>检测结果为合格或</w:t>
            </w:r>
            <w:r>
              <w:rPr>
                <w:rFonts w:hint="eastAsia" w:ascii="宋体" w:hAnsi="宋体" w:eastAsia="宋体" w:cs="宋体"/>
                <w:kern w:val="2"/>
                <w:sz w:val="21"/>
                <w:szCs w:val="21"/>
                <w:lang w:val="en-US" w:eastAsia="zh-CN"/>
              </w:rPr>
              <w:t>符合或</w:t>
            </w:r>
            <w:r>
              <w:rPr>
                <w:rFonts w:hint="eastAsia" w:ascii="宋体" w:hAnsi="宋体" w:eastAsia="宋体" w:cs="宋体"/>
                <w:kern w:val="2"/>
                <w:sz w:val="21"/>
                <w:szCs w:val="21"/>
                <w:lang w:eastAsia="zh-CN"/>
              </w:rPr>
              <w:t>未检出等同等意义表述，报告需带有CMA标识，否则不得分</w:t>
            </w:r>
            <w:r>
              <w:rPr>
                <w:rFonts w:hint="eastAsia" w:ascii="宋体" w:hAnsi="宋体" w:eastAsia="宋体" w:cs="宋体"/>
                <w:color w:val="000000"/>
                <w:sz w:val="21"/>
                <w:szCs w:val="21"/>
                <w:lang w:eastAsia="zh-CN"/>
              </w:rPr>
              <w:t>）作为评分依据。</w:t>
            </w:r>
            <w:r>
              <w:rPr>
                <w:rFonts w:hint="eastAsia" w:ascii="宋体" w:hAnsi="宋体" w:eastAsia="宋体" w:cs="宋体"/>
                <w:kern w:val="2"/>
                <w:sz w:val="21"/>
                <w:szCs w:val="21"/>
                <w:lang w:eastAsia="zh-CN"/>
              </w:rPr>
              <w:br w:type="textWrapping"/>
            </w:r>
            <w:r>
              <w:rPr>
                <w:rFonts w:hint="eastAsia" w:ascii="宋体" w:hAnsi="宋体" w:eastAsia="宋体" w:cs="宋体"/>
                <w:color w:val="000000" w:themeColor="text1"/>
                <w:kern w:val="2"/>
                <w:sz w:val="21"/>
                <w:szCs w:val="21"/>
                <w:lang w:eastAsia="zh-CN"/>
                <w14:textFill>
                  <w14:solidFill>
                    <w14:schemeClr w14:val="tx1"/>
                  </w14:solidFill>
                </w14:textFill>
              </w:rPr>
              <w:t>1.大米类：</w:t>
            </w:r>
          </w:p>
          <w:p w14:paraId="251EE8CD">
            <w:pPr>
              <w:keepNext w:val="0"/>
              <w:keepLines w:val="0"/>
              <w:widowControl w:val="0"/>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val="en-US" w:eastAsia="zh-CN"/>
                <w14:textFill>
                  <w14:solidFill>
                    <w14:schemeClr w14:val="tx1"/>
                  </w14:solidFill>
                </w14:textFill>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Style w:val="208"/>
                <w:rFonts w:hint="eastAsia" w:ascii="宋体" w:hAnsi="宋体" w:eastAsia="宋体" w:cs="宋体"/>
                <w:color w:val="000000" w:themeColor="text1"/>
                <w:kern w:val="0"/>
                <w:sz w:val="21"/>
                <w:szCs w:val="21"/>
                <w:lang w:val="en-US" w:eastAsia="zh-CN"/>
                <w14:textFill>
                  <w14:solidFill>
                    <w14:schemeClr w14:val="tx1"/>
                  </w14:solidFill>
                </w14:textFill>
              </w:rPr>
              <w:t>铅（以Pb计）、赭曲霉毒素A、黄曲霉毒素B1、丙草胺、马拉硫磷、稻瘟灵、乙酰甲胺磷、敌稗、异丙威</w:t>
            </w:r>
            <w:r>
              <w:rPr>
                <w:rFonts w:hint="eastAsia" w:ascii="宋体" w:hAnsi="宋体" w:eastAsia="宋体" w:cs="宋体"/>
                <w:color w:val="000000" w:themeColor="text1"/>
                <w:kern w:val="2"/>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0"/>
                <w:sz w:val="21"/>
                <w:szCs w:val="21"/>
                <w:lang w:val="en-US" w:eastAsia="zh-CN" w:bidi="ar"/>
              </w:rPr>
              <w:t>LS/T6133-2018、SN/T0448-2011、SN/T4138-2015</w:t>
            </w:r>
          </w:p>
          <w:p w14:paraId="1F6C5F9F">
            <w:pPr>
              <w:keepNext w:val="0"/>
              <w:keepLines w:val="0"/>
              <w:widowControl w:val="0"/>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lang w:eastAsia="zh-CN"/>
                <w14:textFill>
                  <w14:solidFill>
                    <w14:schemeClr w14:val="tx1"/>
                  </w14:solidFill>
                </w14:textFill>
              </w:rPr>
              <w:t>鲜畜肉类：</w:t>
            </w:r>
          </w:p>
          <w:p w14:paraId="35357BC3">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Style w:val="208"/>
                <w:rFonts w:hint="eastAsia" w:ascii="宋体" w:hAnsi="宋体" w:eastAsia="宋体" w:cs="宋体"/>
                <w:color w:val="000000" w:themeColor="text1"/>
                <w:kern w:val="0"/>
                <w:sz w:val="21"/>
                <w:szCs w:val="21"/>
                <w:lang w:val="en-US" w:eastAsia="zh-CN"/>
                <w14:textFill>
                  <w14:solidFill>
                    <w14:schemeClr w14:val="tx1"/>
                  </w14:solidFill>
                </w14:textFill>
              </w:rPr>
              <w:t>铅（以Pb计）、磺胺类(总量)、</w:t>
            </w:r>
            <w:r>
              <w:rPr>
                <w:rFonts w:hint="eastAsia" w:ascii="宋体" w:hAnsi="宋体" w:eastAsia="宋体" w:cs="宋体"/>
                <w:color w:val="000000" w:themeColor="text1"/>
                <w:szCs w:val="21"/>
                <w:highlight w:val="none"/>
                <w:lang w:val="en-US" w:eastAsia="zh-CN"/>
                <w14:textFill>
                  <w14:solidFill>
                    <w14:schemeClr w14:val="tx1"/>
                  </w14:solidFill>
                </w14:textFill>
              </w:rPr>
              <w:t>莱克多巴胺、艾氏剂、氯丙嗪、沙丁胺醇、喹乙醇、氯丙那林</w:t>
            </w:r>
            <w:r>
              <w:rPr>
                <w:rFonts w:hint="eastAsia" w:ascii="宋体" w:hAnsi="宋体" w:eastAsia="宋体" w:cs="宋体"/>
                <w:color w:val="000000" w:themeColor="text1"/>
                <w:kern w:val="2"/>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0"/>
                <w:sz w:val="21"/>
                <w:szCs w:val="21"/>
                <w:lang w:val="en-US" w:eastAsia="zh-CN" w:bidi="ar"/>
              </w:rPr>
              <w:t>SN/T0448-2011、SN/T 4056-2014、</w:t>
            </w:r>
            <w:r>
              <w:rPr>
                <w:rFonts w:hint="eastAsia" w:ascii="宋体" w:hAnsi="宋体" w:eastAsia="宋体" w:cs="宋体"/>
                <w:kern w:val="0"/>
                <w:sz w:val="21"/>
                <w:szCs w:val="21"/>
                <w:lang w:bidi="ar"/>
              </w:rPr>
              <w:t>SN/T 4587</w:t>
            </w:r>
            <w:r>
              <w:rPr>
                <w:rFonts w:hint="eastAsia" w:ascii="宋体" w:hAnsi="宋体" w:eastAsia="宋体" w:cs="宋体"/>
                <w:kern w:val="0"/>
                <w:sz w:val="21"/>
                <w:szCs w:val="21"/>
                <w:lang w:val="en-US" w:eastAsia="zh-CN" w:bidi="ar"/>
              </w:rPr>
              <w:t>-</w:t>
            </w:r>
            <w:r>
              <w:rPr>
                <w:rFonts w:hint="eastAsia" w:ascii="宋体" w:hAnsi="宋体" w:eastAsia="宋体" w:cs="宋体"/>
                <w:kern w:val="0"/>
                <w:sz w:val="21"/>
                <w:szCs w:val="21"/>
                <w:lang w:bidi="ar"/>
              </w:rPr>
              <w:t>2016</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SN/T 4138-2015、SN/T 4252-2015、SN/T 0197-2014</w:t>
            </w:r>
          </w:p>
          <w:p w14:paraId="5E4DA592">
            <w:pPr>
              <w:keepNext w:val="0"/>
              <w:keepLines w:val="0"/>
              <w:widowControl w:val="0"/>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kern w:val="2"/>
                <w:sz w:val="21"/>
                <w:szCs w:val="21"/>
                <w:lang w:eastAsia="zh-CN"/>
                <w14:textFill>
                  <w14:solidFill>
                    <w14:schemeClr w14:val="tx1"/>
                  </w14:solidFill>
                </w14:textFill>
              </w:rPr>
              <w:t>鲜禽肉类：</w:t>
            </w:r>
          </w:p>
          <w:p w14:paraId="658308AE">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color w:val="000000" w:themeColor="text1"/>
                <w:szCs w:val="21"/>
                <w:highlight w:val="none"/>
                <w:lang w:val="en-US" w:eastAsia="zh-CN"/>
                <w14:textFill>
                  <w14:solidFill>
                    <w14:schemeClr w14:val="tx1"/>
                  </w14:solidFill>
                </w14:textFill>
              </w:rPr>
              <w:t>铅(以Pb计)、</w:t>
            </w:r>
            <w:r>
              <w:rPr>
                <w:rStyle w:val="208"/>
                <w:rFonts w:hint="eastAsia" w:ascii="宋体" w:hAnsi="宋体" w:eastAsia="宋体" w:cs="宋体"/>
                <w:color w:val="000000" w:themeColor="text1"/>
                <w:kern w:val="0"/>
                <w:sz w:val="21"/>
                <w:szCs w:val="21"/>
                <w:lang w:val="en-US" w:eastAsia="zh-CN"/>
                <w14:textFill>
                  <w14:solidFill>
                    <w14:schemeClr w14:val="tx1"/>
                  </w14:solidFill>
                </w14:textFill>
              </w:rPr>
              <w:t>滴滴涕、尼卡巴嗪、甲砜霉素、多西环素、土霉素、四环素、林可霉素</w:t>
            </w:r>
            <w:r>
              <w:rPr>
                <w:rFonts w:hint="eastAsia" w:ascii="宋体" w:hAnsi="宋体" w:eastAsia="宋体" w:cs="宋体"/>
                <w:color w:val="000000" w:themeColor="text1"/>
                <w:kern w:val="2"/>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0"/>
                <w:sz w:val="21"/>
                <w:szCs w:val="21"/>
                <w:lang w:val="en-US" w:eastAsia="zh-CN" w:bidi="ar"/>
              </w:rPr>
              <w:t>SN/T0448-2011、</w:t>
            </w:r>
            <w:r>
              <w:rPr>
                <w:rFonts w:hint="eastAsia" w:ascii="宋体" w:hAnsi="宋体" w:eastAsia="宋体" w:cs="宋体"/>
                <w:i w:val="0"/>
                <w:iCs w:val="0"/>
                <w:caps w:val="0"/>
                <w:color w:val="auto"/>
                <w:spacing w:val="0"/>
                <w:kern w:val="0"/>
                <w:sz w:val="21"/>
                <w:szCs w:val="21"/>
                <w:shd w:val="clear" w:fill="auto"/>
                <w:lang w:bidi="ar"/>
              </w:rPr>
              <w:t>SN/T0127-2011</w:t>
            </w:r>
            <w:r>
              <w:rPr>
                <w:rFonts w:hint="eastAsia" w:ascii="宋体" w:hAnsi="宋体" w:eastAsia="宋体" w:cs="宋体"/>
                <w:i w:val="0"/>
                <w:iCs w:val="0"/>
                <w:caps w:val="0"/>
                <w:color w:val="auto"/>
                <w:spacing w:val="0"/>
                <w:kern w:val="0"/>
                <w:sz w:val="21"/>
                <w:szCs w:val="21"/>
                <w:shd w:val="clear" w:fill="auto"/>
                <w:lang w:eastAsia="zh-CN" w:bidi="ar"/>
              </w:rPr>
              <w:t>、</w:t>
            </w:r>
            <w:r>
              <w:rPr>
                <w:rFonts w:hint="eastAsia" w:ascii="宋体" w:hAnsi="宋体" w:eastAsia="宋体" w:cs="宋体"/>
                <w:i w:val="0"/>
                <w:iCs w:val="0"/>
                <w:caps w:val="0"/>
                <w:color w:val="auto"/>
                <w:spacing w:val="0"/>
                <w:kern w:val="0"/>
                <w:sz w:val="21"/>
                <w:szCs w:val="21"/>
                <w:shd w:val="clear" w:fill="auto"/>
                <w:lang w:bidi="ar"/>
              </w:rPr>
              <w:t>SN/T0216-2011</w:t>
            </w:r>
          </w:p>
          <w:p w14:paraId="5E6D5D67">
            <w:pPr>
              <w:keepNext w:val="0"/>
              <w:keepLines w:val="0"/>
              <w:widowControl w:val="0"/>
              <w:numPr>
                <w:ilvl w:val="0"/>
                <w:numId w:val="0"/>
              </w:numPr>
              <w:suppressLineNumbers w:val="0"/>
              <w:spacing w:before="0" w:beforeAutospacing="0" w:after="0" w:afterAutospacing="0"/>
              <w:ind w:left="0" w:leftChars="0" w:right="0" w:rightChars="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bidi="ar-SA"/>
              </w:rPr>
              <w:t>4.</w:t>
            </w:r>
            <w:r>
              <w:rPr>
                <w:rFonts w:hint="eastAsia" w:ascii="宋体" w:hAnsi="宋体" w:eastAsia="宋体" w:cs="宋体"/>
                <w:kern w:val="2"/>
                <w:sz w:val="21"/>
                <w:szCs w:val="21"/>
                <w:lang w:eastAsia="zh-CN"/>
              </w:rPr>
              <w:t>蔬菜类：</w:t>
            </w:r>
          </w:p>
          <w:p w14:paraId="196D3B09">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kern w:val="2"/>
                <w:sz w:val="21"/>
                <w:szCs w:val="21"/>
                <w:lang w:eastAsia="zh-CN"/>
              </w:rPr>
              <w:t>甲胺磷、毒死蜱、阿维菌素、腐霉利、乙酰甲胺磷、敌敌畏、咪唑菌酮、百菌清、甲拌磷、克百威、六六六、三氯杀螨醇。</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i w:val="0"/>
                <w:iCs w:val="0"/>
                <w:caps w:val="0"/>
                <w:color w:val="000000" w:themeColor="text1"/>
                <w:spacing w:val="0"/>
                <w:sz w:val="21"/>
                <w:szCs w:val="21"/>
                <w:shd w:val="clear" w:fill="auto"/>
                <w14:textFill>
                  <w14:solidFill>
                    <w14:schemeClr w14:val="tx1"/>
                  </w14:solidFill>
                </w14:textFill>
              </w:rPr>
              <w:t>SN/T2158-2008</w:t>
            </w:r>
            <w:r>
              <w:rPr>
                <w:rFonts w:hint="eastAsia" w:ascii="宋体" w:hAnsi="宋体" w:eastAsia="宋体" w:cs="宋体"/>
                <w:i w:val="0"/>
                <w:iCs w:val="0"/>
                <w:caps w:val="0"/>
                <w:color w:val="000000" w:themeColor="text1"/>
                <w:spacing w:val="0"/>
                <w:sz w:val="21"/>
                <w:szCs w:val="21"/>
                <w:shd w:val="clear" w:fill="auto"/>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shd w:val="clear" w:fill="auto"/>
                <w14:textFill>
                  <w14:solidFill>
                    <w14:schemeClr w14:val="tx1"/>
                  </w14:solidFill>
                </w14:textFill>
              </w:rPr>
              <w:t>SN/T0145-2010</w:t>
            </w:r>
          </w:p>
          <w:p w14:paraId="481673F0">
            <w:pPr>
              <w:keepNext w:val="0"/>
              <w:keepLines w:val="0"/>
              <w:widowControl w:val="0"/>
              <w:numPr>
                <w:ilvl w:val="0"/>
                <w:numId w:val="0"/>
              </w:numPr>
              <w:suppressLineNumbers w:val="0"/>
              <w:spacing w:before="0" w:beforeAutospacing="0" w:after="0" w:afterAutospacing="0"/>
              <w:ind w:left="0" w:leftChars="0" w:right="0" w:rightChars="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bidi="ar-SA"/>
              </w:rPr>
              <w:t>5.</w:t>
            </w:r>
            <w:r>
              <w:rPr>
                <w:rFonts w:hint="eastAsia" w:ascii="宋体" w:hAnsi="宋体" w:eastAsia="宋体" w:cs="宋体"/>
                <w:kern w:val="2"/>
                <w:sz w:val="21"/>
                <w:szCs w:val="21"/>
                <w:lang w:eastAsia="zh-CN"/>
              </w:rPr>
              <w:t>鲜蛋类：</w:t>
            </w:r>
          </w:p>
          <w:p w14:paraId="71928835">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sz w:val="21"/>
                <w:szCs w:val="21"/>
              </w:rPr>
              <w:t>多西环素、氟虫腈、沙拉沙星、氯霉素、氟苯尼考、沙门氏菌</w:t>
            </w:r>
            <w:r>
              <w:rPr>
                <w:rFonts w:hint="eastAsia" w:ascii="宋体" w:hAnsi="宋体" w:eastAsia="宋体" w:cs="宋体"/>
                <w:kern w:val="2"/>
                <w:sz w:val="21"/>
                <w:szCs w:val="21"/>
                <w:lang w:eastAsia="zh-CN"/>
              </w:rPr>
              <w:t>。</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i w:val="0"/>
                <w:iCs w:val="0"/>
                <w:caps w:val="0"/>
                <w:color w:val="000000" w:themeColor="text1"/>
                <w:spacing w:val="0"/>
                <w:sz w:val="21"/>
                <w:szCs w:val="21"/>
                <w:shd w:val="clear" w:fill="auto"/>
                <w14:textFill>
                  <w14:solidFill>
                    <w14:schemeClr w14:val="tx1"/>
                  </w14:solidFill>
                </w14:textFill>
              </w:rPr>
              <w:t>CLM062025084</w:t>
            </w:r>
            <w:r>
              <w:rPr>
                <w:rFonts w:hint="eastAsia" w:ascii="宋体" w:hAnsi="宋体" w:eastAsia="宋体" w:cs="宋体"/>
                <w:i w:val="0"/>
                <w:iCs w:val="0"/>
                <w:caps w:val="0"/>
                <w:color w:val="000000" w:themeColor="text1"/>
                <w:spacing w:val="0"/>
                <w:sz w:val="21"/>
                <w:szCs w:val="21"/>
                <w:shd w:val="clear" w:fill="auto"/>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1"/>
                <w:szCs w:val="21"/>
                <w:shd w:val="clear" w:fill="auto"/>
                <w14:textFill>
                  <w14:solidFill>
                    <w14:schemeClr w14:val="tx1"/>
                  </w14:solidFill>
                </w14:textFill>
              </w:rPr>
              <w:t>农业农村部公告第282号-2-2020</w:t>
            </w:r>
          </w:p>
          <w:p w14:paraId="1D4A715A">
            <w:pPr>
              <w:keepNext w:val="0"/>
              <w:keepLines w:val="0"/>
              <w:widowControl w:val="0"/>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6.</w:t>
            </w:r>
            <w:r>
              <w:rPr>
                <w:rFonts w:hint="eastAsia" w:ascii="宋体" w:hAnsi="宋体" w:eastAsia="宋体" w:cs="宋体"/>
                <w:color w:val="000000" w:themeColor="text1"/>
                <w:kern w:val="2"/>
                <w:sz w:val="21"/>
                <w:szCs w:val="21"/>
                <w:lang w:eastAsia="zh-CN"/>
                <w14:textFill>
                  <w14:solidFill>
                    <w14:schemeClr w14:val="tx1"/>
                  </w14:solidFill>
                </w14:textFill>
              </w:rPr>
              <w:t>食用油类：</w:t>
            </w:r>
          </w:p>
          <w:p w14:paraId="354CEBF9">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color w:val="000000"/>
                <w:szCs w:val="21"/>
                <w:lang w:eastAsia="zh-CN"/>
              </w:rPr>
              <w:t>：</w:t>
            </w:r>
            <w:r>
              <w:rPr>
                <w:rFonts w:hint="eastAsia" w:ascii="宋体" w:hAnsi="宋体" w:eastAsia="宋体" w:cs="宋体"/>
                <w:color w:val="000000" w:themeColor="text1"/>
                <w:kern w:val="2"/>
                <w:sz w:val="21"/>
                <w:szCs w:val="21"/>
                <w:lang w:eastAsia="zh-CN"/>
                <w14:textFill>
                  <w14:solidFill>
                    <w14:schemeClr w14:val="tx1"/>
                  </w14:solidFill>
                </w14:textFill>
              </w:rPr>
              <w:t>铅（以Pb计）、过氧化值、苯并（a）芘、环丙唑醇、六六六、滴滴涕、毒死蜱。</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color w:val="000000" w:themeColor="text1"/>
                <w:kern w:val="2"/>
                <w:sz w:val="21"/>
                <w:szCs w:val="21"/>
                <w:lang w:val="en-US" w:eastAsia="zh-CN" w:bidi="ar"/>
                <w14:textFill>
                  <w14:solidFill>
                    <w14:schemeClr w14:val="tx1"/>
                  </w14:solidFill>
                </w14:textFill>
              </w:rPr>
              <w:t>SN/T0448-2011、SN/T4000-2014、SN/T4138-2015</w:t>
            </w:r>
          </w:p>
          <w:p w14:paraId="5B964961">
            <w:pPr>
              <w:keepNext w:val="0"/>
              <w:keepLines w:val="0"/>
              <w:widowControl w:val="0"/>
              <w:numPr>
                <w:ilvl w:val="0"/>
                <w:numId w:val="0"/>
              </w:numPr>
              <w:suppressLineNumbers w:val="0"/>
              <w:spacing w:before="0" w:beforeAutospacing="0" w:after="0" w:afterAutospacing="0"/>
              <w:ind w:left="0" w:leftChars="0" w:right="0" w:rightChars="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bidi="ar-SA"/>
              </w:rPr>
              <w:t>7.</w:t>
            </w:r>
            <w:r>
              <w:rPr>
                <w:rFonts w:hint="eastAsia" w:ascii="宋体" w:hAnsi="宋体" w:eastAsia="宋体" w:cs="宋体"/>
                <w:kern w:val="2"/>
                <w:sz w:val="21"/>
                <w:szCs w:val="21"/>
                <w:lang w:eastAsia="zh-CN"/>
              </w:rPr>
              <w:t>小麦粉或面粉类：</w:t>
            </w:r>
          </w:p>
          <w:p w14:paraId="4A00CE03">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color w:val="000000"/>
                <w:szCs w:val="21"/>
                <w:lang w:eastAsia="zh-CN"/>
              </w:rPr>
              <w:t>：</w:t>
            </w:r>
            <w:r>
              <w:rPr>
                <w:rFonts w:hint="eastAsia" w:ascii="宋体" w:hAnsi="宋体" w:eastAsia="宋体" w:cs="宋体"/>
                <w:kern w:val="2"/>
                <w:sz w:val="21"/>
                <w:szCs w:val="21"/>
                <w:lang w:eastAsia="zh-CN"/>
              </w:rPr>
              <w:t>过氧化苯甲酰、联苯菊酯、玉米赤霉烯酮、脱氧雪腐镰刀菌烯醇、狄氏剂、乐果、溴氰菊酯、灭线磷。</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color w:val="000000" w:themeColor="text1"/>
                <w:sz w:val="21"/>
                <w:szCs w:val="21"/>
                <w:highlight w:val="none"/>
                <w14:textFill>
                  <w14:solidFill>
                    <w14:schemeClr w14:val="tx1"/>
                  </w14:solidFill>
                </w14:textFill>
              </w:rPr>
              <w:t>LS/T6133</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2018</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SN/T4592</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2016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SN/T0148</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2011</w:t>
            </w:r>
          </w:p>
          <w:p w14:paraId="4D564C26">
            <w:pPr>
              <w:keepNext w:val="0"/>
              <w:keepLines w:val="0"/>
              <w:widowControl w:val="0"/>
              <w:numPr>
                <w:ilvl w:val="0"/>
                <w:numId w:val="0"/>
              </w:numPr>
              <w:suppressLineNumbers w:val="0"/>
              <w:spacing w:before="0" w:beforeAutospacing="0" w:after="0" w:afterAutospacing="0"/>
              <w:ind w:left="0" w:leftChars="0" w:right="0" w:rightChars="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bidi="ar-SA"/>
              </w:rPr>
              <w:t>8.</w:t>
            </w:r>
            <w:r>
              <w:rPr>
                <w:rFonts w:hint="eastAsia" w:ascii="宋体" w:hAnsi="宋体" w:eastAsia="宋体" w:cs="宋体"/>
                <w:kern w:val="2"/>
                <w:sz w:val="21"/>
                <w:szCs w:val="21"/>
                <w:lang w:eastAsia="zh-CN"/>
              </w:rPr>
              <w:t>调味品类：</w:t>
            </w:r>
          </w:p>
          <w:p w14:paraId="1346B778">
            <w:pPr>
              <w:keepNext w:val="0"/>
              <w:keepLines w:val="0"/>
              <w:widowControl w:val="0"/>
              <w:numPr>
                <w:ilvl w:val="-1"/>
                <w:numId w:val="0"/>
              </w:numPr>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color w:val="000000"/>
                <w:szCs w:val="21"/>
                <w:lang w:eastAsia="zh-CN"/>
              </w:rPr>
              <w:t>：</w:t>
            </w:r>
            <w:r>
              <w:rPr>
                <w:rFonts w:hint="eastAsia" w:ascii="宋体" w:hAnsi="宋体" w:eastAsia="宋体" w:cs="宋体"/>
                <w:kern w:val="2"/>
                <w:sz w:val="21"/>
                <w:szCs w:val="21"/>
                <w:lang w:eastAsia="zh-CN"/>
              </w:rPr>
              <w:t>山梨酸及其钾盐（以山梨酸计）、苯甲酸及其钠盐（以苯甲酸计）、胭脂红、诱惑红、糖精钠(以糖精计)、二氧化硫残留量、赤藓红、新红、日落黄、邻苯二甲酸异壬酯(DINP)。</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sz w:val="21"/>
                <w:szCs w:val="21"/>
              </w:rPr>
              <w:t>SN/T2012</w:t>
            </w:r>
            <w:r>
              <w:rPr>
                <w:rFonts w:hint="eastAsia" w:ascii="宋体" w:hAnsi="宋体" w:eastAsia="宋体" w:cs="宋体"/>
                <w:sz w:val="21"/>
                <w:szCs w:val="21"/>
                <w:lang w:val="en-US" w:eastAsia="zh-CN"/>
              </w:rPr>
              <w:t>-</w:t>
            </w:r>
            <w:r>
              <w:rPr>
                <w:rFonts w:hint="eastAsia" w:ascii="宋体" w:hAnsi="宋体" w:eastAsia="宋体" w:cs="宋体"/>
                <w:sz w:val="21"/>
                <w:szCs w:val="21"/>
              </w:rPr>
              <w:t>20</w:t>
            </w:r>
            <w:r>
              <w:rPr>
                <w:rFonts w:hint="eastAsia" w:ascii="宋体" w:hAnsi="宋体" w:eastAsia="宋体" w:cs="宋体"/>
                <w:sz w:val="21"/>
                <w:szCs w:val="21"/>
                <w:lang w:val="en-US" w:eastAsia="zh-CN"/>
              </w:rPr>
              <w:t>19、</w:t>
            </w:r>
            <w:r>
              <w:rPr>
                <w:rFonts w:hint="eastAsia" w:ascii="宋体" w:hAnsi="宋体" w:eastAsia="宋体" w:cs="宋体"/>
                <w:sz w:val="21"/>
                <w:szCs w:val="21"/>
              </w:rPr>
              <w:t>SN/T3845-2014</w:t>
            </w:r>
            <w:r>
              <w:rPr>
                <w:rFonts w:hint="eastAsia" w:ascii="宋体" w:hAnsi="宋体" w:eastAsia="宋体" w:cs="宋体"/>
                <w:sz w:val="21"/>
                <w:szCs w:val="21"/>
                <w:lang w:eastAsia="zh-CN"/>
              </w:rPr>
              <w:t>、</w:t>
            </w:r>
            <w:r>
              <w:rPr>
                <w:rFonts w:hint="eastAsia" w:ascii="宋体" w:hAnsi="宋体" w:eastAsia="宋体" w:cs="宋体"/>
                <w:sz w:val="21"/>
                <w:szCs w:val="21"/>
              </w:rPr>
              <w:t>SN/T4266-2015</w:t>
            </w:r>
            <w:r>
              <w:rPr>
                <w:rFonts w:hint="eastAsia" w:ascii="宋体" w:hAnsi="宋体" w:eastAsia="宋体" w:cs="宋体"/>
                <w:sz w:val="21"/>
                <w:szCs w:val="21"/>
                <w:lang w:eastAsia="zh-CN"/>
              </w:rPr>
              <w:t>、</w:t>
            </w:r>
            <w:r>
              <w:rPr>
                <w:rFonts w:hint="eastAsia" w:ascii="宋体" w:hAnsi="宋体" w:eastAsia="宋体" w:cs="宋体"/>
                <w:sz w:val="21"/>
                <w:szCs w:val="21"/>
              </w:rPr>
              <w:t>SN/T3147</w:t>
            </w:r>
            <w:r>
              <w:rPr>
                <w:rFonts w:hint="eastAsia" w:ascii="宋体" w:hAnsi="宋体" w:eastAsia="宋体" w:cs="宋体"/>
                <w:sz w:val="21"/>
                <w:szCs w:val="21"/>
                <w:lang w:val="en-US" w:eastAsia="zh-CN"/>
              </w:rPr>
              <w:t>-</w:t>
            </w:r>
            <w:r>
              <w:rPr>
                <w:rFonts w:hint="eastAsia" w:ascii="宋体" w:hAnsi="宋体" w:eastAsia="宋体" w:cs="宋体"/>
                <w:sz w:val="21"/>
                <w:szCs w:val="21"/>
              </w:rPr>
              <w:t>201</w:t>
            </w:r>
            <w:r>
              <w:rPr>
                <w:rFonts w:hint="eastAsia" w:ascii="宋体" w:hAnsi="宋体" w:eastAsia="宋体" w:cs="宋体"/>
                <w:sz w:val="21"/>
                <w:szCs w:val="21"/>
                <w:lang w:val="en-US" w:eastAsia="zh-CN"/>
              </w:rPr>
              <w:t>7</w:t>
            </w:r>
          </w:p>
          <w:p w14:paraId="6B79047B">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9.豆制品类：</w:t>
            </w:r>
          </w:p>
          <w:p w14:paraId="04699556">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lang w:eastAsia="zh-CN"/>
              </w:rPr>
            </w:pPr>
            <w:r>
              <w:rPr>
                <w:rFonts w:hint="eastAsia" w:ascii="宋体" w:hAnsi="宋体" w:eastAsia="宋体" w:cs="宋体"/>
                <w:color w:val="000000"/>
                <w:szCs w:val="21"/>
              </w:rPr>
              <w:t>检测项目</w:t>
            </w:r>
            <w:r>
              <w:rPr>
                <w:rFonts w:hint="eastAsia" w:ascii="宋体" w:hAnsi="宋体" w:eastAsia="宋体" w:cs="宋体"/>
                <w:bCs/>
                <w:szCs w:val="21"/>
              </w:rPr>
              <w:t>包含</w:t>
            </w:r>
            <w:r>
              <w:rPr>
                <w:rFonts w:hint="eastAsia" w:ascii="宋体" w:hAnsi="宋体" w:eastAsia="宋体" w:cs="宋体"/>
                <w:color w:val="000000"/>
                <w:szCs w:val="21"/>
              </w:rPr>
              <w:t>但不限于</w:t>
            </w:r>
            <w:r>
              <w:rPr>
                <w:rFonts w:hint="eastAsia" w:ascii="宋体" w:hAnsi="宋体" w:eastAsia="宋体" w:cs="宋体"/>
                <w:color w:val="000000"/>
                <w:szCs w:val="21"/>
                <w:lang w:eastAsia="zh-CN"/>
              </w:rPr>
              <w:t>：</w:t>
            </w:r>
            <w:r>
              <w:rPr>
                <w:rFonts w:hint="eastAsia" w:ascii="宋体" w:hAnsi="宋体" w:eastAsia="宋体" w:cs="宋体"/>
                <w:kern w:val="2"/>
                <w:sz w:val="21"/>
                <w:szCs w:val="21"/>
                <w:lang w:eastAsia="zh-CN"/>
              </w:rPr>
              <w:t>糖精钠（以糖精计）、苯甲酸及其钠盐（以苯甲酸计）、铅(以Pb计)、脱氢乙酸及其钠盐（以脱氢乙酸计）、铝的残留量（干样品，以 Al计)、三氯蔗糖、柠檬黄、碱性嫩黄、喹啉黄)。</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2"/>
                <w:sz w:val="21"/>
                <w:szCs w:val="21"/>
                <w:lang w:val="en-US" w:eastAsia="zh-CN" w:bidi="ar"/>
              </w:rPr>
              <w:t>SN/T0448</w:t>
            </w:r>
            <w:r>
              <w:rPr>
                <w:rFonts w:hint="eastAsia" w:ascii="宋体" w:hAnsi="宋体" w:eastAsia="宋体" w:cs="宋体"/>
                <w:sz w:val="21"/>
                <w:szCs w:val="21"/>
                <w:lang w:val="en-US" w:eastAsia="zh-CN"/>
              </w:rPr>
              <w:t>-</w:t>
            </w:r>
            <w:r>
              <w:rPr>
                <w:rFonts w:hint="eastAsia" w:ascii="宋体" w:hAnsi="宋体" w:eastAsia="宋体" w:cs="宋体"/>
                <w:kern w:val="2"/>
                <w:sz w:val="21"/>
                <w:szCs w:val="21"/>
                <w:lang w:val="en-US" w:eastAsia="zh-CN" w:bidi="ar"/>
              </w:rPr>
              <w:t>2011、</w:t>
            </w:r>
            <w:r>
              <w:rPr>
                <w:rFonts w:hint="eastAsia" w:ascii="宋体" w:hAnsi="宋体" w:eastAsia="宋体" w:cs="宋体"/>
                <w:sz w:val="21"/>
                <w:szCs w:val="21"/>
              </w:rPr>
              <w:t>SN/T2012</w:t>
            </w:r>
            <w:r>
              <w:rPr>
                <w:rFonts w:hint="eastAsia" w:ascii="宋体" w:hAnsi="宋体" w:eastAsia="宋体" w:cs="宋体"/>
                <w:sz w:val="21"/>
                <w:szCs w:val="21"/>
                <w:lang w:val="en-US" w:eastAsia="zh-CN"/>
              </w:rPr>
              <w:t>-</w:t>
            </w:r>
            <w:r>
              <w:rPr>
                <w:rFonts w:hint="eastAsia" w:ascii="宋体" w:hAnsi="宋体" w:eastAsia="宋体" w:cs="宋体"/>
                <w:sz w:val="21"/>
                <w:szCs w:val="21"/>
              </w:rPr>
              <w:t>20</w:t>
            </w:r>
            <w:r>
              <w:rPr>
                <w:rFonts w:hint="eastAsia" w:ascii="宋体" w:hAnsi="宋体" w:eastAsia="宋体" w:cs="宋体"/>
                <w:sz w:val="21"/>
                <w:szCs w:val="21"/>
                <w:lang w:val="en-US" w:eastAsia="zh-CN"/>
              </w:rPr>
              <w:t>19、</w:t>
            </w:r>
            <w:r>
              <w:rPr>
                <w:rFonts w:hint="eastAsia" w:ascii="宋体" w:hAnsi="宋体" w:eastAsia="宋体" w:cs="宋体"/>
                <w:kern w:val="2"/>
                <w:sz w:val="21"/>
                <w:szCs w:val="21"/>
                <w:lang w:val="en-US" w:eastAsia="zh-CN" w:bidi="ar"/>
              </w:rPr>
              <w:t>SN/T3545-2013、SN/T3863-2014、SN/T4457-2016、SN/T4259-2015、SN/T4576-2016</w:t>
            </w:r>
          </w:p>
          <w:p w14:paraId="185CF5B6">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10.水果类：</w:t>
            </w:r>
          </w:p>
          <w:p w14:paraId="72DFB72C">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rPr>
              <w:t>检测项目</w:t>
            </w:r>
            <w:r>
              <w:rPr>
                <w:rFonts w:hint="eastAsia" w:ascii="宋体" w:hAnsi="宋体" w:eastAsia="宋体" w:cs="宋体"/>
                <w:bCs w:val="0"/>
                <w:kern w:val="2"/>
                <w:sz w:val="21"/>
                <w:szCs w:val="21"/>
              </w:rPr>
              <w:t>包含</w:t>
            </w:r>
            <w:r>
              <w:rPr>
                <w:rFonts w:hint="eastAsia" w:ascii="宋体" w:hAnsi="宋体" w:eastAsia="宋体" w:cs="宋体"/>
                <w:kern w:val="2"/>
                <w:sz w:val="21"/>
                <w:szCs w:val="21"/>
              </w:rPr>
              <w:t>但不限于</w:t>
            </w:r>
            <w:r>
              <w:rPr>
                <w:rFonts w:hint="eastAsia" w:ascii="宋体" w:hAnsi="宋体" w:eastAsia="宋体" w:cs="宋体"/>
                <w:kern w:val="2"/>
                <w:sz w:val="21"/>
                <w:szCs w:val="21"/>
                <w:lang w:eastAsia="zh-CN"/>
              </w:rPr>
              <w:t>：对硫磷、联苯菊酯、噻虫嗪、铅（以Pb计）、毒死蜱、吡虫啉、噻虫胺。</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2"/>
                <w:sz w:val="21"/>
                <w:szCs w:val="21"/>
                <w:lang w:val="en-US" w:eastAsia="zh-CN" w:bidi="ar"/>
              </w:rPr>
              <w:t>SN/T0448</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lang w:val="en-US" w:eastAsia="zh-CN" w:bidi="ar"/>
              </w:rPr>
              <w:t>2011、SN/T1971</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lang w:val="en-US" w:eastAsia="zh-CN" w:bidi="ar"/>
              </w:rPr>
              <w:t>2007、SN/T4591</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lang w:val="en-US" w:eastAsia="zh-CN" w:bidi="ar"/>
              </w:rPr>
              <w:t>2016</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11.冻品类：</w:t>
            </w:r>
          </w:p>
          <w:p w14:paraId="4BC52324">
            <w:pPr>
              <w:pStyle w:val="16"/>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检测项目</w:t>
            </w:r>
            <w:r>
              <w:rPr>
                <w:rFonts w:hint="eastAsia" w:ascii="宋体" w:hAnsi="宋体" w:eastAsia="宋体" w:cs="宋体"/>
                <w:bCs w:val="0"/>
                <w:kern w:val="2"/>
                <w:sz w:val="21"/>
                <w:szCs w:val="21"/>
              </w:rPr>
              <w:t>包含</w:t>
            </w:r>
            <w:r>
              <w:rPr>
                <w:rFonts w:hint="eastAsia" w:ascii="宋体" w:hAnsi="宋体" w:eastAsia="宋体" w:cs="宋体"/>
                <w:kern w:val="2"/>
                <w:sz w:val="21"/>
                <w:szCs w:val="21"/>
              </w:rPr>
              <w:t>但不限于</w:t>
            </w:r>
            <w:r>
              <w:rPr>
                <w:rFonts w:hint="eastAsia" w:ascii="宋体" w:hAnsi="宋体" w:eastAsia="宋体" w:cs="宋体"/>
                <w:kern w:val="2"/>
                <w:sz w:val="21"/>
                <w:szCs w:val="21"/>
                <w:lang w:eastAsia="zh-CN"/>
              </w:rPr>
              <w:t>：铅（以Pb计）、甲砜霉素、氯霉素、吉他霉素、艾氏剂、磺胺甲基嘧啶、氟苯尼考、总砷（以As计）。</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2"/>
                <w:sz w:val="21"/>
                <w:szCs w:val="21"/>
                <w:lang w:val="en-US" w:eastAsia="zh-CN" w:bidi="ar"/>
              </w:rPr>
              <w:t>SN/T0448</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lang w:val="en-US" w:eastAsia="zh-CN" w:bidi="ar"/>
              </w:rPr>
              <w:t>2011、</w:t>
            </w:r>
            <w:r>
              <w:rPr>
                <w:rFonts w:hint="eastAsia" w:ascii="宋体" w:hAnsi="宋体" w:eastAsia="宋体" w:cs="宋体"/>
                <w:kern w:val="2"/>
                <w:sz w:val="21"/>
                <w:szCs w:val="21"/>
              </w:rPr>
              <w:t>SN/T1865</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w:t>
            </w:r>
            <w:r>
              <w:rPr>
                <w:rFonts w:hint="eastAsia" w:ascii="宋体" w:hAnsi="宋体" w:eastAsia="宋体" w:cs="宋体"/>
                <w:kern w:val="2"/>
                <w:sz w:val="21"/>
                <w:szCs w:val="21"/>
                <w:lang w:val="en-US" w:eastAsia="zh-CN"/>
              </w:rPr>
              <w:t>16、</w:t>
            </w:r>
            <w:r>
              <w:rPr>
                <w:rFonts w:hint="eastAsia" w:ascii="宋体" w:hAnsi="宋体" w:eastAsia="宋体" w:cs="宋体"/>
                <w:kern w:val="2"/>
                <w:sz w:val="21"/>
                <w:szCs w:val="21"/>
              </w:rPr>
              <w:t>SN/T4111</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2015</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SN/T4057</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2014</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SN/T4589</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2016</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SN/T4056</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2014</w:t>
            </w:r>
          </w:p>
          <w:p w14:paraId="3DDFF7C3">
            <w:pPr>
              <w:pStyle w:val="16"/>
              <w:rPr>
                <w:rFonts w:hint="eastAsia" w:ascii="宋体" w:hAnsi="宋体" w:eastAsia="宋体" w:cs="宋体"/>
                <w:color w:val="000000"/>
                <w:kern w:val="2"/>
                <w:sz w:val="21"/>
                <w:szCs w:val="21"/>
                <w:lang w:eastAsia="zh-CN"/>
              </w:rPr>
            </w:pPr>
            <w:r>
              <w:rPr>
                <w:rFonts w:hint="eastAsia" w:ascii="宋体" w:hAnsi="宋体" w:eastAsia="宋体" w:cs="宋体"/>
                <w:kern w:val="2"/>
                <w:sz w:val="21"/>
                <w:szCs w:val="21"/>
                <w:lang w:eastAsia="zh-CN"/>
              </w:rPr>
              <w:t>12.</w:t>
            </w:r>
            <w:r>
              <w:rPr>
                <w:rFonts w:hint="eastAsia" w:ascii="宋体" w:hAnsi="宋体" w:eastAsia="宋体" w:cs="宋体"/>
                <w:color w:val="000000"/>
                <w:kern w:val="2"/>
                <w:sz w:val="21"/>
                <w:szCs w:val="21"/>
                <w:lang w:eastAsia="zh-CN"/>
              </w:rPr>
              <w:t>干货类：</w:t>
            </w:r>
          </w:p>
          <w:p w14:paraId="4F72908D">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rPr>
              <w:t>检测项目</w:t>
            </w:r>
            <w:r>
              <w:rPr>
                <w:rFonts w:hint="eastAsia" w:ascii="宋体" w:hAnsi="宋体" w:eastAsia="宋体" w:cs="宋体"/>
                <w:bCs w:val="0"/>
                <w:kern w:val="2"/>
                <w:sz w:val="21"/>
                <w:szCs w:val="21"/>
              </w:rPr>
              <w:t>包含</w:t>
            </w:r>
            <w:r>
              <w:rPr>
                <w:rFonts w:hint="eastAsia" w:ascii="宋体" w:hAnsi="宋体" w:eastAsia="宋体" w:cs="宋体"/>
                <w:kern w:val="2"/>
                <w:sz w:val="21"/>
                <w:szCs w:val="21"/>
              </w:rPr>
              <w:t>但不限于</w:t>
            </w:r>
            <w:r>
              <w:rPr>
                <w:rFonts w:hint="eastAsia" w:ascii="宋体" w:hAnsi="宋体" w:eastAsia="宋体" w:cs="宋体"/>
                <w:kern w:val="2"/>
                <w:sz w:val="21"/>
                <w:szCs w:val="21"/>
                <w:lang w:eastAsia="zh-CN"/>
              </w:rPr>
              <w:t>：</w:t>
            </w:r>
            <w:r>
              <w:rPr>
                <w:rFonts w:hint="eastAsia" w:ascii="宋体" w:hAnsi="宋体" w:eastAsia="宋体" w:cs="宋体"/>
                <w:color w:val="000000"/>
                <w:kern w:val="2"/>
                <w:sz w:val="21"/>
                <w:szCs w:val="21"/>
                <w:lang w:eastAsia="zh-CN"/>
              </w:rPr>
              <w:t>甲基异柳磷、山梨酸及其钾盐（以山梨酸计）、二溴磷、铅（以Pb计）、巴毒磷、乙酰甲胺磷、速灭磷、氟虫腈、滴滴涕、三氟硝草醚、阿斯巴甜</w:t>
            </w:r>
            <w:r>
              <w:rPr>
                <w:rFonts w:hint="eastAsia" w:ascii="宋体" w:hAnsi="宋体" w:eastAsia="宋体" w:cs="宋体"/>
                <w:kern w:val="2"/>
                <w:sz w:val="21"/>
                <w:szCs w:val="21"/>
                <w:lang w:eastAsia="zh-CN"/>
              </w:rPr>
              <w:t>。</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color w:val="000000"/>
                <w:kern w:val="2"/>
                <w:sz w:val="21"/>
                <w:szCs w:val="21"/>
                <w:lang w:val="en-US" w:eastAsia="zh-CN" w:bidi="ar"/>
              </w:rPr>
              <w:t>SN/T0448</w:t>
            </w:r>
            <w:r>
              <w:rPr>
                <w:rFonts w:hint="eastAsia" w:ascii="宋体" w:hAnsi="宋体" w:eastAsia="宋体" w:cs="宋体"/>
                <w:color w:val="000000"/>
                <w:kern w:val="2"/>
                <w:sz w:val="21"/>
                <w:szCs w:val="21"/>
                <w:lang w:val="en-US" w:eastAsia="zh-CN"/>
              </w:rPr>
              <w:t>-</w:t>
            </w:r>
            <w:r>
              <w:rPr>
                <w:rFonts w:hint="eastAsia" w:ascii="宋体" w:hAnsi="宋体" w:eastAsia="宋体" w:cs="宋体"/>
                <w:color w:val="000000"/>
                <w:kern w:val="2"/>
                <w:sz w:val="21"/>
                <w:szCs w:val="21"/>
                <w:lang w:val="en-US" w:eastAsia="zh-CN" w:bidi="ar"/>
              </w:rPr>
              <w:t>2011、</w:t>
            </w:r>
            <w:r>
              <w:rPr>
                <w:rFonts w:hint="eastAsia" w:ascii="宋体" w:hAnsi="宋体" w:eastAsia="宋体" w:cs="宋体"/>
                <w:color w:val="000000"/>
                <w:kern w:val="2"/>
                <w:sz w:val="21"/>
                <w:szCs w:val="21"/>
              </w:rPr>
              <w:t>SN/T2012</w:t>
            </w:r>
            <w:r>
              <w:rPr>
                <w:rFonts w:hint="eastAsia" w:ascii="宋体" w:hAnsi="宋体" w:eastAsia="宋体" w:cs="宋体"/>
                <w:color w:val="000000"/>
                <w:kern w:val="2"/>
                <w:sz w:val="21"/>
                <w:szCs w:val="21"/>
                <w:lang w:val="en-US" w:eastAsia="zh-CN"/>
              </w:rPr>
              <w:t>-</w:t>
            </w:r>
            <w:r>
              <w:rPr>
                <w:rFonts w:hint="eastAsia" w:ascii="宋体" w:hAnsi="宋体" w:eastAsia="宋体" w:cs="宋体"/>
                <w:color w:val="000000"/>
                <w:kern w:val="2"/>
                <w:sz w:val="21"/>
                <w:szCs w:val="21"/>
              </w:rPr>
              <w:t>20</w:t>
            </w:r>
            <w:r>
              <w:rPr>
                <w:rFonts w:hint="eastAsia" w:ascii="宋体" w:hAnsi="宋体" w:eastAsia="宋体" w:cs="宋体"/>
                <w:color w:val="000000"/>
                <w:kern w:val="2"/>
                <w:sz w:val="21"/>
                <w:szCs w:val="21"/>
                <w:lang w:val="en-US" w:eastAsia="zh-CN"/>
              </w:rPr>
              <w:t>19、</w:t>
            </w:r>
            <w:r>
              <w:rPr>
                <w:rFonts w:hint="eastAsia" w:ascii="宋体" w:hAnsi="宋体" w:eastAsia="宋体" w:cs="宋体"/>
                <w:color w:val="000000"/>
                <w:kern w:val="2"/>
                <w:sz w:val="21"/>
                <w:szCs w:val="21"/>
              </w:rPr>
              <w:t>SN/T3538</w:t>
            </w:r>
            <w:r>
              <w:rPr>
                <w:rFonts w:hint="eastAsia" w:ascii="宋体" w:hAnsi="宋体" w:eastAsia="宋体" w:cs="宋体"/>
                <w:color w:val="000000"/>
                <w:kern w:val="2"/>
                <w:sz w:val="21"/>
                <w:szCs w:val="21"/>
                <w:lang w:val="en-US" w:eastAsia="zh-CN"/>
              </w:rPr>
              <w:t>-</w:t>
            </w:r>
            <w:r>
              <w:rPr>
                <w:rFonts w:hint="eastAsia" w:ascii="宋体" w:hAnsi="宋体" w:eastAsia="宋体" w:cs="宋体"/>
                <w:color w:val="000000"/>
                <w:kern w:val="2"/>
                <w:sz w:val="21"/>
                <w:szCs w:val="21"/>
              </w:rPr>
              <w:t>2013</w:t>
            </w:r>
            <w:r>
              <w:rPr>
                <w:rFonts w:hint="eastAsia" w:ascii="宋体" w:hAnsi="宋体" w:eastAsia="宋体" w:cs="宋体"/>
                <w:color w:val="000000"/>
                <w:kern w:val="2"/>
                <w:sz w:val="21"/>
                <w:szCs w:val="21"/>
                <w:lang w:eastAsia="zh-CN"/>
              </w:rPr>
              <w:t>、</w:t>
            </w:r>
            <w:r>
              <w:rPr>
                <w:rFonts w:hint="eastAsia" w:ascii="宋体" w:hAnsi="宋体" w:eastAsia="宋体" w:cs="宋体"/>
                <w:color w:val="000000"/>
                <w:kern w:val="2"/>
                <w:sz w:val="21"/>
                <w:szCs w:val="21"/>
              </w:rPr>
              <w:t>SN/T0148</w:t>
            </w:r>
            <w:r>
              <w:rPr>
                <w:rFonts w:hint="eastAsia" w:ascii="宋体" w:hAnsi="宋体" w:eastAsia="宋体" w:cs="宋体"/>
                <w:color w:val="000000"/>
                <w:kern w:val="2"/>
                <w:sz w:val="21"/>
                <w:szCs w:val="21"/>
                <w:lang w:val="en-US" w:eastAsia="zh-CN"/>
              </w:rPr>
              <w:t>-</w:t>
            </w:r>
            <w:r>
              <w:rPr>
                <w:rFonts w:hint="eastAsia" w:ascii="宋体" w:hAnsi="宋体" w:eastAsia="宋体" w:cs="宋体"/>
                <w:color w:val="000000"/>
                <w:kern w:val="2"/>
                <w:sz w:val="21"/>
                <w:szCs w:val="21"/>
              </w:rPr>
              <w:t>2011</w:t>
            </w:r>
            <w:r>
              <w:rPr>
                <w:rFonts w:hint="eastAsia" w:ascii="宋体" w:hAnsi="宋体" w:eastAsia="宋体" w:cs="宋体"/>
                <w:color w:val="000000"/>
                <w:kern w:val="2"/>
                <w:sz w:val="21"/>
                <w:szCs w:val="21"/>
                <w:lang w:eastAsia="zh-CN"/>
              </w:rPr>
              <w:t>、</w:t>
            </w:r>
            <w:r>
              <w:rPr>
                <w:rFonts w:hint="eastAsia" w:ascii="宋体" w:hAnsi="宋体" w:eastAsia="宋体" w:cs="宋体"/>
                <w:color w:val="000000"/>
                <w:kern w:val="2"/>
                <w:sz w:val="21"/>
                <w:szCs w:val="21"/>
              </w:rPr>
              <w:t>SN/T1982-2007</w:t>
            </w:r>
            <w:r>
              <w:rPr>
                <w:rFonts w:hint="eastAsia" w:ascii="宋体" w:hAnsi="宋体" w:eastAsia="宋体" w:cs="宋体"/>
                <w:color w:val="000000"/>
                <w:kern w:val="2"/>
                <w:sz w:val="21"/>
                <w:szCs w:val="21"/>
                <w:lang w:eastAsia="zh-CN"/>
              </w:rPr>
              <w:t>、</w:t>
            </w:r>
            <w:r>
              <w:rPr>
                <w:rFonts w:hint="eastAsia" w:ascii="宋体" w:hAnsi="宋体" w:eastAsia="宋体" w:cs="宋体"/>
                <w:color w:val="000000"/>
                <w:kern w:val="2"/>
                <w:sz w:val="21"/>
                <w:szCs w:val="21"/>
              </w:rPr>
              <w:t>SN/T0127</w:t>
            </w:r>
            <w:r>
              <w:rPr>
                <w:rFonts w:hint="eastAsia" w:ascii="宋体" w:hAnsi="宋体" w:eastAsia="宋体" w:cs="宋体"/>
                <w:color w:val="000000"/>
                <w:kern w:val="2"/>
                <w:sz w:val="21"/>
                <w:szCs w:val="21"/>
                <w:lang w:val="en-US" w:eastAsia="zh-CN"/>
              </w:rPr>
              <w:t>-</w:t>
            </w:r>
            <w:r>
              <w:rPr>
                <w:rFonts w:hint="eastAsia" w:ascii="宋体" w:hAnsi="宋体" w:eastAsia="宋体" w:cs="宋体"/>
                <w:color w:val="000000"/>
                <w:kern w:val="2"/>
                <w:sz w:val="21"/>
                <w:szCs w:val="21"/>
              </w:rPr>
              <w:t>2011</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13.水产类：</w:t>
            </w:r>
          </w:p>
          <w:p w14:paraId="27118BB4">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rPr>
              <w:t>检测项目</w:t>
            </w:r>
            <w:r>
              <w:rPr>
                <w:rFonts w:hint="eastAsia" w:ascii="宋体" w:hAnsi="宋体" w:eastAsia="宋体" w:cs="宋体"/>
                <w:bCs w:val="0"/>
                <w:kern w:val="2"/>
                <w:sz w:val="21"/>
                <w:szCs w:val="21"/>
              </w:rPr>
              <w:t>包含</w:t>
            </w:r>
            <w:r>
              <w:rPr>
                <w:rFonts w:hint="eastAsia" w:ascii="宋体" w:hAnsi="宋体" w:eastAsia="宋体" w:cs="宋体"/>
                <w:kern w:val="2"/>
                <w:sz w:val="21"/>
                <w:szCs w:val="21"/>
              </w:rPr>
              <w:t>但不限于</w:t>
            </w:r>
            <w:r>
              <w:rPr>
                <w:rFonts w:hint="eastAsia" w:ascii="宋体" w:hAnsi="宋体" w:eastAsia="宋体" w:cs="宋体"/>
                <w:kern w:val="2"/>
                <w:sz w:val="21"/>
                <w:szCs w:val="21"/>
                <w:lang w:eastAsia="zh-CN"/>
              </w:rPr>
              <w:t>：氯霉素、铅（以Pb计）、甲砜霉素、五氯酚酸钠(以五氯酚计)、氯氰菊酯残留量、孔雀石绿、呋喃唑酮代谢物、呋喃妥因代谢物、红霉素、多西环素。</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2"/>
                <w:sz w:val="21"/>
                <w:szCs w:val="21"/>
                <w:lang w:val="en-US" w:eastAsia="zh-CN" w:bidi="ar"/>
              </w:rPr>
              <w:t>SN/T0448</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lang w:val="en-US" w:eastAsia="zh-CN" w:bidi="ar"/>
              </w:rPr>
              <w:t>2011、</w:t>
            </w:r>
            <w:r>
              <w:rPr>
                <w:rFonts w:hint="eastAsia" w:ascii="宋体" w:hAnsi="宋体" w:eastAsia="宋体" w:cs="宋体"/>
                <w:kern w:val="2"/>
                <w:sz w:val="21"/>
                <w:szCs w:val="21"/>
              </w:rPr>
              <w:t>SN/T1865</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w:t>
            </w:r>
            <w:r>
              <w:rPr>
                <w:rFonts w:hint="eastAsia" w:ascii="宋体" w:hAnsi="宋体" w:eastAsia="宋体" w:cs="宋体"/>
                <w:kern w:val="2"/>
                <w:sz w:val="21"/>
                <w:szCs w:val="21"/>
                <w:lang w:val="en-US" w:eastAsia="zh-CN"/>
              </w:rPr>
              <w:t>16、</w:t>
            </w:r>
            <w:r>
              <w:rPr>
                <w:rFonts w:hint="eastAsia" w:ascii="宋体" w:hAnsi="宋体" w:eastAsia="宋体" w:cs="宋体"/>
                <w:kern w:val="2"/>
                <w:sz w:val="21"/>
                <w:szCs w:val="21"/>
              </w:rPr>
              <w:t>SN/T1864-2007</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bidi="ar"/>
              </w:rPr>
              <w:t>SN/T4584-2016、</w:t>
            </w:r>
            <w:r>
              <w:rPr>
                <w:rFonts w:hint="eastAsia" w:ascii="宋体" w:hAnsi="宋体" w:eastAsia="宋体" w:cs="宋体"/>
                <w:kern w:val="2"/>
                <w:sz w:val="21"/>
                <w:szCs w:val="21"/>
              </w:rPr>
              <w:t>SN/T1971</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2007</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SC/T9441-2023</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SN/T3235</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2012</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SN/T4057</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2014</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SN/T4058</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2014</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14.乳制品类：</w:t>
            </w:r>
          </w:p>
          <w:p w14:paraId="384973D8">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rPr>
              <w:t>检测项目</w:t>
            </w:r>
            <w:r>
              <w:rPr>
                <w:rFonts w:hint="eastAsia" w:ascii="宋体" w:hAnsi="宋体" w:eastAsia="宋体" w:cs="宋体"/>
                <w:bCs w:val="0"/>
                <w:kern w:val="2"/>
                <w:sz w:val="21"/>
                <w:szCs w:val="21"/>
              </w:rPr>
              <w:t>包含</w:t>
            </w:r>
            <w:r>
              <w:rPr>
                <w:rFonts w:hint="eastAsia" w:ascii="宋体" w:hAnsi="宋体" w:eastAsia="宋体" w:cs="宋体"/>
                <w:kern w:val="2"/>
                <w:sz w:val="21"/>
                <w:szCs w:val="21"/>
              </w:rPr>
              <w:t>但不限于</w:t>
            </w:r>
            <w:r>
              <w:rPr>
                <w:rFonts w:hint="eastAsia" w:ascii="宋体" w:hAnsi="宋体" w:eastAsia="宋体" w:cs="宋体"/>
                <w:kern w:val="2"/>
                <w:sz w:val="21"/>
                <w:szCs w:val="21"/>
                <w:lang w:eastAsia="zh-CN"/>
              </w:rPr>
              <w:t>：脱氢乙酸及其钠盐(以脱氢乙酸计)、铅(Pb计)、丙二醇、新红、柠檬黄、蛋白质、脂肪、赤藓红。</w:t>
            </w:r>
            <w:r>
              <w:rPr>
                <w:rFonts w:hint="eastAsia" w:ascii="宋体" w:hAnsi="宋体" w:eastAsia="宋体" w:cs="宋体"/>
                <w:color w:val="000000" w:themeColor="text1"/>
                <w:kern w:val="2"/>
                <w:sz w:val="21"/>
                <w:szCs w:val="21"/>
                <w:lang w:val="en-US" w:eastAsia="zh-CN"/>
                <w14:textFill>
                  <w14:solidFill>
                    <w14:schemeClr w14:val="tx1"/>
                  </w14:solidFill>
                </w14:textFill>
              </w:rPr>
              <w:t>检测依据：同时满足</w:t>
            </w:r>
            <w:r>
              <w:rPr>
                <w:rFonts w:hint="eastAsia" w:ascii="宋体" w:hAnsi="宋体" w:eastAsia="宋体" w:cs="宋体"/>
                <w:kern w:val="2"/>
                <w:sz w:val="21"/>
                <w:szCs w:val="21"/>
                <w:lang w:val="en-US" w:eastAsia="zh-CN" w:bidi="ar"/>
              </w:rPr>
              <w:t>SN/T0448</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lang w:val="en-US" w:eastAsia="zh-CN" w:bidi="ar"/>
              </w:rPr>
              <w:t>2011、</w:t>
            </w:r>
            <w:r>
              <w:rPr>
                <w:rFonts w:hint="eastAsia" w:ascii="宋体" w:hAnsi="宋体" w:eastAsia="宋体" w:cs="宋体"/>
                <w:kern w:val="2"/>
                <w:sz w:val="21"/>
                <w:szCs w:val="21"/>
              </w:rPr>
              <w:t>SN/T3545</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2013</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SN/T5111</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2019</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SN/T3845</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2014</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SN/T4260</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2015</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SN/T4259</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2015</w:t>
            </w:r>
            <w:r>
              <w:rPr>
                <w:rFonts w:hint="eastAsia" w:ascii="宋体" w:hAnsi="宋体" w:eastAsia="宋体" w:cs="宋体"/>
                <w:kern w:val="2"/>
                <w:sz w:val="21"/>
                <w:szCs w:val="21"/>
                <w:lang w:eastAsia="zh-CN"/>
              </w:rPr>
              <w:br w:type="textWrapping"/>
            </w:r>
          </w:p>
          <w:p w14:paraId="5D8983A4">
            <w:pPr>
              <w:pStyle w:val="16"/>
              <w:rPr>
                <w:rFonts w:hint="eastAsia" w:ascii="宋体" w:hAnsi="宋体" w:eastAsia="宋体" w:cs="宋体"/>
                <w:color w:val="000000"/>
                <w:kern w:val="2"/>
                <w:sz w:val="21"/>
                <w:szCs w:val="21"/>
                <w:lang w:val="en-US" w:eastAsia="zh-CN"/>
              </w:rPr>
            </w:pPr>
            <w:r>
              <w:rPr>
                <w:rFonts w:hint="eastAsia" w:ascii="宋体" w:hAnsi="宋体" w:eastAsia="宋体" w:cs="宋体"/>
                <w:kern w:val="2"/>
                <w:sz w:val="21"/>
                <w:szCs w:val="21"/>
                <w:lang w:eastAsia="zh-CN"/>
              </w:rPr>
              <w:t>每提供一个品类任意三个月检测报告（每个月需提供一份）的得7.15分,每提供一个品类任意两个月检测报告（每个月需提供一份）的得5分，每提供一个品类任意一个月检测报告的得3分，否则不得分，此项最高得100分。上述检测报告同一品类不可重复得分。</w:t>
            </w:r>
          </w:p>
          <w:p w14:paraId="56B489D8">
            <w:pPr>
              <w:pStyle w:val="18"/>
              <w:widowControl/>
              <w:rPr>
                <w:rFonts w:hint="eastAsia" w:ascii="宋体" w:hAnsi="宋体" w:eastAsia="宋体" w:cs="宋体"/>
                <w:sz w:val="21"/>
                <w:szCs w:val="21"/>
              </w:rPr>
            </w:pPr>
          </w:p>
          <w:p w14:paraId="77F27F0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both"/>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05A21982">
            <w:pPr>
              <w:pStyle w:val="18"/>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按照以下要求提供证明材料：</w:t>
            </w:r>
          </w:p>
          <w:p w14:paraId="1E21FAF4">
            <w:pPr>
              <w:pStyle w:val="18"/>
              <w:widowControl/>
              <w:numPr>
                <w:ilvl w:val="0"/>
                <w:numId w:val="0"/>
              </w:numPr>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1.</w:t>
            </w:r>
            <w:r>
              <w:rPr>
                <w:rFonts w:hint="eastAsia" w:ascii="宋体" w:hAnsi="宋体" w:eastAsia="宋体" w:cs="宋体"/>
                <w:b w:val="0"/>
                <w:bCs w:val="0"/>
                <w:sz w:val="21"/>
                <w:szCs w:val="21"/>
              </w:rPr>
              <w:t>提供第三方检测机构在检测能力范围内出具的标注资质认定标志（CMA）的检验检测报告扫描件，且检测结果均为合格或符合或未检出</w:t>
            </w:r>
            <w:r>
              <w:rPr>
                <w:rFonts w:hint="eastAsia" w:ascii="宋体" w:hAnsi="宋体" w:eastAsia="宋体" w:cs="宋体"/>
                <w:b w:val="0"/>
                <w:bCs w:val="0"/>
                <w:sz w:val="21"/>
                <w:szCs w:val="21"/>
                <w:lang w:val="en-US" w:eastAsia="zh-CN"/>
              </w:rPr>
              <w:t>等</w:t>
            </w:r>
            <w:r>
              <w:rPr>
                <w:rFonts w:hint="eastAsia" w:ascii="宋体" w:hAnsi="宋体" w:eastAsia="宋体" w:cs="宋体"/>
                <w:b w:val="0"/>
                <w:bCs w:val="0"/>
                <w:sz w:val="21"/>
                <w:szCs w:val="21"/>
              </w:rPr>
              <w:t>同等意义表述（如上述检测项目的检测报告出现相关内容备注或体现相关检测项目不在实施该项检验（检测）的机构资质 CMA 资质认可范围之内的，该检测项目则不符合评分要求），当相关检验（检测）项目有分包检验（检测）的情况时，需提供实施检验（检测）的分包机构的 CMA 资质认定证书及含分包项目的资质认定证书附件（包括附件首页、分包项目所在页、附件末页）。</w:t>
            </w:r>
          </w:p>
          <w:p w14:paraId="6727DDEA">
            <w:pPr>
              <w:pStyle w:val="18"/>
              <w:widowControl/>
              <w:numPr>
                <w:ilvl w:val="0"/>
                <w:numId w:val="0"/>
              </w:numPr>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2.</w:t>
            </w:r>
            <w:r>
              <w:rPr>
                <w:rFonts w:hint="eastAsia" w:ascii="宋体" w:hAnsi="宋体" w:eastAsia="宋体" w:cs="宋体"/>
                <w:b w:val="0"/>
                <w:bCs w:val="0"/>
                <w:sz w:val="21"/>
                <w:szCs w:val="21"/>
              </w:rPr>
              <w:t>提供检验检测报告在检测机构官网或者全国认证认可信息公共服务平台（认 e 云）（网址：</w:t>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"http://cx.cnca.cn/" </w:instrText>
            </w:r>
            <w:r>
              <w:rPr>
                <w:rFonts w:hint="eastAsia" w:ascii="宋体" w:hAnsi="宋体" w:eastAsia="宋体" w:cs="宋体"/>
                <w:b w:val="0"/>
                <w:bCs w:val="0"/>
                <w:sz w:val="21"/>
                <w:szCs w:val="21"/>
              </w:rPr>
              <w:fldChar w:fldCharType="separate"/>
            </w:r>
            <w:r>
              <w:rPr>
                <w:rStyle w:val="53"/>
                <w:rFonts w:hint="eastAsia" w:ascii="宋体" w:hAnsi="宋体" w:eastAsia="宋体" w:cs="宋体"/>
                <w:b w:val="0"/>
                <w:bCs w:val="0"/>
                <w:sz w:val="21"/>
                <w:szCs w:val="21"/>
              </w:rPr>
              <w:t>http：／／cx.cnca.cn／</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t>）上的查询截图，且检测报告编号与网站截图的报告编号需一致。该平台无法查询的，则需提供通过检测机构官网、邮箱等可靠途径查询所提交检测报告具体内容的真实性的证明材料或者检测机构盖章的证明材料，证明该报告真实有效。</w:t>
            </w:r>
          </w:p>
          <w:p w14:paraId="22A2714E">
            <w:pPr>
              <w:pStyle w:val="18"/>
              <w:widowControl/>
              <w:numPr>
                <w:ilvl w:val="0"/>
                <w:numId w:val="0"/>
              </w:numPr>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3.</w:t>
            </w:r>
            <w:r>
              <w:rPr>
                <w:rFonts w:hint="eastAsia" w:ascii="宋体" w:hAnsi="宋体" w:eastAsia="宋体" w:cs="宋体"/>
                <w:b w:val="0"/>
                <w:bCs w:val="0"/>
                <w:sz w:val="21"/>
                <w:szCs w:val="21"/>
              </w:rPr>
              <w:t>提供投标人委托检测机构检测上述事项的任意一张检测费用发票和对应的转账凭证（发票、转账凭证需体现投标人、第三方检测机构名称信息；转账凭证、发票提供截图、电子件或扫描件均可，下同）。如投标人委托多家检测机构检测的，则需要提供委托每家检测机构检测上述事项的任意一张检测费用发票和对应的转账凭证（发票、转账凭证需体现投标人、第三方检测机构名称信息）。</w:t>
            </w:r>
          </w:p>
          <w:p w14:paraId="455AD12D">
            <w:pPr>
              <w:pStyle w:val="18"/>
              <w:widowControl/>
              <w:numPr>
                <w:ilvl w:val="0"/>
                <w:numId w:val="0"/>
              </w:numPr>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4.</w:t>
            </w:r>
            <w:r>
              <w:rPr>
                <w:rFonts w:hint="eastAsia" w:ascii="宋体" w:hAnsi="宋体" w:eastAsia="宋体" w:cs="宋体"/>
                <w:b w:val="0"/>
                <w:bCs w:val="0"/>
                <w:sz w:val="21"/>
                <w:szCs w:val="21"/>
              </w:rPr>
              <w:t xml:space="preserve">评分中出现无证明资料或者专家无法凭所提供资料判断是否得分的情况，一律做不得分处理。 </w:t>
            </w:r>
          </w:p>
          <w:p w14:paraId="15D54912">
            <w:pPr>
              <w:pStyle w:val="18"/>
              <w:widowControl/>
              <w:numPr>
                <w:ilvl w:val="0"/>
                <w:numId w:val="0"/>
              </w:numPr>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val="0"/>
                <w:sz w:val="21"/>
                <w:szCs w:val="21"/>
              </w:rPr>
              <w:t>注：如为距本项目开标</w:t>
            </w:r>
            <w:r>
              <w:rPr>
                <w:rFonts w:hint="eastAsia" w:ascii="宋体" w:hAnsi="宋体" w:cs="宋体"/>
                <w:b w:val="0"/>
                <w:bCs w:val="0"/>
                <w:sz w:val="21"/>
                <w:szCs w:val="21"/>
                <w:lang w:val="en-US" w:eastAsia="zh-CN"/>
              </w:rPr>
              <w:t>日</w:t>
            </w:r>
            <w:r>
              <w:rPr>
                <w:rFonts w:hint="eastAsia" w:ascii="宋体" w:hAnsi="宋体" w:eastAsia="宋体" w:cs="宋体"/>
                <w:b w:val="0"/>
                <w:bCs w:val="0"/>
                <w:sz w:val="21"/>
                <w:szCs w:val="21"/>
              </w:rPr>
              <w:t>的注册成立时间不足3个月的投标人（投标人成立时间以营业执照的成立日期为准），提供自成立以来的每个月份的检验检测报告，可视为已提供“</w:t>
            </w:r>
            <w:r>
              <w:rPr>
                <w:rFonts w:hint="eastAsia" w:ascii="宋体" w:hAnsi="宋体" w:cs="宋体"/>
                <w:b w:val="0"/>
                <w:bCs w:val="0"/>
                <w:sz w:val="21"/>
                <w:szCs w:val="21"/>
                <w:lang w:val="en-US" w:eastAsia="zh-CN"/>
              </w:rPr>
              <w:t>任意</w:t>
            </w:r>
            <w:r>
              <w:rPr>
                <w:rFonts w:hint="eastAsia" w:ascii="宋体" w:hAnsi="宋体" w:eastAsia="宋体" w:cs="宋体"/>
                <w:b w:val="0"/>
                <w:bCs w:val="0"/>
                <w:sz w:val="21"/>
                <w:szCs w:val="21"/>
              </w:rPr>
              <w:t>三个月检测报告（每个月需提供一份）的检验检测报告”，并按上述评分最高（任意三个月）标准得分</w:t>
            </w:r>
            <w:r>
              <w:rPr>
                <w:rFonts w:hint="eastAsia" w:ascii="宋体" w:hAnsi="宋体" w:cs="宋体"/>
                <w:b w:val="0"/>
                <w:bCs w:val="0"/>
                <w:sz w:val="21"/>
                <w:szCs w:val="21"/>
                <w:lang w:eastAsia="zh-CN"/>
              </w:rPr>
              <w:t>。</w:t>
            </w:r>
          </w:p>
        </w:tc>
      </w:tr>
      <w:tr w14:paraId="34AF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3E4F0084">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59C4316B">
            <w:pPr>
              <w:keepNext w:val="0"/>
              <w:keepLines w:val="0"/>
              <w:widowControl w:val="0"/>
              <w:suppressLineNumbers w:val="0"/>
              <w:wordWrap w:val="0"/>
              <w:spacing w:before="0" w:beforeAutospacing="0" w:after="0" w:afterAutospacing="0"/>
              <w:ind w:left="0" w:right="0"/>
              <w:jc w:val="center"/>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10</w:t>
            </w:r>
          </w:p>
        </w:tc>
        <w:tc>
          <w:tcPr>
            <w:tcW w:w="1852" w:type="dxa"/>
            <w:vAlign w:val="center"/>
          </w:tcPr>
          <w:p w14:paraId="483A0055">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kern w:val="2"/>
                <w:sz w:val="21"/>
                <w:szCs w:val="21"/>
                <w:lang w:val="en-US" w:eastAsia="zh-CN"/>
              </w:rPr>
            </w:pPr>
            <w:r>
              <w:rPr>
                <w:rFonts w:hint="eastAsia" w:ascii="宋体" w:hAnsi="宋体" w:eastAsia="宋体" w:cs="宋体"/>
                <w:kern w:val="2"/>
                <w:sz w:val="21"/>
                <w:szCs w:val="21"/>
                <w:lang w:eastAsia="zh-CN"/>
              </w:rPr>
              <w:t>拟投入本项目车辆</w:t>
            </w:r>
            <w:r>
              <w:rPr>
                <w:rFonts w:hint="eastAsia" w:ascii="宋体" w:hAnsi="宋体" w:cs="宋体"/>
                <w:kern w:val="2"/>
                <w:sz w:val="21"/>
                <w:szCs w:val="21"/>
                <w:lang w:val="en-US" w:eastAsia="zh-CN"/>
              </w:rPr>
              <w:t>情况</w:t>
            </w:r>
          </w:p>
        </w:tc>
        <w:tc>
          <w:tcPr>
            <w:tcW w:w="698" w:type="dxa"/>
            <w:vAlign w:val="center"/>
          </w:tcPr>
          <w:p w14:paraId="2586671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3</w:t>
            </w:r>
          </w:p>
        </w:tc>
        <w:tc>
          <w:tcPr>
            <w:tcW w:w="5756" w:type="dxa"/>
            <w:gridSpan w:val="3"/>
            <w:vAlign w:val="top"/>
          </w:tcPr>
          <w:p w14:paraId="0867A29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（一）评审内容：</w:t>
            </w:r>
          </w:p>
          <w:p w14:paraId="1AE6BD1F">
            <w:pPr>
              <w:autoSpaceDE w:val="0"/>
              <w:autoSpaceDN w:val="0"/>
              <w:adjustRightInd w:val="0"/>
              <w:ind w:firstLine="420" w:firstLineChars="200"/>
              <w:rPr>
                <w:rFonts w:hint="eastAsia" w:ascii="宋体" w:hAnsi="宋体" w:cs="宋体"/>
                <w:bCs/>
                <w:snapToGrid w:val="0"/>
                <w:szCs w:val="21"/>
                <w:highlight w:val="none"/>
                <w:lang w:eastAsia="zh-CN"/>
              </w:rPr>
            </w:pPr>
            <w:r>
              <w:rPr>
                <w:rFonts w:hint="eastAsia" w:ascii="宋体" w:hAnsi="宋体" w:cs="宋体"/>
                <w:bCs/>
                <w:snapToGrid w:val="0"/>
                <w:szCs w:val="21"/>
                <w:highlight w:val="none"/>
                <w:lang w:val="en-US" w:eastAsia="zh-CN"/>
              </w:rPr>
              <w:t>供应商</w:t>
            </w:r>
            <w:r>
              <w:rPr>
                <w:rFonts w:hint="eastAsia" w:ascii="宋体" w:hAnsi="宋体" w:cs="宋体"/>
                <w:bCs/>
                <w:snapToGrid w:val="0"/>
                <w:szCs w:val="21"/>
                <w:highlight w:val="none"/>
              </w:rPr>
              <w:t>提供自有或者租赁的</w:t>
            </w:r>
            <w:r>
              <w:rPr>
                <w:rFonts w:hint="eastAsia" w:ascii="宋体" w:hAnsi="宋体" w:cs="宋体"/>
                <w:bCs/>
                <w:snapToGrid w:val="0"/>
                <w:szCs w:val="21"/>
                <w:highlight w:val="none"/>
                <w:lang w:val="en-US" w:eastAsia="zh-CN"/>
              </w:rPr>
              <w:t>冷冻</w:t>
            </w:r>
            <w:r>
              <w:rPr>
                <w:rFonts w:hint="eastAsia" w:ascii="宋体" w:hAnsi="宋体" w:cs="宋体"/>
                <w:bCs/>
                <w:snapToGrid w:val="0"/>
                <w:szCs w:val="21"/>
                <w:highlight w:val="none"/>
              </w:rPr>
              <w:t>车</w:t>
            </w:r>
            <w:r>
              <w:rPr>
                <w:rFonts w:hint="eastAsia" w:ascii="宋体" w:hAnsi="宋体" w:cs="宋体"/>
                <w:bCs/>
                <w:snapToGrid w:val="0"/>
                <w:szCs w:val="21"/>
                <w:highlight w:val="none"/>
                <w:lang w:eastAsia="zh-CN"/>
              </w:rPr>
              <w:t>、</w:t>
            </w:r>
            <w:r>
              <w:rPr>
                <w:rFonts w:hint="eastAsia" w:ascii="宋体" w:hAnsi="宋体" w:cs="宋体"/>
                <w:bCs/>
                <w:snapToGrid w:val="0"/>
                <w:szCs w:val="21"/>
                <w:highlight w:val="none"/>
              </w:rPr>
              <w:t>冷藏</w:t>
            </w:r>
            <w:r>
              <w:rPr>
                <w:rFonts w:hint="eastAsia" w:ascii="宋体" w:hAnsi="宋体" w:cs="宋体"/>
                <w:bCs/>
                <w:snapToGrid w:val="0"/>
                <w:szCs w:val="21"/>
                <w:highlight w:val="none"/>
                <w:lang w:val="en-US" w:eastAsia="zh-CN"/>
              </w:rPr>
              <w:t>车</w:t>
            </w:r>
            <w:r>
              <w:rPr>
                <w:rFonts w:hint="eastAsia" w:ascii="宋体" w:hAnsi="宋体" w:cs="宋体"/>
                <w:bCs/>
                <w:snapToGrid w:val="0"/>
                <w:szCs w:val="21"/>
                <w:highlight w:val="none"/>
              </w:rPr>
              <w:t>辆</w:t>
            </w:r>
            <w:r>
              <w:rPr>
                <w:rFonts w:hint="eastAsia" w:ascii="宋体" w:hAnsi="宋体" w:cs="宋体"/>
                <w:bCs/>
                <w:snapToGrid w:val="0"/>
                <w:szCs w:val="21"/>
                <w:highlight w:val="none"/>
                <w:lang w:eastAsia="zh-CN"/>
              </w:rPr>
              <w:t>：</w:t>
            </w:r>
          </w:p>
          <w:p w14:paraId="02D39248">
            <w:pPr>
              <w:autoSpaceDE w:val="0"/>
              <w:autoSpaceDN w:val="0"/>
              <w:adjustRightInd w:val="0"/>
              <w:rPr>
                <w:rFonts w:hint="eastAsia" w:ascii="宋体" w:hAnsi="宋体" w:cs="宋体"/>
                <w:bCs/>
                <w:snapToGrid w:val="0"/>
                <w:szCs w:val="21"/>
                <w:highlight w:val="none"/>
                <w:lang w:val="en-US" w:eastAsia="zh-CN"/>
              </w:rPr>
            </w:pPr>
            <w:r>
              <w:rPr>
                <w:rFonts w:hint="eastAsia" w:ascii="宋体" w:hAnsi="宋体" w:cs="宋体"/>
                <w:bCs/>
                <w:snapToGrid w:val="0"/>
                <w:szCs w:val="21"/>
                <w:highlight w:val="none"/>
                <w:lang w:val="en-US" w:eastAsia="zh-CN"/>
              </w:rPr>
              <w:t>1.每提供1台冷冻车得20分，本项最高得40分；</w:t>
            </w:r>
          </w:p>
          <w:p w14:paraId="320AA535">
            <w:pPr>
              <w:autoSpaceDE w:val="0"/>
              <w:autoSpaceDN w:val="0"/>
              <w:adjustRightInd w:val="0"/>
              <w:rPr>
                <w:rFonts w:hint="eastAsia" w:ascii="宋体" w:hAnsi="宋体" w:cs="宋体"/>
                <w:bCs/>
                <w:snapToGrid w:val="0"/>
                <w:szCs w:val="21"/>
                <w:highlight w:val="none"/>
                <w:lang w:val="en-US" w:eastAsia="zh-CN"/>
              </w:rPr>
            </w:pPr>
            <w:r>
              <w:rPr>
                <w:rFonts w:hint="eastAsia" w:ascii="宋体" w:hAnsi="宋体" w:cs="宋体"/>
                <w:bCs/>
                <w:snapToGrid w:val="0"/>
                <w:szCs w:val="21"/>
                <w:highlight w:val="none"/>
                <w:lang w:val="en-US" w:eastAsia="zh-CN"/>
              </w:rPr>
              <w:t>2.每提供1台冷藏车得20分，本项最高得60分。</w:t>
            </w:r>
          </w:p>
          <w:p w14:paraId="313297A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以上两项累计得分，同一车辆不可重复计分，最高得100分。</w:t>
            </w:r>
          </w:p>
          <w:p w14:paraId="54EF829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0B5B2E1F">
            <w:pPr>
              <w:rPr>
                <w:rFonts w:hint="eastAsia" w:ascii="宋体" w:hAnsi="宋体" w:eastAsia="宋体" w:cs="宋体"/>
                <w:szCs w:val="21"/>
                <w:highlight w:val="none"/>
              </w:rPr>
            </w:pPr>
            <w:r>
              <w:rPr>
                <w:rFonts w:hint="eastAsia" w:ascii="宋体" w:hAnsi="宋体" w:eastAsia="宋体" w:cs="宋体"/>
                <w:szCs w:val="21"/>
                <w:highlight w:val="none"/>
              </w:rPr>
              <w:t>按照以下要求提供证明材料：</w:t>
            </w:r>
          </w:p>
          <w:p w14:paraId="32568A68">
            <w:pPr>
              <w:rPr>
                <w:rFonts w:hint="eastAsia" w:ascii="宋体" w:hAnsi="宋体" w:eastAsia="宋体" w:cs="宋体"/>
                <w:szCs w:val="21"/>
                <w:highlight w:val="none"/>
              </w:rPr>
            </w:pPr>
            <w:r>
              <w:rPr>
                <w:rFonts w:hint="eastAsia" w:ascii="宋体" w:hAnsi="宋体" w:eastAsia="宋体" w:cs="宋体"/>
                <w:szCs w:val="21"/>
                <w:highlight w:val="none"/>
              </w:rPr>
              <w:t>1.若为自有车辆，则同时提供：</w:t>
            </w:r>
          </w:p>
          <w:p w14:paraId="3568ACB0">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①</w:t>
            </w:r>
            <w:r>
              <w:rPr>
                <w:rFonts w:hint="eastAsia" w:ascii="宋体" w:hAnsi="宋体" w:cs="宋体"/>
                <w:szCs w:val="21"/>
                <w:highlight w:val="none"/>
                <w:lang w:val="en-US" w:eastAsia="zh-CN"/>
              </w:rPr>
              <w:t>承诺中标后可提供对应车辆的行驶证且行驶证</w:t>
            </w:r>
            <w:r>
              <w:rPr>
                <w:rFonts w:hint="eastAsia" w:ascii="宋体" w:hAnsi="宋体" w:eastAsia="宋体" w:cs="宋体"/>
                <w:szCs w:val="21"/>
                <w:highlight w:val="none"/>
              </w:rPr>
              <w:t>年审在有效期内</w:t>
            </w:r>
            <w:r>
              <w:rPr>
                <w:rFonts w:hint="eastAsia" w:ascii="宋体" w:hAnsi="宋体" w:cs="宋体"/>
                <w:szCs w:val="21"/>
                <w:highlight w:val="none"/>
                <w:lang w:eastAsia="zh-CN"/>
              </w:rPr>
              <w:t>，</w:t>
            </w:r>
            <w:r>
              <w:rPr>
                <w:rFonts w:hint="eastAsia" w:ascii="宋体" w:hAnsi="宋体" w:cs="宋体"/>
                <w:szCs w:val="21"/>
                <w:highlight w:val="none"/>
                <w:lang w:val="en-US" w:eastAsia="zh-CN"/>
              </w:rPr>
              <w:t>提供承诺函（格式自拟）</w:t>
            </w:r>
            <w:r>
              <w:rPr>
                <w:rFonts w:hint="eastAsia" w:ascii="宋体" w:hAnsi="宋体" w:eastAsia="宋体" w:cs="宋体"/>
                <w:szCs w:val="21"/>
                <w:highlight w:val="none"/>
              </w:rPr>
              <w:t>；</w:t>
            </w:r>
          </w:p>
          <w:p w14:paraId="2671DD17">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②车辆购置发票（发票提供截图</w:t>
            </w:r>
            <w:r>
              <w:rPr>
                <w:rFonts w:hint="eastAsia" w:ascii="宋体" w:hAnsi="宋体" w:cs="宋体"/>
                <w:szCs w:val="21"/>
                <w:highlight w:val="none"/>
                <w:lang w:val="en-US" w:eastAsia="zh-CN"/>
              </w:rPr>
              <w:t>或</w:t>
            </w:r>
            <w:r>
              <w:rPr>
                <w:rFonts w:hint="eastAsia" w:ascii="宋体" w:hAnsi="宋体" w:eastAsia="宋体" w:cs="宋体"/>
                <w:szCs w:val="21"/>
                <w:highlight w:val="none"/>
              </w:rPr>
              <w:t>电子件或扫描件均可）和</w:t>
            </w:r>
            <w:r>
              <w:rPr>
                <w:rFonts w:hint="eastAsia" w:ascii="宋体" w:hAnsi="宋体" w:cs="宋体"/>
                <w:szCs w:val="21"/>
                <w:highlight w:val="none"/>
                <w:lang w:val="en-US" w:eastAsia="zh-CN"/>
              </w:rPr>
              <w:t>机动车登记证书</w:t>
            </w:r>
            <w:r>
              <w:rPr>
                <w:rFonts w:hint="eastAsia" w:ascii="宋体" w:hAnsi="宋体" w:eastAsia="宋体" w:cs="宋体"/>
                <w:szCs w:val="21"/>
                <w:highlight w:val="none"/>
              </w:rPr>
              <w:t>扫描件，车辆所有人</w:t>
            </w:r>
            <w:r>
              <w:rPr>
                <w:rFonts w:hint="eastAsia" w:ascii="宋体" w:hAnsi="宋体" w:cs="宋体"/>
                <w:szCs w:val="21"/>
                <w:highlight w:val="none"/>
                <w:lang w:val="en-US" w:eastAsia="zh-CN"/>
              </w:rPr>
              <w:t>须</w:t>
            </w:r>
            <w:r>
              <w:rPr>
                <w:rFonts w:hint="eastAsia" w:ascii="宋体" w:hAnsi="宋体" w:eastAsia="宋体" w:cs="宋体"/>
                <w:szCs w:val="21"/>
                <w:highlight w:val="none"/>
              </w:rPr>
              <w:t>为投标人；</w:t>
            </w:r>
          </w:p>
          <w:p w14:paraId="407AC0BE">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③车头完整正面图片（含车牌号码）；</w:t>
            </w:r>
          </w:p>
          <w:p w14:paraId="40E184C8">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④第1项</w:t>
            </w:r>
            <w:r>
              <w:rPr>
                <w:rFonts w:hint="eastAsia" w:ascii="宋体" w:hAnsi="宋体" w:cs="宋体"/>
                <w:szCs w:val="21"/>
                <w:highlight w:val="none"/>
                <w:lang w:val="en-US" w:eastAsia="zh-CN"/>
              </w:rPr>
              <w:t>冷冻车</w:t>
            </w:r>
            <w:r>
              <w:rPr>
                <w:rFonts w:hint="eastAsia" w:ascii="宋体" w:hAnsi="宋体" w:eastAsia="宋体" w:cs="宋体"/>
                <w:szCs w:val="21"/>
                <w:highlight w:val="none"/>
              </w:rPr>
              <w:t>中车辆须提供温度校准报告扫描件，第2项</w:t>
            </w:r>
            <w:r>
              <w:rPr>
                <w:rFonts w:hint="eastAsia" w:ascii="宋体" w:hAnsi="宋体" w:cs="宋体"/>
                <w:szCs w:val="21"/>
                <w:highlight w:val="none"/>
                <w:lang w:val="en-US" w:eastAsia="zh-CN"/>
              </w:rPr>
              <w:t>冷藏车</w:t>
            </w:r>
            <w:r>
              <w:rPr>
                <w:rFonts w:hint="eastAsia" w:ascii="宋体" w:hAnsi="宋体" w:eastAsia="宋体" w:cs="宋体"/>
                <w:szCs w:val="21"/>
                <w:highlight w:val="none"/>
              </w:rPr>
              <w:t>中车辆无需提供。</w:t>
            </w:r>
          </w:p>
          <w:p w14:paraId="7792B6A9">
            <w:pPr>
              <w:rPr>
                <w:rFonts w:hint="eastAsia" w:ascii="宋体" w:hAnsi="宋体" w:eastAsia="宋体" w:cs="宋体"/>
                <w:szCs w:val="21"/>
                <w:highlight w:val="none"/>
              </w:rPr>
            </w:pPr>
            <w:r>
              <w:rPr>
                <w:rFonts w:hint="eastAsia" w:ascii="宋体" w:hAnsi="宋体" w:eastAsia="宋体" w:cs="宋体"/>
                <w:szCs w:val="21"/>
                <w:highlight w:val="none"/>
              </w:rPr>
              <w:t>2.若为租赁车辆，则同时提供:</w:t>
            </w:r>
          </w:p>
          <w:p w14:paraId="1125B9F2">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①</w:t>
            </w:r>
            <w:r>
              <w:rPr>
                <w:rFonts w:hint="eastAsia" w:ascii="宋体" w:hAnsi="宋体" w:cs="宋体"/>
                <w:szCs w:val="21"/>
                <w:highlight w:val="none"/>
                <w:lang w:val="en-US" w:eastAsia="zh-CN"/>
              </w:rPr>
              <w:t>承诺中标后可提供对应车辆的行驶证且行驶证</w:t>
            </w:r>
            <w:r>
              <w:rPr>
                <w:rFonts w:hint="eastAsia" w:ascii="宋体" w:hAnsi="宋体" w:eastAsia="宋体" w:cs="宋体"/>
                <w:szCs w:val="21"/>
                <w:highlight w:val="none"/>
              </w:rPr>
              <w:t>年审在有效期内</w:t>
            </w:r>
            <w:r>
              <w:rPr>
                <w:rFonts w:hint="eastAsia" w:ascii="宋体" w:hAnsi="宋体" w:cs="宋体"/>
                <w:szCs w:val="21"/>
                <w:highlight w:val="none"/>
                <w:lang w:eastAsia="zh-CN"/>
              </w:rPr>
              <w:t>，</w:t>
            </w:r>
            <w:r>
              <w:rPr>
                <w:rFonts w:hint="eastAsia" w:ascii="宋体" w:hAnsi="宋体" w:cs="宋体"/>
                <w:szCs w:val="21"/>
                <w:highlight w:val="none"/>
                <w:lang w:val="en-US" w:eastAsia="zh-CN"/>
              </w:rPr>
              <w:t>提供承诺函（格式自拟）</w:t>
            </w:r>
            <w:r>
              <w:rPr>
                <w:rFonts w:hint="eastAsia" w:ascii="宋体" w:hAnsi="宋体" w:eastAsia="宋体" w:cs="宋体"/>
                <w:szCs w:val="21"/>
                <w:highlight w:val="none"/>
              </w:rPr>
              <w:t>；</w:t>
            </w:r>
          </w:p>
          <w:p w14:paraId="2F22BFDB">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②车头完整正面图片（含车牌号码）；</w:t>
            </w:r>
          </w:p>
          <w:p w14:paraId="39EDBDAA">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③提供车辆租赁合同关键页（包括但不限于投标人名称、合同双方签字盖章页，承租方需为投标人），合同有效期涵盖本项目投标截止日期当日，同时，提供承诺函（格式自拟），承诺函要求如下（投标人可根据自身情况任选其中一种方式保障本项目服务即可）：租赁合同期满但本项目服务期未结束情况下，续期原租赁合同，或另行租赁到位不低于原合同数量、档次、规格车辆，或另行购买到位不低于原合同数量、档次、规格车辆，用于本项目服务；</w:t>
            </w:r>
          </w:p>
          <w:p w14:paraId="7CA12515">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④租赁合同期内任意一次转账凭证（截图</w:t>
            </w:r>
            <w:r>
              <w:rPr>
                <w:rFonts w:hint="eastAsia" w:ascii="宋体" w:hAnsi="宋体" w:cs="宋体"/>
                <w:szCs w:val="21"/>
                <w:highlight w:val="none"/>
                <w:lang w:val="en-US" w:eastAsia="zh-CN"/>
              </w:rPr>
              <w:t>或</w:t>
            </w:r>
            <w:r>
              <w:rPr>
                <w:rFonts w:hint="eastAsia" w:ascii="宋体" w:hAnsi="宋体" w:eastAsia="宋体" w:cs="宋体"/>
                <w:szCs w:val="21"/>
                <w:highlight w:val="none"/>
              </w:rPr>
              <w:t>电子件或扫描件均可）；</w:t>
            </w:r>
          </w:p>
          <w:p w14:paraId="53501AB1">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⑤与转账凭证相对应的发票（截图</w:t>
            </w:r>
            <w:r>
              <w:rPr>
                <w:rFonts w:hint="eastAsia" w:ascii="宋体" w:hAnsi="宋体" w:cs="宋体"/>
                <w:szCs w:val="21"/>
                <w:highlight w:val="none"/>
                <w:lang w:val="en-US" w:eastAsia="zh-CN"/>
              </w:rPr>
              <w:t>或</w:t>
            </w:r>
            <w:r>
              <w:rPr>
                <w:rFonts w:hint="eastAsia" w:ascii="宋体" w:hAnsi="宋体" w:eastAsia="宋体" w:cs="宋体"/>
                <w:szCs w:val="21"/>
                <w:highlight w:val="none"/>
              </w:rPr>
              <w:t>电子件或扫描件均可）；</w:t>
            </w:r>
          </w:p>
          <w:p w14:paraId="3079241D">
            <w:pPr>
              <w:ind w:firstLine="210" w:firstLineChars="100"/>
              <w:rPr>
                <w:rFonts w:hint="eastAsia" w:ascii="宋体" w:hAnsi="宋体" w:eastAsia="宋体" w:cs="宋体"/>
                <w:szCs w:val="21"/>
                <w:highlight w:val="none"/>
              </w:rPr>
            </w:pPr>
            <w:r>
              <w:rPr>
                <w:rFonts w:hint="eastAsia" w:ascii="宋体" w:hAnsi="宋体" w:eastAsia="宋体" w:cs="宋体"/>
                <w:szCs w:val="21"/>
                <w:highlight w:val="none"/>
              </w:rPr>
              <w:t>⑥第1项</w:t>
            </w:r>
            <w:r>
              <w:rPr>
                <w:rFonts w:hint="eastAsia" w:ascii="宋体" w:hAnsi="宋体" w:cs="宋体"/>
                <w:szCs w:val="21"/>
                <w:highlight w:val="none"/>
                <w:lang w:val="en-US" w:eastAsia="zh-CN"/>
              </w:rPr>
              <w:t>冷冻车</w:t>
            </w:r>
            <w:r>
              <w:rPr>
                <w:rFonts w:hint="eastAsia" w:ascii="宋体" w:hAnsi="宋体" w:eastAsia="宋体" w:cs="宋体"/>
                <w:szCs w:val="21"/>
                <w:highlight w:val="none"/>
              </w:rPr>
              <w:t>中车辆须提供温度校准报告扫描件，第2项</w:t>
            </w:r>
            <w:r>
              <w:rPr>
                <w:rFonts w:hint="eastAsia" w:ascii="宋体" w:hAnsi="宋体" w:cs="宋体"/>
                <w:szCs w:val="21"/>
                <w:highlight w:val="none"/>
                <w:lang w:val="en-US" w:eastAsia="zh-CN"/>
              </w:rPr>
              <w:t>冷藏车</w:t>
            </w:r>
            <w:r>
              <w:rPr>
                <w:rFonts w:hint="eastAsia" w:ascii="宋体" w:hAnsi="宋体" w:eastAsia="宋体" w:cs="宋体"/>
                <w:szCs w:val="21"/>
                <w:highlight w:val="none"/>
              </w:rPr>
              <w:t>中车辆无需提供。</w:t>
            </w:r>
          </w:p>
          <w:p w14:paraId="48E8E1C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00" w:lineRule="exact"/>
              <w:ind w:left="0" w:leftChars="0" w:right="0" w:rightChars="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highlight w:val="none"/>
                <w:lang w:val="en-US" w:eastAsia="zh-CN" w:bidi="ar-SA"/>
              </w:rPr>
              <w:t>如未按要求提供证明材料，或所提供的证明材料未能体现上述评分内容的，视为该证明材料无效</w:t>
            </w:r>
            <w:r>
              <w:rPr>
                <w:rFonts w:hint="eastAsia" w:ascii="宋体" w:hAnsi="宋体" w:cs="宋体"/>
                <w:kern w:val="2"/>
                <w:sz w:val="21"/>
                <w:szCs w:val="21"/>
                <w:highlight w:val="none"/>
                <w:lang w:val="en-US" w:eastAsia="zh-CN" w:bidi="ar-SA"/>
              </w:rPr>
              <w:t>。</w:t>
            </w:r>
          </w:p>
        </w:tc>
      </w:tr>
      <w:tr w14:paraId="412D9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3BE2C756">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7A082F4B">
            <w:pPr>
              <w:keepNext w:val="0"/>
              <w:keepLines w:val="0"/>
              <w:widowControl w:val="0"/>
              <w:suppressLineNumbers w:val="0"/>
              <w:wordWrap w:val="0"/>
              <w:spacing w:before="0" w:beforeAutospacing="0" w:after="0" w:afterAutospacing="0"/>
              <w:ind w:left="0" w:right="0"/>
              <w:jc w:val="center"/>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11</w:t>
            </w:r>
          </w:p>
        </w:tc>
        <w:tc>
          <w:tcPr>
            <w:tcW w:w="1852" w:type="dxa"/>
            <w:vAlign w:val="center"/>
          </w:tcPr>
          <w:p w14:paraId="5BE2A3E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Cs/>
                <w:kern w:val="2"/>
                <w:sz w:val="21"/>
                <w:szCs w:val="21"/>
                <w:lang w:eastAsia="zh-CN"/>
              </w:rPr>
            </w:pPr>
            <w:r>
              <w:rPr>
                <w:rFonts w:hint="eastAsia" w:ascii="宋体" w:hAnsi="宋体" w:eastAsia="宋体" w:cs="宋体"/>
                <w:kern w:val="2"/>
                <w:sz w:val="21"/>
                <w:szCs w:val="21"/>
                <w:lang w:eastAsia="zh-CN"/>
              </w:rPr>
              <w:t>实验室建设与检测能力</w:t>
            </w:r>
          </w:p>
        </w:tc>
        <w:tc>
          <w:tcPr>
            <w:tcW w:w="698" w:type="dxa"/>
            <w:vAlign w:val="center"/>
          </w:tcPr>
          <w:p w14:paraId="4234706C">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3</w:t>
            </w:r>
          </w:p>
        </w:tc>
        <w:tc>
          <w:tcPr>
            <w:tcW w:w="5756" w:type="dxa"/>
            <w:gridSpan w:val="3"/>
            <w:vAlign w:val="center"/>
          </w:tcPr>
          <w:p w14:paraId="7EAED338">
            <w:pPr>
              <w:rPr>
                <w:rFonts w:hint="eastAsia" w:ascii="宋体" w:hAnsi="宋体" w:cs="宋体"/>
                <w:b/>
                <w:bCs/>
                <w:color w:val="000000"/>
                <w:szCs w:val="21"/>
              </w:rPr>
            </w:pPr>
            <w:r>
              <w:rPr>
                <w:rFonts w:hint="eastAsia" w:ascii="宋体" w:hAnsi="宋体" w:cs="宋体"/>
                <w:b/>
                <w:bCs/>
                <w:color w:val="000000"/>
                <w:szCs w:val="21"/>
              </w:rPr>
              <w:t>（一）评审内容：</w:t>
            </w:r>
          </w:p>
          <w:p w14:paraId="02548481">
            <w:pPr>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eastAsia="zh-CN"/>
              </w:rPr>
              <w:t>供应商</w:t>
            </w:r>
            <w:r>
              <w:rPr>
                <w:rFonts w:hint="eastAsia" w:ascii="宋体" w:hAnsi="宋体" w:cs="宋体"/>
                <w:color w:val="000000"/>
                <w:szCs w:val="21"/>
              </w:rPr>
              <w:t>具有自有或租赁的检测实验室（中心）的，得20分。</w:t>
            </w:r>
          </w:p>
          <w:p w14:paraId="623B79C3">
            <w:pPr>
              <w:rPr>
                <w:rFonts w:hint="eastAsia" w:ascii="宋体" w:hAnsi="宋体" w:cs="宋体"/>
                <w:color w:val="000000"/>
                <w:szCs w:val="21"/>
              </w:rPr>
            </w:pPr>
            <w:r>
              <w:rPr>
                <w:rFonts w:hint="eastAsia" w:ascii="宋体" w:hAnsi="宋体" w:cs="宋体"/>
                <w:color w:val="000000"/>
                <w:szCs w:val="21"/>
              </w:rPr>
              <w:t>2.</w:t>
            </w:r>
            <w:r>
              <w:rPr>
                <w:rFonts w:hint="eastAsia" w:ascii="宋体" w:hAnsi="宋体" w:cs="宋体"/>
                <w:color w:val="000000"/>
                <w:szCs w:val="21"/>
                <w:lang w:eastAsia="zh-CN"/>
              </w:rPr>
              <w:t>供应商</w:t>
            </w:r>
            <w:r>
              <w:rPr>
                <w:rFonts w:hint="eastAsia" w:ascii="宋体" w:hAnsi="宋体" w:cs="宋体"/>
                <w:color w:val="000000"/>
                <w:szCs w:val="21"/>
              </w:rPr>
              <w:t>具有自有或租赁</w:t>
            </w:r>
            <w:r>
              <w:rPr>
                <w:rFonts w:hint="eastAsia" w:ascii="宋体" w:hAnsi="宋体" w:cs="宋体"/>
                <w:color w:val="000000"/>
                <w:szCs w:val="21"/>
                <w:lang w:val="en-US" w:eastAsia="zh-CN"/>
              </w:rPr>
              <w:t>的</w:t>
            </w:r>
            <w:r>
              <w:rPr>
                <w:rFonts w:hint="eastAsia" w:ascii="宋体" w:hAnsi="宋体" w:cs="宋体"/>
                <w:color w:val="000000"/>
                <w:szCs w:val="21"/>
              </w:rPr>
              <w:t>食品检测仪器的情况：</w:t>
            </w:r>
          </w:p>
          <w:p w14:paraId="3576C452">
            <w:pPr>
              <w:rPr>
                <w:rFonts w:hint="eastAsia" w:ascii="宋体" w:hAnsi="宋体" w:cs="宋体"/>
                <w:color w:val="000000"/>
                <w:szCs w:val="21"/>
              </w:rPr>
            </w:pPr>
            <w:r>
              <w:rPr>
                <w:rFonts w:hint="eastAsia" w:ascii="宋体" w:hAnsi="宋体" w:cs="宋体"/>
                <w:color w:val="000000"/>
                <w:szCs w:val="21"/>
              </w:rPr>
              <w:t>①具有农药残留检测类仪器的，得</w:t>
            </w:r>
            <w:r>
              <w:rPr>
                <w:rFonts w:hint="eastAsia" w:ascii="宋体" w:hAnsi="宋体" w:cs="宋体"/>
                <w:color w:val="000000"/>
                <w:szCs w:val="21"/>
                <w:lang w:val="en-US" w:eastAsia="zh-CN"/>
              </w:rPr>
              <w:t>8</w:t>
            </w:r>
            <w:r>
              <w:rPr>
                <w:rFonts w:hint="eastAsia" w:ascii="宋体" w:hAnsi="宋体" w:cs="宋体"/>
                <w:color w:val="000000"/>
                <w:szCs w:val="21"/>
              </w:rPr>
              <w:t>分；</w:t>
            </w:r>
          </w:p>
          <w:p w14:paraId="58810023">
            <w:pPr>
              <w:rPr>
                <w:rFonts w:hint="eastAsia" w:ascii="宋体" w:hAnsi="宋体" w:cs="宋体"/>
                <w:color w:val="000000"/>
                <w:szCs w:val="21"/>
              </w:rPr>
            </w:pPr>
            <w:r>
              <w:rPr>
                <w:rFonts w:hint="eastAsia" w:ascii="宋体" w:hAnsi="宋体" w:cs="宋体"/>
                <w:color w:val="000000"/>
                <w:szCs w:val="21"/>
              </w:rPr>
              <w:t>②具有瘦肉精检测类仪器的，得</w:t>
            </w:r>
            <w:r>
              <w:rPr>
                <w:rFonts w:hint="eastAsia" w:ascii="宋体" w:hAnsi="宋体" w:cs="宋体"/>
                <w:color w:val="000000"/>
                <w:szCs w:val="21"/>
                <w:lang w:val="en-US" w:eastAsia="zh-CN"/>
              </w:rPr>
              <w:t>8</w:t>
            </w:r>
            <w:r>
              <w:rPr>
                <w:rFonts w:hint="eastAsia" w:ascii="宋体" w:hAnsi="宋体" w:cs="宋体"/>
                <w:color w:val="000000"/>
                <w:szCs w:val="21"/>
              </w:rPr>
              <w:t>分；</w:t>
            </w:r>
          </w:p>
          <w:p w14:paraId="0620E693">
            <w:pPr>
              <w:rPr>
                <w:rFonts w:hint="eastAsia" w:ascii="宋体" w:hAnsi="宋体" w:cs="宋体"/>
                <w:color w:val="000000"/>
                <w:szCs w:val="21"/>
              </w:rPr>
            </w:pPr>
            <w:r>
              <w:rPr>
                <w:rFonts w:hint="eastAsia" w:ascii="宋体" w:hAnsi="宋体" w:cs="宋体"/>
                <w:color w:val="000000"/>
                <w:szCs w:val="21"/>
              </w:rPr>
              <w:t>③具有食品添加剂检测类仪器的，</w:t>
            </w:r>
            <w:r>
              <w:rPr>
                <w:rFonts w:hint="eastAsia" w:ascii="宋体" w:hAnsi="宋体" w:cs="宋体"/>
                <w:color w:val="000000"/>
                <w:szCs w:val="21"/>
                <w:lang w:val="en-US" w:eastAsia="zh-CN"/>
              </w:rPr>
              <w:t>得8</w:t>
            </w:r>
            <w:r>
              <w:rPr>
                <w:rFonts w:hint="eastAsia" w:ascii="宋体" w:hAnsi="宋体" w:cs="宋体"/>
                <w:color w:val="000000"/>
                <w:szCs w:val="21"/>
              </w:rPr>
              <w:t>分；</w:t>
            </w:r>
          </w:p>
          <w:p w14:paraId="10DF1FCA">
            <w:pPr>
              <w:rPr>
                <w:rFonts w:hint="eastAsia" w:ascii="宋体" w:hAnsi="宋体" w:cs="宋体"/>
                <w:color w:val="000000"/>
                <w:szCs w:val="21"/>
                <w:lang w:eastAsia="zh-CN"/>
              </w:rPr>
            </w:pPr>
            <w:r>
              <w:rPr>
                <w:rFonts w:hint="eastAsia" w:ascii="宋体" w:hAnsi="宋体" w:cs="宋体"/>
                <w:color w:val="000000"/>
                <w:szCs w:val="21"/>
              </w:rPr>
              <w:t>④具有重金属检测类仪器的，得</w:t>
            </w:r>
            <w:r>
              <w:rPr>
                <w:rFonts w:hint="eastAsia" w:ascii="宋体" w:hAnsi="宋体" w:cs="宋体"/>
                <w:color w:val="000000"/>
                <w:szCs w:val="21"/>
                <w:lang w:val="en-US" w:eastAsia="zh-CN"/>
              </w:rPr>
              <w:t>8</w:t>
            </w:r>
            <w:r>
              <w:rPr>
                <w:rFonts w:hint="eastAsia" w:ascii="宋体" w:hAnsi="宋体" w:cs="宋体"/>
                <w:color w:val="000000"/>
                <w:szCs w:val="21"/>
              </w:rPr>
              <w:t>分</w:t>
            </w:r>
            <w:r>
              <w:rPr>
                <w:rFonts w:hint="eastAsia" w:ascii="宋体" w:hAnsi="宋体" w:cs="宋体"/>
                <w:color w:val="000000"/>
                <w:szCs w:val="21"/>
                <w:lang w:eastAsia="zh-CN"/>
              </w:rPr>
              <w:t>；</w:t>
            </w:r>
          </w:p>
          <w:p w14:paraId="0F7B7847">
            <w:pPr>
              <w:rPr>
                <w:rFonts w:hint="eastAsia" w:ascii="宋体" w:hAnsi="宋体" w:cs="宋体"/>
                <w:color w:val="000000"/>
                <w:szCs w:val="21"/>
                <w:lang w:val="en-US" w:eastAsia="zh-CN"/>
              </w:rPr>
            </w:pPr>
            <w:r>
              <w:rPr>
                <w:rFonts w:hint="eastAsia" w:ascii="宋体" w:hAnsi="宋体" w:cs="宋体"/>
                <w:color w:val="000000"/>
                <w:szCs w:val="21"/>
              </w:rPr>
              <w:t>⑤</w:t>
            </w:r>
            <w:r>
              <w:rPr>
                <w:rFonts w:hint="eastAsia" w:ascii="宋体" w:hAnsi="宋体" w:cs="宋体"/>
                <w:color w:val="000000"/>
                <w:szCs w:val="21"/>
                <w:lang w:val="en-US" w:eastAsia="zh-CN"/>
              </w:rPr>
              <w:t>具有</w:t>
            </w:r>
            <w:r>
              <w:rPr>
                <w:rFonts w:hint="eastAsia" w:ascii="宋体" w:hAnsi="宋体" w:cs="宋体"/>
                <w:color w:val="000000"/>
                <w:szCs w:val="21"/>
              </w:rPr>
              <w:t>硝酸盐检测类仪器</w:t>
            </w:r>
            <w:r>
              <w:rPr>
                <w:rFonts w:hint="eastAsia" w:ascii="宋体" w:hAnsi="宋体" w:cs="宋体"/>
                <w:color w:val="000000"/>
                <w:szCs w:val="21"/>
                <w:lang w:val="en-US" w:eastAsia="zh-CN"/>
              </w:rPr>
              <w:t>的，得8分；</w:t>
            </w:r>
          </w:p>
          <w:p w14:paraId="3A2FCD1B">
            <w:pP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⑥</w:t>
            </w:r>
            <w:r>
              <w:rPr>
                <w:rFonts w:hint="eastAsia" w:ascii="宋体" w:hAnsi="宋体" w:cs="宋体"/>
                <w:sz w:val="21"/>
                <w:szCs w:val="21"/>
                <w:lang w:val="en-US" w:eastAsia="zh-CN"/>
              </w:rPr>
              <w:t>具</w:t>
            </w:r>
            <w:r>
              <w:rPr>
                <w:rFonts w:hint="eastAsia" w:ascii="宋体" w:hAnsi="宋体" w:eastAsia="宋体" w:cs="宋体"/>
                <w:sz w:val="21"/>
                <w:szCs w:val="21"/>
                <w:lang w:eastAsia="zh-CN"/>
              </w:rPr>
              <w:t>有微生物检测</w:t>
            </w:r>
            <w:r>
              <w:rPr>
                <w:rFonts w:hint="eastAsia" w:ascii="宋体" w:hAnsi="宋体" w:cs="宋体"/>
                <w:color w:val="000000"/>
                <w:szCs w:val="21"/>
              </w:rPr>
              <w:t>仪器的</w:t>
            </w:r>
            <w:r>
              <w:rPr>
                <w:rFonts w:hint="eastAsia" w:ascii="宋体" w:hAnsi="宋体" w:cs="宋体"/>
                <w:sz w:val="21"/>
                <w:szCs w:val="21"/>
                <w:lang w:val="en-US" w:eastAsia="zh-CN"/>
              </w:rPr>
              <w:t>，</w:t>
            </w:r>
            <w:r>
              <w:rPr>
                <w:rFonts w:hint="eastAsia" w:ascii="宋体" w:hAnsi="宋体" w:cs="宋体"/>
                <w:color w:val="000000"/>
                <w:szCs w:val="21"/>
                <w:lang w:val="en-US" w:eastAsia="zh-CN"/>
              </w:rPr>
              <w:t>得8分；</w:t>
            </w:r>
          </w:p>
          <w:p w14:paraId="57CA7DC9">
            <w:p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⑦</w:t>
            </w:r>
            <w:r>
              <w:rPr>
                <w:rFonts w:hint="eastAsia" w:ascii="宋体" w:hAnsi="宋体" w:cs="宋体"/>
                <w:sz w:val="21"/>
                <w:szCs w:val="21"/>
                <w:lang w:val="en-US" w:eastAsia="zh-CN"/>
              </w:rPr>
              <w:t>具</w:t>
            </w:r>
            <w:r>
              <w:rPr>
                <w:rFonts w:hint="eastAsia" w:ascii="宋体" w:hAnsi="宋体" w:eastAsia="宋体" w:cs="宋体"/>
                <w:sz w:val="21"/>
                <w:szCs w:val="21"/>
                <w:lang w:eastAsia="zh-CN"/>
              </w:rPr>
              <w:t>有真菌毒素检测</w:t>
            </w:r>
            <w:r>
              <w:rPr>
                <w:rFonts w:hint="eastAsia" w:ascii="宋体" w:hAnsi="宋体" w:cs="宋体"/>
                <w:color w:val="000000"/>
                <w:szCs w:val="21"/>
              </w:rPr>
              <w:t>仪器的</w:t>
            </w:r>
            <w:r>
              <w:rPr>
                <w:rFonts w:hint="eastAsia" w:ascii="宋体" w:hAnsi="宋体" w:cs="宋体"/>
                <w:color w:val="000000"/>
                <w:szCs w:val="21"/>
                <w:lang w:eastAsia="zh-CN"/>
              </w:rPr>
              <w:t>，</w:t>
            </w:r>
            <w:r>
              <w:rPr>
                <w:rFonts w:hint="eastAsia" w:ascii="宋体" w:hAnsi="宋体" w:cs="宋体"/>
                <w:color w:val="000000"/>
                <w:szCs w:val="21"/>
                <w:lang w:val="en-US" w:eastAsia="zh-CN"/>
              </w:rPr>
              <w:t>得8分；</w:t>
            </w:r>
          </w:p>
          <w:p w14:paraId="0DE20C74">
            <w:p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⑧</w:t>
            </w:r>
            <w:r>
              <w:rPr>
                <w:rFonts w:hint="eastAsia" w:ascii="宋体" w:hAnsi="宋体" w:cs="宋体"/>
                <w:sz w:val="21"/>
                <w:szCs w:val="21"/>
                <w:lang w:val="en-US" w:eastAsia="zh-CN"/>
              </w:rPr>
              <w:t>具</w:t>
            </w:r>
            <w:r>
              <w:rPr>
                <w:rFonts w:hint="eastAsia" w:ascii="宋体" w:hAnsi="宋体" w:eastAsia="宋体" w:cs="宋体"/>
                <w:sz w:val="21"/>
                <w:szCs w:val="21"/>
                <w:lang w:eastAsia="zh-CN"/>
              </w:rPr>
              <w:t>有兽药残留检测</w:t>
            </w:r>
            <w:r>
              <w:rPr>
                <w:rFonts w:hint="eastAsia" w:ascii="宋体" w:hAnsi="宋体" w:cs="宋体"/>
                <w:color w:val="000000"/>
                <w:szCs w:val="21"/>
              </w:rPr>
              <w:t>仪器的</w:t>
            </w:r>
            <w:r>
              <w:rPr>
                <w:rFonts w:hint="eastAsia" w:ascii="宋体" w:hAnsi="宋体" w:cs="宋体"/>
                <w:color w:val="000000"/>
                <w:szCs w:val="21"/>
                <w:lang w:eastAsia="zh-CN"/>
              </w:rPr>
              <w:t>，</w:t>
            </w:r>
            <w:r>
              <w:rPr>
                <w:rFonts w:hint="eastAsia" w:ascii="宋体" w:hAnsi="宋体" w:cs="宋体"/>
                <w:color w:val="000000"/>
                <w:szCs w:val="21"/>
                <w:lang w:val="en-US" w:eastAsia="zh-CN"/>
              </w:rPr>
              <w:t>得8分；</w:t>
            </w:r>
          </w:p>
          <w:p w14:paraId="1E114B97">
            <w:p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⑨</w:t>
            </w:r>
            <w:r>
              <w:rPr>
                <w:rFonts w:hint="eastAsia" w:ascii="宋体" w:hAnsi="宋体" w:cs="宋体"/>
                <w:sz w:val="21"/>
                <w:szCs w:val="21"/>
                <w:lang w:val="en-US" w:eastAsia="zh-CN"/>
              </w:rPr>
              <w:t>具</w:t>
            </w:r>
            <w:r>
              <w:rPr>
                <w:rFonts w:hint="eastAsia" w:ascii="宋体" w:hAnsi="宋体" w:eastAsia="宋体" w:cs="宋体"/>
                <w:sz w:val="21"/>
                <w:szCs w:val="21"/>
                <w:lang w:eastAsia="zh-CN"/>
              </w:rPr>
              <w:t>有肉类水分检测</w:t>
            </w:r>
            <w:r>
              <w:rPr>
                <w:rFonts w:hint="eastAsia" w:ascii="宋体" w:hAnsi="宋体" w:cs="宋体"/>
                <w:color w:val="000000"/>
                <w:szCs w:val="21"/>
              </w:rPr>
              <w:t>仪器的</w:t>
            </w:r>
            <w:r>
              <w:rPr>
                <w:rFonts w:hint="eastAsia" w:ascii="宋体" w:hAnsi="宋体" w:cs="宋体"/>
                <w:color w:val="000000"/>
                <w:szCs w:val="21"/>
                <w:lang w:eastAsia="zh-CN"/>
              </w:rPr>
              <w:t>，</w:t>
            </w:r>
            <w:r>
              <w:rPr>
                <w:rFonts w:hint="eastAsia" w:ascii="宋体" w:hAnsi="宋体" w:cs="宋体"/>
                <w:color w:val="000000"/>
                <w:szCs w:val="21"/>
                <w:lang w:val="en-US" w:eastAsia="zh-CN"/>
              </w:rPr>
              <w:t>得8分；</w:t>
            </w:r>
          </w:p>
          <w:p w14:paraId="7CD5BE2A">
            <w:pPr>
              <w:rPr>
                <w:rFonts w:hint="default" w:ascii="宋体" w:hAnsi="宋体" w:cs="宋体"/>
                <w:color w:val="000000"/>
                <w:szCs w:val="21"/>
                <w:lang w:val="en-US" w:eastAsia="zh-CN"/>
              </w:rPr>
            </w:pPr>
            <w:r>
              <w:rPr>
                <w:rFonts w:hint="eastAsia" w:ascii="宋体" w:hAnsi="宋体" w:eastAsia="宋体" w:cs="宋体"/>
                <w:color w:val="000000"/>
                <w:szCs w:val="21"/>
                <w:lang w:val="en-US" w:eastAsia="zh-CN"/>
              </w:rPr>
              <w:t>⑩</w:t>
            </w:r>
            <w:r>
              <w:rPr>
                <w:rFonts w:hint="eastAsia" w:ascii="宋体" w:hAnsi="宋体" w:cs="宋体"/>
                <w:sz w:val="21"/>
                <w:szCs w:val="21"/>
                <w:lang w:val="en-US" w:eastAsia="zh-CN"/>
              </w:rPr>
              <w:t>具</w:t>
            </w:r>
            <w:r>
              <w:rPr>
                <w:rFonts w:hint="eastAsia" w:ascii="宋体" w:hAnsi="宋体" w:eastAsia="宋体" w:cs="宋体"/>
                <w:sz w:val="21"/>
                <w:szCs w:val="21"/>
                <w:lang w:eastAsia="zh-CN"/>
              </w:rPr>
              <w:t>有多功能食品安全检测</w:t>
            </w:r>
            <w:r>
              <w:rPr>
                <w:rFonts w:hint="eastAsia" w:ascii="宋体" w:hAnsi="宋体" w:cs="宋体"/>
                <w:color w:val="000000"/>
                <w:szCs w:val="21"/>
              </w:rPr>
              <w:t>仪器的</w:t>
            </w:r>
            <w:r>
              <w:rPr>
                <w:rFonts w:hint="eastAsia" w:ascii="宋体" w:hAnsi="宋体" w:cs="宋体"/>
                <w:color w:val="000000"/>
                <w:szCs w:val="21"/>
                <w:lang w:eastAsia="zh-CN"/>
              </w:rPr>
              <w:t>，</w:t>
            </w:r>
            <w:r>
              <w:rPr>
                <w:rFonts w:hint="eastAsia" w:ascii="宋体" w:hAnsi="宋体" w:cs="宋体"/>
                <w:color w:val="000000"/>
                <w:szCs w:val="21"/>
                <w:lang w:val="en-US" w:eastAsia="zh-CN"/>
              </w:rPr>
              <w:t>得8分。</w:t>
            </w:r>
          </w:p>
          <w:p w14:paraId="7FD54469">
            <w:pPr>
              <w:rPr>
                <w:rFonts w:hint="eastAsia" w:ascii="宋体" w:hAnsi="宋体" w:cs="宋体"/>
                <w:color w:val="000000"/>
                <w:szCs w:val="21"/>
              </w:rPr>
            </w:pPr>
            <w:r>
              <w:rPr>
                <w:rFonts w:hint="eastAsia" w:ascii="宋体" w:hAnsi="宋体" w:cs="宋体"/>
                <w:color w:val="000000"/>
                <w:szCs w:val="21"/>
              </w:rPr>
              <w:t>同一设备同时具备（满足）</w:t>
            </w:r>
            <w:r>
              <w:rPr>
                <w:rFonts w:hint="eastAsia" w:ascii="宋体" w:hAnsi="宋体" w:cs="宋体"/>
                <w:color w:val="000000"/>
                <w:szCs w:val="21"/>
                <w:lang w:val="en-US" w:eastAsia="zh-CN"/>
              </w:rPr>
              <w:t>上述</w:t>
            </w:r>
            <w:r>
              <w:rPr>
                <w:rFonts w:hint="eastAsia" w:ascii="宋体" w:hAnsi="宋体" w:cs="宋体"/>
                <w:color w:val="000000"/>
                <w:szCs w:val="21"/>
              </w:rPr>
              <w:t>检测功能的均予以认可</w:t>
            </w:r>
            <w:r>
              <w:rPr>
                <w:rFonts w:hint="eastAsia" w:ascii="宋体" w:hAnsi="宋体" w:cs="宋体"/>
                <w:color w:val="000000"/>
                <w:szCs w:val="21"/>
                <w:lang w:eastAsia="zh-CN"/>
              </w:rPr>
              <w:t>，</w:t>
            </w:r>
            <w:r>
              <w:rPr>
                <w:rFonts w:hint="eastAsia" w:ascii="宋体" w:hAnsi="宋体" w:cs="宋体"/>
                <w:color w:val="000000"/>
                <w:szCs w:val="21"/>
                <w:lang w:val="en-US" w:eastAsia="zh-CN"/>
              </w:rPr>
              <w:t>累计得分</w:t>
            </w:r>
            <w:r>
              <w:rPr>
                <w:rFonts w:hint="eastAsia" w:ascii="宋体" w:hAnsi="宋体" w:cs="宋体"/>
                <w:color w:val="000000"/>
                <w:szCs w:val="21"/>
              </w:rPr>
              <w:t>。本项最高可得100分，最低为0分。</w:t>
            </w:r>
          </w:p>
          <w:p w14:paraId="79A99384">
            <w:pPr>
              <w:rPr>
                <w:rFonts w:hint="eastAsia" w:ascii="宋体" w:hAnsi="宋体" w:cs="宋体"/>
                <w:b/>
                <w:bCs/>
                <w:color w:val="000000"/>
                <w:szCs w:val="21"/>
              </w:rPr>
            </w:pPr>
            <w:r>
              <w:rPr>
                <w:rFonts w:hint="eastAsia" w:ascii="宋体" w:hAnsi="宋体" w:cs="宋体"/>
                <w:b/>
                <w:bCs/>
                <w:color w:val="000000"/>
                <w:szCs w:val="21"/>
              </w:rPr>
              <w:t>（二）评分依据：</w:t>
            </w:r>
          </w:p>
          <w:p w14:paraId="518553B9">
            <w:pPr>
              <w:rPr>
                <w:rFonts w:hint="eastAsia" w:ascii="宋体" w:hAnsi="宋体" w:cs="宋体"/>
                <w:color w:val="000000"/>
                <w:szCs w:val="21"/>
              </w:rPr>
            </w:pPr>
            <w:r>
              <w:rPr>
                <w:rFonts w:hint="eastAsia" w:ascii="宋体" w:hAnsi="宋体" w:cs="宋体"/>
                <w:color w:val="000000"/>
                <w:szCs w:val="21"/>
              </w:rPr>
              <w:t>1.【评审内容1】实验室（中心）须同时提供以下证明材料：</w:t>
            </w:r>
          </w:p>
          <w:p w14:paraId="442BA947">
            <w:pPr>
              <w:rPr>
                <w:rFonts w:hint="eastAsia" w:ascii="宋体" w:hAnsi="宋体" w:cs="宋体"/>
                <w:color w:val="000000"/>
                <w:szCs w:val="21"/>
              </w:rPr>
            </w:pPr>
            <w:r>
              <w:rPr>
                <w:rFonts w:hint="eastAsia" w:ascii="宋体" w:hAnsi="宋体" w:cs="宋体"/>
                <w:color w:val="000000"/>
                <w:szCs w:val="21"/>
              </w:rPr>
              <w:t>①检测实验室（中心）照片；</w:t>
            </w:r>
          </w:p>
          <w:p w14:paraId="0926122C">
            <w:pPr>
              <w:rPr>
                <w:rFonts w:hint="eastAsia" w:ascii="宋体" w:hAnsi="宋体" w:cs="宋体"/>
                <w:color w:val="000000"/>
                <w:szCs w:val="21"/>
              </w:rPr>
            </w:pPr>
            <w:r>
              <w:rPr>
                <w:rFonts w:hint="eastAsia" w:ascii="宋体" w:hAnsi="宋体" w:cs="宋体"/>
                <w:color w:val="000000"/>
                <w:szCs w:val="21"/>
              </w:rPr>
              <w:t>②检测实验室（中心）产权证明</w:t>
            </w:r>
            <w:r>
              <w:rPr>
                <w:rFonts w:hint="eastAsia" w:ascii="宋体" w:hAnsi="宋体" w:cs="宋体"/>
                <w:color w:val="000000"/>
                <w:szCs w:val="21"/>
                <w:lang w:val="en-US" w:eastAsia="zh-CN"/>
              </w:rPr>
              <w:t>,</w:t>
            </w:r>
            <w:r>
              <w:rPr>
                <w:rFonts w:hint="eastAsia" w:ascii="宋体" w:hAnsi="宋体" w:cs="宋体"/>
                <w:color w:val="000000"/>
                <w:szCs w:val="21"/>
              </w:rPr>
              <w:t>或场地租赁合同扫描件及本项目投标截止之日前任意一个月的租赁发票或银行付款凭证扫描件。</w:t>
            </w:r>
          </w:p>
          <w:p w14:paraId="07902B36">
            <w:pPr>
              <w:rPr>
                <w:rFonts w:hint="eastAsia" w:ascii="宋体" w:hAnsi="宋体" w:cs="宋体"/>
                <w:color w:val="000000"/>
                <w:szCs w:val="21"/>
              </w:rPr>
            </w:pPr>
            <w:r>
              <w:rPr>
                <w:rFonts w:hint="eastAsia" w:ascii="宋体" w:hAnsi="宋体" w:cs="宋体"/>
                <w:color w:val="000000"/>
                <w:szCs w:val="21"/>
              </w:rPr>
              <w:t>2.【评审内容2】检测仪器需同时提供：</w:t>
            </w:r>
          </w:p>
          <w:p w14:paraId="17D03A6D">
            <w:pPr>
              <w:rPr>
                <w:rFonts w:hint="eastAsia" w:ascii="宋体" w:hAnsi="宋体" w:cs="宋体"/>
                <w:color w:val="000000"/>
                <w:szCs w:val="21"/>
              </w:rPr>
            </w:pPr>
            <w:r>
              <w:rPr>
                <w:rFonts w:hint="eastAsia" w:ascii="宋体" w:hAnsi="宋体" w:cs="宋体"/>
                <w:color w:val="000000"/>
                <w:szCs w:val="21"/>
              </w:rPr>
              <w:t>2.1自有设备要求同时提供：①设备购买发票或购买转账凭证（提供截图、电子件或扫描件均可）及②对应的检测仪仪器照片作为得分依据；</w:t>
            </w:r>
          </w:p>
          <w:p w14:paraId="15FBCD28">
            <w:pPr>
              <w:rPr>
                <w:rFonts w:hint="eastAsia" w:ascii="宋体" w:hAnsi="宋体" w:cs="宋体"/>
                <w:color w:val="000000"/>
                <w:szCs w:val="21"/>
              </w:rPr>
            </w:pPr>
            <w:r>
              <w:rPr>
                <w:rFonts w:hint="eastAsia" w:ascii="宋体" w:hAnsi="宋体" w:cs="宋体"/>
                <w:color w:val="000000"/>
                <w:szCs w:val="21"/>
              </w:rPr>
              <w:t>2.2租赁设备要求同时提供：①租赁合同（租赁合同截止时限须</w:t>
            </w:r>
            <w:r>
              <w:rPr>
                <w:rFonts w:hint="eastAsia" w:ascii="宋体" w:hAnsi="宋体" w:cs="宋体"/>
                <w:color w:val="000000"/>
                <w:szCs w:val="21"/>
                <w:lang w:val="en-US" w:eastAsia="zh-CN"/>
              </w:rPr>
              <w:t>涵盖</w:t>
            </w:r>
            <w:r>
              <w:rPr>
                <w:rFonts w:hint="eastAsia" w:ascii="宋体" w:hAnsi="宋体" w:cs="宋体"/>
                <w:color w:val="000000"/>
                <w:szCs w:val="21"/>
              </w:rPr>
              <w:t>本项目投标截止之日）；②租赁合同期内任意一次转账凭证；③与转账凭证相对应的发票（发票提供截图、电子件或扫描件均可）；④对应的检测仪仪器照片作为得分依据。</w:t>
            </w:r>
          </w:p>
          <w:p w14:paraId="04CA3221">
            <w:pPr>
              <w:rPr>
                <w:rFonts w:hint="eastAsia" w:ascii="宋体" w:hAnsi="宋体" w:cs="宋体"/>
                <w:color w:val="000000"/>
                <w:szCs w:val="21"/>
              </w:rPr>
            </w:pPr>
            <w:r>
              <w:rPr>
                <w:rFonts w:hint="eastAsia" w:ascii="宋体" w:hAnsi="宋体" w:cs="宋体"/>
                <w:color w:val="000000"/>
                <w:szCs w:val="21"/>
                <w:lang w:val="en-US" w:eastAsia="zh-CN"/>
              </w:rPr>
              <w:t>2.3</w:t>
            </w:r>
            <w:r>
              <w:rPr>
                <w:rFonts w:hint="eastAsia" w:ascii="宋体" w:hAnsi="宋体" w:cs="宋体"/>
                <w:color w:val="000000"/>
                <w:szCs w:val="21"/>
              </w:rPr>
              <w:t>同一设备同时具备（满足）多个检测功能的须同时提供说明书或相关证明材料扫描件。</w:t>
            </w:r>
          </w:p>
          <w:p w14:paraId="72B97015">
            <w:pPr>
              <w:pStyle w:val="16"/>
              <w:rPr>
                <w:rFonts w:hint="eastAsia" w:ascii="宋体" w:hAnsi="宋体" w:cs="宋体"/>
                <w:color w:val="000000"/>
                <w:sz w:val="21"/>
                <w:szCs w:val="21"/>
              </w:rPr>
            </w:pPr>
            <w:r>
              <w:rPr>
                <w:rFonts w:hint="eastAsia" w:ascii="宋体" w:hAnsi="宋体" w:cs="宋体"/>
                <w:color w:val="000000"/>
                <w:sz w:val="21"/>
                <w:szCs w:val="21"/>
              </w:rPr>
              <w:t>2.4 为确保仪器正常使用以及数据准确，提供2025年11月1日至本项目投标截止之日前任意一份相应仪器校准报告。</w:t>
            </w:r>
          </w:p>
          <w:p w14:paraId="1F4FE924">
            <w:pPr>
              <w:pStyle w:val="16"/>
              <w:rPr>
                <w:rFonts w:hint="eastAsia"/>
                <w:lang w:eastAsia="zh-CN"/>
              </w:rPr>
            </w:pPr>
            <w:r>
              <w:rPr>
                <w:rFonts w:hint="eastAsia" w:ascii="宋体" w:hAnsi="宋体" w:cs="宋体"/>
                <w:color w:val="000000"/>
                <w:sz w:val="21"/>
                <w:szCs w:val="21"/>
              </w:rPr>
              <w:t>评分中出现无证明资料或者专家无法凭所提供资料判断是否得分的情况，一律做不得分处理。</w:t>
            </w:r>
          </w:p>
        </w:tc>
      </w:tr>
      <w:tr w14:paraId="2CD6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1C0D2C7A">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23E5B877">
            <w:pPr>
              <w:keepNext w:val="0"/>
              <w:keepLines w:val="0"/>
              <w:widowControl w:val="0"/>
              <w:suppressLineNumbers w:val="0"/>
              <w:wordWrap w:val="0"/>
              <w:spacing w:before="0" w:beforeAutospacing="0" w:after="0" w:afterAutospacing="0"/>
              <w:ind w:left="0" w:leftChars="0" w:right="0" w:rightChars="0"/>
              <w:jc w:val="center"/>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12</w:t>
            </w:r>
          </w:p>
        </w:tc>
        <w:tc>
          <w:tcPr>
            <w:tcW w:w="1852" w:type="dxa"/>
            <w:vAlign w:val="center"/>
          </w:tcPr>
          <w:p w14:paraId="5557BE0A">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拟派本项目团队人员（含项目负责人）</w:t>
            </w:r>
          </w:p>
          <w:p w14:paraId="592B570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p>
        </w:tc>
        <w:tc>
          <w:tcPr>
            <w:tcW w:w="698" w:type="dxa"/>
            <w:vAlign w:val="center"/>
          </w:tcPr>
          <w:p w14:paraId="59B7880B">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7</w:t>
            </w:r>
          </w:p>
        </w:tc>
        <w:tc>
          <w:tcPr>
            <w:tcW w:w="5756" w:type="dxa"/>
            <w:gridSpan w:val="3"/>
            <w:vAlign w:val="top"/>
          </w:tcPr>
          <w:p w14:paraId="490D5CD3">
            <w:pPr>
              <w:keepNext w:val="0"/>
              <w:keepLines w:val="0"/>
              <w:widowControl w:val="0"/>
              <w:suppressLineNumbers w:val="0"/>
              <w:spacing w:before="0" w:beforeAutospacing="0" w:after="0" w:afterAutospacing="0"/>
              <w:ind w:left="0" w:right="0"/>
              <w:jc w:val="left"/>
              <w:rPr>
                <w:rFonts w:hint="eastAsia" w:ascii="宋体" w:hAnsi="宋体" w:eastAsia="宋体"/>
                <w:b/>
                <w:bCs/>
                <w:kern w:val="2"/>
                <w:sz w:val="21"/>
                <w:szCs w:val="21"/>
                <w:lang w:eastAsia="zh-CN"/>
              </w:rPr>
            </w:pPr>
            <w:r>
              <w:rPr>
                <w:rFonts w:hint="eastAsia" w:ascii="宋体" w:hAnsi="宋体" w:eastAsia="宋体"/>
                <w:b/>
                <w:bCs/>
                <w:kern w:val="2"/>
                <w:sz w:val="21"/>
                <w:szCs w:val="21"/>
                <w:lang w:eastAsia="zh-CN"/>
              </w:rPr>
              <w:t>（一）评分内容:</w:t>
            </w:r>
          </w:p>
          <w:p w14:paraId="15F6796D">
            <w:pPr>
              <w:keepNext w:val="0"/>
              <w:keepLines w:val="0"/>
              <w:widowControl w:val="0"/>
              <w:suppressLineNumbers w:val="0"/>
              <w:spacing w:before="0" w:beforeAutospacing="0" w:after="0" w:afterAutospacing="0"/>
              <w:ind w:left="0" w:right="0"/>
              <w:jc w:val="left"/>
              <w:rPr>
                <w:rFonts w:hint="eastAsia" w:ascii="宋体" w:hAnsi="宋体" w:eastAsia="宋体"/>
                <w:kern w:val="2"/>
                <w:sz w:val="21"/>
                <w:szCs w:val="21"/>
                <w:lang w:eastAsia="zh-CN"/>
              </w:rPr>
            </w:pPr>
            <w:r>
              <w:rPr>
                <w:rFonts w:hint="eastAsia" w:ascii="宋体" w:hAnsi="宋体" w:eastAsia="宋体"/>
                <w:kern w:val="2"/>
                <w:sz w:val="21"/>
                <w:szCs w:val="21"/>
                <w:lang w:eastAsia="zh-CN"/>
              </w:rPr>
              <w:t>1.投标人拟派本项目的项目负责人（限1人），为本单位员工，</w:t>
            </w:r>
            <w:r>
              <w:rPr>
                <w:rFonts w:hint="eastAsia"/>
              </w:rPr>
              <w:t>否则本小项不得分</w:t>
            </w:r>
            <w:r>
              <w:rPr>
                <w:rFonts w:hint="eastAsia"/>
                <w:lang w:eastAsia="zh-CN"/>
              </w:rPr>
              <w:t>；</w:t>
            </w:r>
            <w:r>
              <w:rPr>
                <w:rFonts w:hint="eastAsia" w:ascii="宋体" w:hAnsi="宋体" w:eastAsia="宋体"/>
                <w:kern w:val="2"/>
                <w:sz w:val="21"/>
                <w:szCs w:val="21"/>
                <w:lang w:eastAsia="zh-CN"/>
              </w:rPr>
              <w:t>在此基础上：</w:t>
            </w:r>
          </w:p>
          <w:p w14:paraId="49873D06">
            <w:pPr>
              <w:keepNext w:val="0"/>
              <w:keepLines w:val="0"/>
              <w:widowControl w:val="0"/>
              <w:suppressLineNumbers w:val="0"/>
              <w:spacing w:before="0" w:beforeAutospacing="0" w:after="0" w:afterAutospacing="0"/>
              <w:ind w:left="0" w:right="0"/>
              <w:jc w:val="left"/>
              <w:rPr>
                <w:rFonts w:hint="eastAsia" w:ascii="宋体" w:hAnsi="宋体" w:eastAsia="宋体"/>
                <w:kern w:val="2"/>
                <w:sz w:val="21"/>
                <w:szCs w:val="21"/>
                <w:lang w:eastAsia="zh-CN"/>
              </w:rPr>
            </w:pPr>
            <w:r>
              <w:rPr>
                <w:rFonts w:hint="eastAsia" w:ascii="宋体" w:hAnsi="宋体" w:eastAsia="宋体"/>
                <w:kern w:val="2"/>
                <w:sz w:val="21"/>
                <w:szCs w:val="21"/>
                <w:lang w:eastAsia="zh-CN"/>
              </w:rPr>
              <w:t>①具有本科（或以上）学历且专业为食品类或管理类的，得40分；</w:t>
            </w:r>
          </w:p>
          <w:p w14:paraId="3BAAAD71">
            <w:pPr>
              <w:keepNext w:val="0"/>
              <w:keepLines w:val="0"/>
              <w:widowControl w:val="0"/>
              <w:suppressLineNumbers w:val="0"/>
              <w:spacing w:before="0" w:beforeAutospacing="0" w:after="0" w:afterAutospacing="0"/>
              <w:ind w:left="0" w:right="0"/>
              <w:jc w:val="left"/>
              <w:rPr>
                <w:rFonts w:hint="eastAsia" w:ascii="宋体" w:hAnsi="宋体" w:eastAsia="宋体"/>
                <w:kern w:val="2"/>
                <w:sz w:val="21"/>
                <w:szCs w:val="21"/>
                <w:highlight w:val="none"/>
                <w:lang w:eastAsia="zh-CN"/>
              </w:rPr>
            </w:pPr>
            <w:r>
              <w:rPr>
                <w:rFonts w:hint="eastAsia" w:ascii="宋体" w:hAnsi="宋体" w:eastAsia="宋体"/>
                <w:kern w:val="2"/>
                <w:sz w:val="21"/>
                <w:szCs w:val="21"/>
                <w:highlight w:val="none"/>
                <w:lang w:eastAsia="zh-CN"/>
              </w:rPr>
              <w:t>②</w:t>
            </w:r>
            <w:r>
              <w:rPr>
                <w:rFonts w:hint="eastAsia" w:ascii="宋体" w:hAnsi="宋体" w:eastAsia="宋体" w:cs="宋体"/>
                <w:kern w:val="2"/>
                <w:sz w:val="21"/>
                <w:szCs w:val="21"/>
                <w:highlight w:val="none"/>
                <w:lang w:eastAsia="zh-CN"/>
              </w:rPr>
              <w:t>具有</w:t>
            </w:r>
            <w:r>
              <w:rPr>
                <w:rFonts w:hint="eastAsia" w:ascii="宋体" w:hAnsi="宋体" w:cs="宋体"/>
                <w:i w:val="0"/>
                <w:iCs w:val="0"/>
                <w:color w:val="auto"/>
                <w:kern w:val="0"/>
                <w:sz w:val="21"/>
                <w:szCs w:val="21"/>
                <w:highlight w:val="none"/>
                <w:u w:val="none"/>
                <w:lang w:val="en-US" w:eastAsia="zh-CN"/>
              </w:rPr>
              <w:t>人力资源和社会保障（或原劳动和社会保障）行政主管部门或在人力资源和社会保障部门备案的第三方评价机构颁发的</w:t>
            </w:r>
            <w:r>
              <w:rPr>
                <w:rFonts w:hint="eastAsia" w:ascii="宋体" w:hAnsi="宋体" w:eastAsia="宋体" w:cs="宋体"/>
                <w:sz w:val="21"/>
                <w:szCs w:val="21"/>
                <w:highlight w:val="none"/>
                <w:lang w:eastAsia="zh-CN"/>
              </w:rPr>
              <w:t>食品安全管理师证（级别：高级）</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eastAsia="zh-CN"/>
              </w:rPr>
              <w:t>或</w:t>
            </w:r>
            <w:r>
              <w:rPr>
                <w:rStyle w:val="45"/>
                <w:rFonts w:hint="eastAsia" w:asciiTheme="majorEastAsia" w:hAnsiTheme="majorEastAsia" w:eastAsiaTheme="majorEastAsia" w:cstheme="majorEastAsia"/>
                <w:b w:val="0"/>
                <w:bCs/>
                <w:i w:val="0"/>
                <w:iCs w:val="0"/>
                <w:caps w:val="0"/>
                <w:spacing w:val="0"/>
                <w:sz w:val="21"/>
                <w:szCs w:val="21"/>
              </w:rPr>
              <w:t>具有市场监督管理部门（或食品药品监督管理部门）颁发的</w:t>
            </w:r>
            <w:r>
              <w:rPr>
                <w:rFonts w:hint="eastAsia" w:ascii="宋体" w:hAnsi="宋体" w:eastAsia="宋体" w:cs="宋体"/>
                <w:sz w:val="21"/>
                <w:szCs w:val="21"/>
                <w:highlight w:val="none"/>
                <w:lang w:eastAsia="zh-CN"/>
              </w:rPr>
              <w:t>食品安全管理（人）员考试合格证明[级别：高级或食品安全总监（原高级）]，得20分</w:t>
            </w:r>
            <w:r>
              <w:rPr>
                <w:rFonts w:hint="eastAsia" w:ascii="宋体" w:hAnsi="宋体" w:eastAsia="宋体"/>
                <w:kern w:val="2"/>
                <w:sz w:val="21"/>
                <w:szCs w:val="21"/>
                <w:highlight w:val="none"/>
                <w:lang w:eastAsia="zh-CN"/>
              </w:rPr>
              <w:t>；</w:t>
            </w:r>
          </w:p>
          <w:p w14:paraId="12C05AAC">
            <w:pPr>
              <w:keepNext w:val="0"/>
              <w:keepLines w:val="0"/>
              <w:widowControl w:val="0"/>
              <w:suppressLineNumbers w:val="0"/>
              <w:spacing w:before="0" w:beforeAutospacing="0" w:after="0" w:afterAutospacing="0"/>
              <w:ind w:left="0" w:right="0"/>
              <w:jc w:val="left"/>
              <w:rPr>
                <w:rFonts w:hint="eastAsia" w:ascii="宋体" w:hAnsi="宋体" w:eastAsia="宋体"/>
                <w:kern w:val="2"/>
                <w:sz w:val="21"/>
                <w:szCs w:val="21"/>
                <w:highlight w:val="none"/>
                <w:lang w:eastAsia="zh-CN"/>
              </w:rPr>
            </w:pPr>
            <w:r>
              <w:rPr>
                <w:rFonts w:hint="eastAsia" w:ascii="宋体" w:hAnsi="宋体" w:eastAsia="宋体"/>
                <w:kern w:val="2"/>
                <w:sz w:val="21"/>
                <w:szCs w:val="21"/>
                <w:highlight w:val="none"/>
                <w:lang w:eastAsia="zh-CN"/>
              </w:rPr>
              <w:t>2.投标人拟派本项目食品安全管理人员（除项目负责人外），为本单位员工，</w:t>
            </w:r>
            <w:r>
              <w:rPr>
                <w:rFonts w:hint="eastAsia"/>
                <w:lang w:val="en-US" w:eastAsia="zh-CN"/>
              </w:rPr>
              <w:t>否则本小项不得分；</w:t>
            </w:r>
            <w:r>
              <w:rPr>
                <w:rFonts w:hint="eastAsia" w:ascii="宋体" w:hAnsi="宋体" w:eastAsia="宋体"/>
                <w:kern w:val="2"/>
                <w:sz w:val="21"/>
                <w:szCs w:val="21"/>
                <w:highlight w:val="none"/>
                <w:lang w:eastAsia="zh-CN"/>
              </w:rPr>
              <w:t>在此基础上：</w:t>
            </w:r>
          </w:p>
          <w:p w14:paraId="02D4BEC5">
            <w:pPr>
              <w:keepNext w:val="0"/>
              <w:keepLines w:val="0"/>
              <w:widowControl w:val="0"/>
              <w:suppressLineNumbers w:val="0"/>
              <w:spacing w:before="0" w:beforeAutospacing="0" w:after="0" w:afterAutospacing="0"/>
              <w:ind w:left="0" w:right="0"/>
              <w:jc w:val="left"/>
              <w:rPr>
                <w:rFonts w:hint="eastAsia" w:ascii="宋体" w:hAnsi="宋体" w:eastAsia="宋体"/>
                <w:kern w:val="2"/>
                <w:sz w:val="21"/>
                <w:szCs w:val="21"/>
                <w:highlight w:val="none"/>
                <w:lang w:eastAsia="zh-CN"/>
              </w:rPr>
            </w:pPr>
            <w:r>
              <w:rPr>
                <w:rFonts w:hint="eastAsia" w:ascii="宋体" w:hAnsi="宋体" w:eastAsia="宋体"/>
                <w:kern w:val="2"/>
                <w:sz w:val="21"/>
                <w:szCs w:val="21"/>
                <w:highlight w:val="none"/>
                <w:lang w:eastAsia="zh-CN"/>
              </w:rPr>
              <w:t>①</w:t>
            </w:r>
            <w:r>
              <w:rPr>
                <w:rFonts w:hint="eastAsia" w:ascii="宋体" w:hAnsi="宋体" w:eastAsia="宋体" w:cs="宋体"/>
                <w:kern w:val="2"/>
                <w:sz w:val="21"/>
                <w:szCs w:val="21"/>
                <w:highlight w:val="none"/>
                <w:lang w:eastAsia="zh-CN"/>
              </w:rPr>
              <w:t>具有</w:t>
            </w:r>
            <w:r>
              <w:rPr>
                <w:rFonts w:hint="eastAsia" w:ascii="宋体" w:hAnsi="宋体" w:cs="宋体"/>
                <w:i w:val="0"/>
                <w:iCs w:val="0"/>
                <w:color w:val="auto"/>
                <w:kern w:val="0"/>
                <w:sz w:val="21"/>
                <w:szCs w:val="21"/>
                <w:highlight w:val="none"/>
                <w:u w:val="none"/>
                <w:lang w:val="en-US" w:eastAsia="zh-CN"/>
              </w:rPr>
              <w:t>人力资源和社会保障（或原劳动和社会保障）行政主管部门或在人力资源和社会保障部门备案的第三方评价机构颁发的</w:t>
            </w:r>
            <w:r>
              <w:rPr>
                <w:rFonts w:hint="eastAsia" w:ascii="宋体" w:hAnsi="宋体" w:eastAsia="宋体" w:cs="宋体"/>
                <w:sz w:val="21"/>
                <w:szCs w:val="21"/>
                <w:highlight w:val="none"/>
                <w:lang w:eastAsia="zh-CN"/>
              </w:rPr>
              <w:t>食品安全管理师证（级别：高级）</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eastAsia="zh-CN"/>
              </w:rPr>
              <w:t>或</w:t>
            </w:r>
            <w:r>
              <w:rPr>
                <w:rStyle w:val="45"/>
                <w:rFonts w:hint="eastAsia" w:asciiTheme="majorEastAsia" w:hAnsiTheme="majorEastAsia" w:eastAsiaTheme="majorEastAsia" w:cstheme="majorEastAsia"/>
                <w:b w:val="0"/>
                <w:bCs/>
                <w:i w:val="0"/>
                <w:iCs w:val="0"/>
                <w:caps w:val="0"/>
                <w:spacing w:val="0"/>
                <w:sz w:val="21"/>
                <w:szCs w:val="21"/>
              </w:rPr>
              <w:t>具有市场监督管理部门（或食品药品监督管理部门）颁发的</w:t>
            </w:r>
            <w:r>
              <w:rPr>
                <w:rFonts w:hint="eastAsia" w:ascii="宋体" w:hAnsi="宋体" w:eastAsia="宋体" w:cs="宋体"/>
                <w:sz w:val="21"/>
                <w:szCs w:val="21"/>
                <w:highlight w:val="none"/>
                <w:lang w:eastAsia="zh-CN"/>
              </w:rPr>
              <w:t>食品安全管理（人）员考试合格证明[级别：高级或食品安全总监（原高级）]</w:t>
            </w:r>
            <w:r>
              <w:rPr>
                <w:rFonts w:hint="eastAsia" w:ascii="宋体" w:hAnsi="宋体" w:eastAsia="宋体"/>
                <w:kern w:val="2"/>
                <w:sz w:val="21"/>
                <w:szCs w:val="21"/>
                <w:highlight w:val="none"/>
                <w:lang w:eastAsia="zh-CN"/>
              </w:rPr>
              <w:t>，每提供一人得20分，本小项最高得40分；</w:t>
            </w:r>
          </w:p>
          <w:p w14:paraId="3B0FEF06">
            <w:pPr>
              <w:keepNext w:val="0"/>
              <w:keepLines w:val="0"/>
              <w:widowControl w:val="0"/>
              <w:suppressLineNumbers w:val="0"/>
              <w:spacing w:before="0" w:beforeAutospacing="0" w:after="0" w:afterAutospacing="0"/>
              <w:ind w:left="0" w:right="0"/>
              <w:jc w:val="left"/>
              <w:rPr>
                <w:rFonts w:hint="eastAsia" w:ascii="宋体" w:hAnsi="宋体" w:eastAsia="宋体"/>
                <w:kern w:val="2"/>
                <w:sz w:val="21"/>
                <w:szCs w:val="21"/>
                <w:highlight w:val="none"/>
                <w:lang w:eastAsia="zh-CN"/>
              </w:rPr>
            </w:pPr>
            <w:r>
              <w:rPr>
                <w:rFonts w:hint="eastAsia" w:ascii="宋体" w:hAnsi="宋体" w:eastAsia="宋体"/>
                <w:kern w:val="2"/>
                <w:sz w:val="21"/>
                <w:szCs w:val="21"/>
                <w:highlight w:val="none"/>
                <w:lang w:eastAsia="zh-CN"/>
              </w:rPr>
              <w:t>【本项最高可得100分，最低为0分】</w:t>
            </w:r>
          </w:p>
          <w:p w14:paraId="21B0A910">
            <w:pPr>
              <w:keepNext w:val="0"/>
              <w:keepLines w:val="0"/>
              <w:widowControl w:val="0"/>
              <w:suppressLineNumbers w:val="0"/>
              <w:spacing w:before="0" w:beforeAutospacing="0" w:after="0" w:afterAutospacing="0"/>
              <w:ind w:left="0" w:right="0"/>
              <w:jc w:val="left"/>
              <w:rPr>
                <w:rFonts w:hint="eastAsia" w:ascii="宋体" w:hAnsi="宋体" w:eastAsia="宋体"/>
                <w:b/>
                <w:bCs/>
                <w:kern w:val="2"/>
                <w:sz w:val="21"/>
                <w:szCs w:val="21"/>
                <w:lang w:eastAsia="zh-CN"/>
              </w:rPr>
            </w:pPr>
            <w:r>
              <w:rPr>
                <w:rFonts w:hint="eastAsia" w:ascii="宋体" w:hAnsi="宋体" w:eastAsia="宋体"/>
                <w:b/>
                <w:bCs/>
                <w:kern w:val="2"/>
                <w:sz w:val="21"/>
                <w:szCs w:val="21"/>
                <w:lang w:eastAsia="zh-CN"/>
              </w:rPr>
              <w:t>（二）评分依据:</w:t>
            </w:r>
          </w:p>
          <w:p w14:paraId="1C286E94">
            <w:pPr>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rPr>
              <w:t>1.</w:t>
            </w:r>
            <w:r>
              <w:rPr>
                <w:rFonts w:hint="eastAsia" w:ascii="宋体" w:hAnsi="宋体" w:eastAsia="宋体" w:cs="宋体"/>
                <w:szCs w:val="21"/>
                <w:highlight w:val="none"/>
              </w:rPr>
              <w:t>提供通过投标人缴纳的近三个月（含开标当月）的任意一个月的社保证明作为本单位员工的证明依据，如供应商成立不足一个月的，提供情况说明函（格式自拟），无需提供相关人员社保，亦可得分</w:t>
            </w:r>
            <w:r>
              <w:rPr>
                <w:rFonts w:hint="eastAsia" w:ascii="宋体" w:hAnsi="宋体" w:cs="宋体"/>
                <w:szCs w:val="21"/>
                <w:highlight w:val="none"/>
              </w:rPr>
              <w:t>。</w:t>
            </w:r>
          </w:p>
          <w:p w14:paraId="1B331B6F">
            <w:pPr>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rPr>
              <w:t>2.要求提供投标人相关</w:t>
            </w:r>
            <w:r>
              <w:rPr>
                <w:rFonts w:hint="eastAsia" w:ascii="宋体" w:hAnsi="宋体" w:cs="宋体"/>
                <w:szCs w:val="21"/>
                <w:highlight w:val="none"/>
                <w:lang w:val="en-US" w:eastAsia="zh-CN"/>
              </w:rPr>
              <w:t>证书扫描件</w:t>
            </w:r>
            <w:r>
              <w:rPr>
                <w:rFonts w:hint="eastAsia" w:ascii="宋体" w:hAnsi="宋体" w:cs="宋体"/>
                <w:szCs w:val="21"/>
                <w:highlight w:val="none"/>
              </w:rPr>
              <w:t>。</w:t>
            </w:r>
          </w:p>
          <w:p w14:paraId="30558293">
            <w:pPr>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rPr>
              <w:t>3.涉及学历的，要求提供学历证书扫描件及学信网查询记录（或学历认证报告）截图。对于较早颁发的学历证书，学信网无法查询的，要求提供证书扫描件和其他佐证材料（如毕业院校、人社部门等颁发机构或监管机构等单位出具的证明）作为得分的依据。海外留学（含港澳台）人员无法通过学信网站查询，应当提供“教育部留学服务中心出具的学历</w:t>
            </w:r>
            <w:r>
              <w:rPr>
                <w:rFonts w:hint="eastAsia" w:ascii="宋体" w:hAnsi="宋体" w:cs="宋体"/>
                <w:szCs w:val="21"/>
                <w:highlight w:val="none"/>
                <w:lang w:val="en-US" w:eastAsia="zh-CN"/>
              </w:rPr>
              <w:t>学位</w:t>
            </w:r>
            <w:r>
              <w:rPr>
                <w:rFonts w:hint="eastAsia" w:ascii="宋体" w:hAnsi="宋体" w:cs="宋体"/>
                <w:szCs w:val="21"/>
                <w:highlight w:val="none"/>
              </w:rPr>
              <w:t>认证书以及教育部留学服务中心官网查询截图”作为得分依据。</w:t>
            </w:r>
          </w:p>
          <w:p w14:paraId="06A51A6F">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color w:val="000000"/>
                <w:sz w:val="21"/>
                <w:szCs w:val="21"/>
              </w:rPr>
            </w:pPr>
            <w:r>
              <w:rPr>
                <w:rFonts w:hint="eastAsia" w:ascii="宋体" w:hAnsi="宋体" w:eastAsia="宋体" w:cs="宋体"/>
                <w:i w:val="0"/>
                <w:iCs w:val="0"/>
                <w:color w:val="auto"/>
                <w:kern w:val="0"/>
                <w:sz w:val="21"/>
                <w:szCs w:val="21"/>
                <w:highlight w:val="none"/>
                <w:u w:val="none"/>
                <w:lang w:val="en-US" w:eastAsia="zh-CN"/>
              </w:rPr>
              <w:t>备注：评分中出现无证明资料或证书过期或专家无法凭所提供资料判断是否得分的情况，一律作不得分处理。</w:t>
            </w:r>
          </w:p>
        </w:tc>
      </w:tr>
      <w:tr w14:paraId="08E9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restart"/>
          </w:tcPr>
          <w:p w14:paraId="22E6022B">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3</w:t>
            </w:r>
          </w:p>
        </w:tc>
        <w:tc>
          <w:tcPr>
            <w:tcW w:w="3156" w:type="dxa"/>
            <w:gridSpan w:val="3"/>
          </w:tcPr>
          <w:p w14:paraId="14674D7E">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商务部分</w:t>
            </w:r>
          </w:p>
        </w:tc>
        <w:tc>
          <w:tcPr>
            <w:tcW w:w="5756" w:type="dxa"/>
            <w:gridSpan w:val="3"/>
          </w:tcPr>
          <w:p w14:paraId="2BFB7408">
            <w:pPr>
              <w:keepNext w:val="0"/>
              <w:keepLines w:val="0"/>
              <w:widowControl w:val="0"/>
              <w:suppressLineNumbers w:val="0"/>
              <w:wordWrap w:val="0"/>
              <w:spacing w:before="0" w:beforeAutospacing="0" w:after="0" w:afterAutospacing="0"/>
              <w:ind w:left="0" w:right="0"/>
              <w:jc w:val="center"/>
              <w:rPr>
                <w:rFonts w:hint="default" w:ascii="宋体" w:hAnsi="宋体" w:eastAsia="宋体" w:cs="宋体"/>
                <w:b/>
                <w:bCs/>
                <w:color w:val="0000FF"/>
                <w:kern w:val="2"/>
                <w:lang w:val="en-US" w:eastAsia="zh-CN"/>
              </w:rPr>
            </w:pPr>
            <w:r>
              <w:rPr>
                <w:rFonts w:hint="eastAsia" w:ascii="宋体" w:hAnsi="宋体" w:cs="宋体"/>
                <w:b/>
                <w:bCs/>
                <w:color w:val="0000FF"/>
                <w:kern w:val="2"/>
                <w:sz w:val="21"/>
                <w:szCs w:val="21"/>
                <w:lang w:val="en-US" w:eastAsia="zh-CN"/>
              </w:rPr>
              <w:t>23</w:t>
            </w:r>
          </w:p>
        </w:tc>
      </w:tr>
      <w:tr w14:paraId="586E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shd w:val="clear" w:color="auto" w:fill="E6EFFA"/>
            <w:vAlign w:val="center"/>
          </w:tcPr>
          <w:p w14:paraId="0504FB31">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shd w:val="clear" w:color="auto" w:fill="E6EFFA"/>
            <w:vAlign w:val="center"/>
          </w:tcPr>
          <w:p w14:paraId="5245E318">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序号</w:t>
            </w:r>
          </w:p>
        </w:tc>
        <w:tc>
          <w:tcPr>
            <w:tcW w:w="1852" w:type="dxa"/>
            <w:shd w:val="clear" w:color="auto" w:fill="E6EFFA"/>
            <w:vAlign w:val="center"/>
          </w:tcPr>
          <w:p w14:paraId="6A0C0D71">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评审因素</w:t>
            </w:r>
          </w:p>
        </w:tc>
        <w:tc>
          <w:tcPr>
            <w:tcW w:w="698" w:type="dxa"/>
            <w:shd w:val="clear" w:color="auto" w:fill="E6EFFA"/>
            <w:vAlign w:val="center"/>
          </w:tcPr>
          <w:p w14:paraId="7018DC19">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权重（%）</w:t>
            </w:r>
          </w:p>
        </w:tc>
        <w:tc>
          <w:tcPr>
            <w:tcW w:w="5756" w:type="dxa"/>
            <w:gridSpan w:val="3"/>
            <w:shd w:val="clear" w:color="auto" w:fill="E6EFFA"/>
            <w:vAlign w:val="center"/>
          </w:tcPr>
          <w:p w14:paraId="3D63900C">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评分准则</w:t>
            </w:r>
          </w:p>
        </w:tc>
      </w:tr>
      <w:tr w14:paraId="00B2B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014D5109">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22DB9AA0">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w:t>
            </w:r>
          </w:p>
        </w:tc>
        <w:tc>
          <w:tcPr>
            <w:tcW w:w="1852" w:type="dxa"/>
            <w:vAlign w:val="center"/>
          </w:tcPr>
          <w:p w14:paraId="2ADC7C9B">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投标人通过相关认证情况</w:t>
            </w:r>
          </w:p>
        </w:tc>
        <w:tc>
          <w:tcPr>
            <w:tcW w:w="698" w:type="dxa"/>
            <w:vAlign w:val="center"/>
          </w:tcPr>
          <w:p w14:paraId="67FF3551">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3</w:t>
            </w:r>
          </w:p>
        </w:tc>
        <w:tc>
          <w:tcPr>
            <w:tcW w:w="5756" w:type="dxa"/>
            <w:gridSpan w:val="3"/>
            <w:vAlign w:val="top"/>
          </w:tcPr>
          <w:p w14:paraId="2A2DC9EB">
            <w:pPr>
              <w:keepNext w:val="0"/>
              <w:keepLines w:val="0"/>
              <w:widowControl w:val="0"/>
              <w:suppressLineNumbers w:val="0"/>
              <w:snapToGrid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b/>
                <w:bCs/>
                <w:kern w:val="2"/>
                <w:sz w:val="21"/>
                <w:szCs w:val="21"/>
                <w:lang w:eastAsia="zh-CN"/>
              </w:rPr>
              <w:t>（一）评分内容：</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投标人具有以下认证：</w:t>
            </w:r>
          </w:p>
          <w:p w14:paraId="6C1A0F64">
            <w:pPr>
              <w:keepNext w:val="0"/>
              <w:keepLines w:val="0"/>
              <w:widowControl w:val="0"/>
              <w:suppressLineNumbers w:val="0"/>
              <w:snapToGrid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1.具有质量管理体系认证证书的，</w:t>
            </w:r>
            <w:r>
              <w:rPr>
                <w:rFonts w:hint="eastAsia" w:ascii="宋体" w:hAnsi="宋体" w:cs="宋体"/>
                <w:kern w:val="2"/>
                <w:sz w:val="21"/>
                <w:szCs w:val="21"/>
                <w:lang w:val="en-US" w:eastAsia="zh-CN"/>
              </w:rPr>
              <w:t>认证范围与食材配送相关，</w:t>
            </w:r>
            <w:r>
              <w:rPr>
                <w:rFonts w:hint="eastAsia" w:ascii="宋体" w:hAnsi="宋体" w:eastAsia="宋体" w:cs="宋体"/>
                <w:kern w:val="2"/>
                <w:sz w:val="21"/>
                <w:szCs w:val="21"/>
                <w:lang w:eastAsia="zh-CN"/>
              </w:rPr>
              <w:t>得</w:t>
            </w:r>
            <w:r>
              <w:rPr>
                <w:rFonts w:hint="eastAsia" w:ascii="宋体" w:hAnsi="宋体" w:eastAsia="宋体" w:cs="宋体"/>
                <w:kern w:val="2"/>
                <w:sz w:val="21"/>
                <w:szCs w:val="21"/>
                <w:lang w:val="en-US" w:eastAsia="zh-CN"/>
              </w:rPr>
              <w:t>20</w:t>
            </w:r>
            <w:r>
              <w:rPr>
                <w:rFonts w:hint="eastAsia" w:ascii="宋体" w:hAnsi="宋体" w:eastAsia="宋体" w:cs="宋体"/>
                <w:kern w:val="2"/>
                <w:sz w:val="21"/>
                <w:szCs w:val="21"/>
                <w:lang w:eastAsia="zh-CN"/>
              </w:rPr>
              <w:t>分；</w:t>
            </w:r>
          </w:p>
          <w:p w14:paraId="5EB7ECFB">
            <w:pPr>
              <w:keepNext w:val="0"/>
              <w:keepLines w:val="0"/>
              <w:widowControl w:val="0"/>
              <w:suppressLineNumbers w:val="0"/>
              <w:snapToGrid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2.具有职业健康安全管理体系认证证书的，</w:t>
            </w:r>
            <w:r>
              <w:rPr>
                <w:rFonts w:hint="eastAsia" w:ascii="宋体" w:hAnsi="宋体" w:cs="宋体"/>
                <w:kern w:val="2"/>
                <w:sz w:val="21"/>
                <w:szCs w:val="21"/>
                <w:lang w:val="en-US" w:eastAsia="zh-CN"/>
              </w:rPr>
              <w:t>认证范围与食材配送相关，</w:t>
            </w:r>
            <w:r>
              <w:rPr>
                <w:rFonts w:hint="eastAsia" w:ascii="宋体" w:hAnsi="宋体" w:eastAsia="宋体" w:cs="宋体"/>
                <w:kern w:val="2"/>
                <w:sz w:val="21"/>
                <w:szCs w:val="21"/>
                <w:lang w:eastAsia="zh-CN"/>
              </w:rPr>
              <w:t>得</w:t>
            </w:r>
            <w:r>
              <w:rPr>
                <w:rFonts w:hint="eastAsia" w:ascii="宋体" w:hAnsi="宋体" w:eastAsia="宋体" w:cs="宋体"/>
                <w:kern w:val="2"/>
                <w:sz w:val="21"/>
                <w:szCs w:val="21"/>
                <w:lang w:val="en-US" w:eastAsia="zh-CN"/>
              </w:rPr>
              <w:t>20</w:t>
            </w:r>
            <w:r>
              <w:rPr>
                <w:rFonts w:hint="eastAsia" w:ascii="宋体" w:hAnsi="宋体" w:eastAsia="宋体" w:cs="宋体"/>
                <w:kern w:val="2"/>
                <w:sz w:val="21"/>
                <w:szCs w:val="21"/>
                <w:lang w:eastAsia="zh-CN"/>
              </w:rPr>
              <w:t>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3.具有环境管理体系认证证书的，</w:t>
            </w:r>
            <w:r>
              <w:rPr>
                <w:rFonts w:hint="eastAsia" w:ascii="宋体" w:hAnsi="宋体" w:cs="宋体"/>
                <w:kern w:val="2"/>
                <w:sz w:val="21"/>
                <w:szCs w:val="21"/>
                <w:lang w:val="en-US" w:eastAsia="zh-CN"/>
              </w:rPr>
              <w:t>认证范围与食材配送相关，</w:t>
            </w:r>
            <w:r>
              <w:rPr>
                <w:rFonts w:hint="eastAsia" w:ascii="宋体" w:hAnsi="宋体" w:eastAsia="宋体" w:cs="宋体"/>
                <w:kern w:val="2"/>
                <w:sz w:val="21"/>
                <w:szCs w:val="21"/>
                <w:lang w:eastAsia="zh-CN"/>
              </w:rPr>
              <w:t>得</w:t>
            </w:r>
            <w:r>
              <w:rPr>
                <w:rFonts w:hint="eastAsia" w:ascii="宋体" w:hAnsi="宋体" w:eastAsia="宋体" w:cs="宋体"/>
                <w:kern w:val="2"/>
                <w:sz w:val="21"/>
                <w:szCs w:val="21"/>
                <w:lang w:val="en-US" w:eastAsia="zh-CN"/>
              </w:rPr>
              <w:t>20</w:t>
            </w:r>
            <w:r>
              <w:rPr>
                <w:rFonts w:hint="eastAsia" w:ascii="宋体" w:hAnsi="宋体" w:eastAsia="宋体" w:cs="宋体"/>
                <w:kern w:val="2"/>
                <w:sz w:val="21"/>
                <w:szCs w:val="21"/>
                <w:lang w:eastAsia="zh-CN"/>
              </w:rPr>
              <w:t>分；</w:t>
            </w:r>
          </w:p>
          <w:p w14:paraId="1AE7BD8D">
            <w:pPr>
              <w:keepNext w:val="0"/>
              <w:keepLines w:val="0"/>
              <w:widowControl w:val="0"/>
              <w:suppressLineNumbers w:val="0"/>
              <w:snapToGrid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4</w:t>
            </w:r>
            <w:r>
              <w:rPr>
                <w:rFonts w:hint="eastAsia" w:ascii="宋体" w:hAnsi="宋体" w:eastAsia="宋体" w:cs="宋体"/>
                <w:kern w:val="2"/>
                <w:sz w:val="21"/>
                <w:szCs w:val="21"/>
                <w:lang w:eastAsia="zh-CN"/>
              </w:rPr>
              <w:t>.具有食品安全管理体系认证证书的，</w:t>
            </w:r>
            <w:r>
              <w:rPr>
                <w:rFonts w:hint="eastAsia" w:ascii="宋体" w:hAnsi="宋体" w:cs="宋体"/>
                <w:kern w:val="2"/>
                <w:sz w:val="21"/>
                <w:szCs w:val="21"/>
                <w:lang w:val="en-US" w:eastAsia="zh-CN"/>
              </w:rPr>
              <w:t>认证范围与食材配送相关，</w:t>
            </w:r>
            <w:r>
              <w:rPr>
                <w:rFonts w:hint="eastAsia" w:ascii="宋体" w:hAnsi="宋体" w:eastAsia="宋体" w:cs="宋体"/>
                <w:kern w:val="2"/>
                <w:sz w:val="21"/>
                <w:szCs w:val="21"/>
                <w:lang w:eastAsia="zh-CN"/>
              </w:rPr>
              <w:t>得20分</w:t>
            </w:r>
            <w:bookmarkStart w:id="106" w:name="_GoBack"/>
            <w:bookmarkEnd w:id="106"/>
            <w:r>
              <w:rPr>
                <w:rFonts w:hint="eastAsia" w:ascii="宋体" w:hAnsi="宋体" w:eastAsia="宋体" w:cs="宋体"/>
                <w:kern w:val="2"/>
                <w:sz w:val="21"/>
                <w:szCs w:val="21"/>
                <w:lang w:eastAsia="zh-CN"/>
              </w:rPr>
              <w:t>；</w:t>
            </w:r>
          </w:p>
          <w:p w14:paraId="579E093D">
            <w:pPr>
              <w:keepNext w:val="0"/>
              <w:keepLines w:val="0"/>
              <w:widowControl w:val="0"/>
              <w:suppressLineNumbers w:val="0"/>
              <w:snapToGrid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.具有危害分析与关键控制点（HACCP）体系认证证书的，</w:t>
            </w:r>
            <w:r>
              <w:rPr>
                <w:rFonts w:hint="eastAsia" w:ascii="宋体" w:hAnsi="宋体" w:cs="宋体"/>
                <w:kern w:val="2"/>
                <w:sz w:val="21"/>
                <w:szCs w:val="21"/>
                <w:lang w:val="en-US" w:eastAsia="zh-CN"/>
              </w:rPr>
              <w:t>认证范围与食材配送相关，</w:t>
            </w:r>
            <w:r>
              <w:rPr>
                <w:rFonts w:hint="eastAsia" w:ascii="宋体" w:hAnsi="宋体" w:eastAsia="宋体" w:cs="宋体"/>
                <w:kern w:val="2"/>
                <w:sz w:val="21"/>
                <w:szCs w:val="21"/>
                <w:lang w:eastAsia="zh-CN"/>
              </w:rPr>
              <w:t>得20分。</w:t>
            </w:r>
          </w:p>
          <w:p w14:paraId="7E2DA2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【本项最高可得100分，最低为0分】</w:t>
            </w:r>
            <w:r>
              <w:rPr>
                <w:rFonts w:hint="eastAsia" w:ascii="宋体" w:hAnsi="宋体" w:eastAsia="宋体" w:cs="宋体"/>
                <w:kern w:val="2"/>
                <w:sz w:val="21"/>
                <w:szCs w:val="21"/>
                <w:lang w:eastAsia="zh-CN"/>
              </w:rPr>
              <w:br w:type="textWrapping"/>
            </w:r>
            <w:r>
              <w:rPr>
                <w:rFonts w:hint="eastAsia" w:ascii="宋体" w:hAnsi="宋体" w:eastAsia="宋体" w:cs="宋体"/>
                <w:b/>
                <w:bCs/>
                <w:kern w:val="2"/>
                <w:sz w:val="21"/>
                <w:szCs w:val="21"/>
                <w:lang w:eastAsia="zh-CN"/>
              </w:rPr>
              <w:t>（二）评分依据：</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1.同时提供：①在有效期内的认证证书；②全国认证认可信息公共服务平台（http://cx.cnca.cn/）上查询的认证信息截图且编号一致（证书状态为“有效”）；</w:t>
            </w:r>
          </w:p>
          <w:p w14:paraId="269E05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w:t>
            </w:r>
            <w:r>
              <w:rPr>
                <w:rFonts w:ascii="宋体" w:hAnsi="宋体" w:eastAsia="宋体" w:cs="宋体"/>
                <w:sz w:val="21"/>
                <w:szCs w:val="21"/>
              </w:rPr>
              <w:t>如投标人为新成立企业且成立时间不足认证申请试运行期限，或投标人处于该证书申请阶段尚未过试运行的，提供加盖投标人公章的情况说明视为满足要求，给予对应分值</w:t>
            </w:r>
            <w:r>
              <w:rPr>
                <w:rFonts w:hint="eastAsia" w:ascii="宋体" w:hAnsi="宋体" w:eastAsia="宋体" w:cs="宋体"/>
                <w:kern w:val="2"/>
                <w:sz w:val="21"/>
                <w:szCs w:val="21"/>
                <w:lang w:eastAsia="zh-CN"/>
              </w:rPr>
              <w:t>；</w:t>
            </w:r>
          </w:p>
          <w:p w14:paraId="669D6817">
            <w:pPr>
              <w:keepNext w:val="0"/>
              <w:keepLines w:val="0"/>
              <w:widowControl w:val="0"/>
              <w:suppressLineNumbers w:val="0"/>
              <w:snapToGrid w:val="0"/>
              <w:spacing w:before="0" w:beforeAutospacing="0" w:after="0" w:afterAutospacing="0"/>
              <w:ind w:left="0" w:right="0"/>
              <w:jc w:val="left"/>
              <w:rPr>
                <w:rFonts w:hint="eastAsia" w:ascii="宋体" w:hAnsi="宋体" w:eastAsia="宋体" w:cs="宋体"/>
                <w:kern w:val="2"/>
                <w:sz w:val="21"/>
                <w:lang w:eastAsia="zh-CN"/>
              </w:rPr>
            </w:pP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lang w:eastAsia="zh-CN"/>
              </w:rPr>
              <w:t>.以上证明材料要求提供扫描件</w:t>
            </w:r>
            <w:r>
              <w:rPr>
                <w:rFonts w:hint="eastAsia" w:ascii="宋体" w:hAnsi="宋体" w:eastAsia="宋体" w:cs="宋体"/>
                <w:kern w:val="2"/>
                <w:sz w:val="21"/>
                <w:szCs w:val="21"/>
                <w:lang w:val="en-US" w:eastAsia="zh-CN"/>
              </w:rPr>
              <w:t>或截图</w:t>
            </w:r>
            <w:r>
              <w:rPr>
                <w:rFonts w:hint="eastAsia" w:ascii="宋体" w:hAnsi="宋体" w:eastAsia="宋体" w:cs="宋体"/>
                <w:kern w:val="2"/>
                <w:sz w:val="21"/>
                <w:szCs w:val="21"/>
                <w:lang w:eastAsia="zh-CN"/>
              </w:rPr>
              <w:t>。评分中出现无证明资料或证书过期或专家无法凭所提供资料判断是否得分的情况，一律作不得分处理。</w:t>
            </w:r>
          </w:p>
        </w:tc>
      </w:tr>
      <w:tr w14:paraId="7DFE2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5AE35D78">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161F5930">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w:t>
            </w:r>
          </w:p>
        </w:tc>
        <w:tc>
          <w:tcPr>
            <w:tcW w:w="1852" w:type="dxa"/>
            <w:vAlign w:val="center"/>
          </w:tcPr>
          <w:p w14:paraId="16C1785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投标人同类项目业绩情况</w:t>
            </w:r>
          </w:p>
        </w:tc>
        <w:tc>
          <w:tcPr>
            <w:tcW w:w="698" w:type="dxa"/>
            <w:vAlign w:val="center"/>
          </w:tcPr>
          <w:p w14:paraId="1C504A8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3</w:t>
            </w:r>
          </w:p>
        </w:tc>
        <w:tc>
          <w:tcPr>
            <w:tcW w:w="5756" w:type="dxa"/>
            <w:gridSpan w:val="3"/>
            <w:vAlign w:val="top"/>
          </w:tcPr>
          <w:p w14:paraId="7ABD3B0A">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3FFBE7C5">
            <w:pPr>
              <w:keepNext w:val="0"/>
              <w:keepLines w:val="0"/>
              <w:widowControl/>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投标人自2023年</w:t>
            </w:r>
            <w:r>
              <w:rPr>
                <w:rFonts w:hint="eastAsia" w:ascii="宋体" w:hAnsi="宋体" w:eastAsia="宋体" w:cs="宋体"/>
                <w:kern w:val="2"/>
                <w:sz w:val="21"/>
                <w:szCs w:val="21"/>
                <w:lang w:val="en-US" w:eastAsia="zh-CN"/>
              </w:rPr>
              <w:t>8</w:t>
            </w:r>
            <w:r>
              <w:rPr>
                <w:rFonts w:hint="eastAsia" w:ascii="宋体" w:hAnsi="宋体" w:eastAsia="宋体" w:cs="宋体"/>
                <w:kern w:val="2"/>
                <w:sz w:val="21"/>
                <w:szCs w:val="21"/>
                <w:lang w:eastAsia="zh-CN"/>
              </w:rPr>
              <w:t>月1日至本项目投标截止之日（以合同签订日期为准），投标人具有</w:t>
            </w:r>
            <w:r>
              <w:rPr>
                <w:rFonts w:hint="eastAsia" w:ascii="宋体" w:hAnsi="宋体" w:eastAsia="宋体" w:cs="宋体"/>
                <w:kern w:val="2"/>
                <w:sz w:val="21"/>
                <w:lang w:val="en-US" w:eastAsia="zh-CN"/>
              </w:rPr>
              <w:t>食堂</w:t>
            </w:r>
            <w:r>
              <w:rPr>
                <w:rFonts w:hint="eastAsia" w:ascii="宋体" w:hAnsi="宋体" w:eastAsia="宋体" w:cs="宋体"/>
                <w:kern w:val="2"/>
                <w:sz w:val="21"/>
                <w:szCs w:val="21"/>
                <w:lang w:eastAsia="zh-CN"/>
              </w:rPr>
              <w:t>食材配送服务项目业绩，每提供一项得20分，最高得100分，未提供不得分。同一</w:t>
            </w:r>
            <w:r>
              <w:rPr>
                <w:rFonts w:hint="eastAsia"/>
                <w:sz w:val="21"/>
                <w:szCs w:val="21"/>
                <w:lang w:val="en-US" w:eastAsia="zh-CN"/>
              </w:rPr>
              <w:t>合同甲方</w:t>
            </w:r>
            <w:r>
              <w:rPr>
                <w:rFonts w:hint="eastAsia" w:ascii="宋体" w:hAnsi="宋体" w:eastAsia="宋体" w:cs="宋体"/>
                <w:kern w:val="2"/>
                <w:sz w:val="21"/>
                <w:szCs w:val="21"/>
                <w:lang w:eastAsia="zh-CN"/>
              </w:rPr>
              <w:t>或同一项目续签合同的不可重复得分。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【本项最高可得100分，最低为0分】</w:t>
            </w:r>
          </w:p>
          <w:p w14:paraId="19852E9D">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4FBC0397">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eastAsia="zh-CN"/>
              </w:rPr>
              <w:t>1.提供</w:t>
            </w:r>
            <w:r>
              <w:rPr>
                <w:rFonts w:hint="eastAsia" w:ascii="宋体" w:hAnsi="宋体" w:eastAsia="宋体" w:cs="宋体"/>
                <w:kern w:val="2"/>
                <w:sz w:val="21"/>
                <w:szCs w:val="21"/>
                <w:lang w:val="en-US" w:eastAsia="zh-CN"/>
              </w:rPr>
              <w:t>项目</w:t>
            </w:r>
            <w:r>
              <w:rPr>
                <w:rFonts w:hint="eastAsia" w:ascii="宋体" w:hAnsi="宋体" w:eastAsia="宋体" w:cs="宋体"/>
                <w:kern w:val="2"/>
                <w:sz w:val="21"/>
                <w:szCs w:val="21"/>
                <w:lang w:eastAsia="zh-CN"/>
              </w:rPr>
              <w:t>合同关键页（合同关键信息需包含合同首页、体现项目采购内容页、含签订合同双方的落款盖章页、签订日期的关键页）</w:t>
            </w:r>
            <w:r>
              <w:rPr>
                <w:rFonts w:hint="eastAsia" w:ascii="宋体" w:hAnsi="宋体" w:cs="宋体"/>
                <w:kern w:val="2"/>
                <w:sz w:val="21"/>
                <w:szCs w:val="21"/>
                <w:lang w:eastAsia="zh-CN"/>
              </w:rPr>
              <w:t>，</w:t>
            </w:r>
            <w:r>
              <w:rPr>
                <w:rFonts w:hint="eastAsia" w:ascii="宋体" w:hAnsi="宋体" w:eastAsia="宋体" w:cs="宋体"/>
                <w:kern w:val="2"/>
                <w:sz w:val="21"/>
                <w:szCs w:val="21"/>
                <w:lang w:eastAsia="zh-CN"/>
              </w:rPr>
              <w:t>一年一签的长期服务续签合同只计算一个业绩。</w:t>
            </w:r>
          </w:p>
          <w:p w14:paraId="253F73DC">
            <w:pPr>
              <w:keepNext w:val="0"/>
              <w:keepLines w:val="0"/>
              <w:widowControl w:val="0"/>
              <w:suppressLineNumbers w:val="0"/>
              <w:spacing w:before="0" w:beforeAutospacing="0" w:after="0" w:afterAutospacing="0"/>
              <w:ind w:left="0" w:right="0"/>
              <w:jc w:val="left"/>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2.</w:t>
            </w:r>
            <w:r>
              <w:rPr>
                <w:rFonts w:hint="default" w:ascii="宋体" w:hAnsi="宋体" w:eastAsia="宋体" w:cs="宋体"/>
                <w:kern w:val="2"/>
                <w:sz w:val="21"/>
                <w:szCs w:val="21"/>
                <w:lang w:val="en-US" w:eastAsia="zh-CN"/>
              </w:rPr>
              <w:t>涉及需要判断是否为同一项目续签的情形，如项目名称相同的，投标单位应提供能判别为不属同一项目续签的相关证明材料（如中标通知书或能反映不属同一项目续签的合同关键页），如不能判别，评标委员会有权对投标单位作出不利判断。项目名称相同、出具服务评价证明单位相同，但是经过重新组织招标、招标编号不同的，不属同一项目续签。</w:t>
            </w:r>
          </w:p>
          <w:p w14:paraId="4CDDA8A1">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lang w:val="en-US" w:eastAsia="zh-CN"/>
              </w:rPr>
            </w:pPr>
            <w:r>
              <w:rPr>
                <w:rFonts w:hint="eastAsia" w:ascii="宋体" w:hAnsi="宋体" w:cs="宋体"/>
                <w:kern w:val="2"/>
                <w:sz w:val="21"/>
                <w:szCs w:val="21"/>
                <w:lang w:val="en-US" w:eastAsia="zh-CN"/>
              </w:rPr>
              <w:t>3</w:t>
            </w:r>
            <w:r>
              <w:rPr>
                <w:rFonts w:hint="eastAsia" w:ascii="宋体" w:hAnsi="宋体" w:eastAsia="宋体" w:cs="宋体"/>
                <w:kern w:val="2"/>
                <w:sz w:val="21"/>
                <w:szCs w:val="21"/>
                <w:lang w:eastAsia="zh-CN"/>
              </w:rPr>
              <w:t>.</w:t>
            </w:r>
            <w:r>
              <w:rPr>
                <w:rFonts w:hint="eastAsia" w:ascii="宋体" w:hAnsi="宋体" w:eastAsia="宋体" w:cs="宋体"/>
                <w:kern w:val="2"/>
                <w:sz w:val="21"/>
                <w:szCs w:val="21"/>
                <w:lang w:val="en-US" w:eastAsia="zh-CN"/>
              </w:rPr>
              <w:t>以上资料均要求提供扫描件。评分中出现无证明资料或专家无法凭所提供资料判断是否得分的情况，一律作不得分处理。</w:t>
            </w:r>
          </w:p>
        </w:tc>
      </w:tr>
      <w:tr w14:paraId="5AA6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continue"/>
            <w:vAlign w:val="center"/>
          </w:tcPr>
          <w:p w14:paraId="299C19BC">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5D7129ED">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3</w:t>
            </w:r>
          </w:p>
        </w:tc>
        <w:tc>
          <w:tcPr>
            <w:tcW w:w="1852" w:type="dxa"/>
            <w:vAlign w:val="center"/>
          </w:tcPr>
          <w:p w14:paraId="35652175">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履约评价情况</w:t>
            </w:r>
          </w:p>
        </w:tc>
        <w:tc>
          <w:tcPr>
            <w:tcW w:w="698" w:type="dxa"/>
            <w:vAlign w:val="center"/>
          </w:tcPr>
          <w:p w14:paraId="4A32E834">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3</w:t>
            </w:r>
          </w:p>
        </w:tc>
        <w:tc>
          <w:tcPr>
            <w:tcW w:w="5756" w:type="dxa"/>
            <w:gridSpan w:val="3"/>
            <w:vAlign w:val="top"/>
          </w:tcPr>
          <w:p w14:paraId="6DEA1278">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（一）评分内容：</w:t>
            </w:r>
          </w:p>
          <w:p w14:paraId="3247B97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投标人在上述“</w:t>
            </w:r>
            <w:r>
              <w:rPr>
                <w:rFonts w:hint="eastAsia" w:ascii="宋体" w:hAnsi="宋体" w:cs="宋体"/>
                <w:kern w:val="2"/>
                <w:sz w:val="21"/>
                <w:szCs w:val="21"/>
                <w:lang w:val="en-US" w:eastAsia="zh-CN"/>
              </w:rPr>
              <w:t>投标人</w:t>
            </w:r>
            <w:r>
              <w:rPr>
                <w:rFonts w:hint="eastAsia" w:ascii="宋体" w:hAnsi="宋体" w:eastAsia="宋体" w:cs="宋体"/>
                <w:kern w:val="2"/>
                <w:sz w:val="21"/>
                <w:szCs w:val="21"/>
                <w:lang w:eastAsia="zh-CN"/>
              </w:rPr>
              <w:t>同类项目业绩</w:t>
            </w:r>
            <w:r>
              <w:rPr>
                <w:rFonts w:hint="eastAsia"/>
                <w:lang w:val="en-US" w:eastAsia="zh-CN"/>
              </w:rPr>
              <w:t>情况</w:t>
            </w:r>
            <w:r>
              <w:rPr>
                <w:rFonts w:hint="eastAsia" w:ascii="宋体" w:hAnsi="宋体" w:eastAsia="宋体" w:cs="宋体"/>
                <w:kern w:val="2"/>
                <w:sz w:val="21"/>
                <w:szCs w:val="21"/>
                <w:lang w:eastAsia="zh-CN"/>
              </w:rPr>
              <w:t>”评审项中参加评审并被认定有效的业绩，能够提供</w:t>
            </w:r>
            <w:r>
              <w:rPr>
                <w:rFonts w:hint="eastAsia" w:ascii="宋体" w:hAnsi="宋体" w:cs="宋体"/>
                <w:kern w:val="2"/>
                <w:sz w:val="21"/>
                <w:szCs w:val="21"/>
                <w:lang w:val="en-US" w:eastAsia="zh-CN"/>
              </w:rPr>
              <w:t>合同甲方</w:t>
            </w:r>
            <w:r>
              <w:rPr>
                <w:rFonts w:hint="eastAsia" w:ascii="宋体" w:hAnsi="宋体" w:eastAsia="宋体" w:cs="宋体"/>
                <w:kern w:val="2"/>
                <w:sz w:val="21"/>
                <w:szCs w:val="21"/>
                <w:lang w:eastAsia="zh-CN"/>
              </w:rPr>
              <w:t>出具的履约评价，且评价为优或满意（或</w:t>
            </w:r>
            <w:r>
              <w:rPr>
                <w:rFonts w:hint="eastAsia" w:ascii="宋体" w:hAnsi="宋体" w:cs="宋体"/>
                <w:kern w:val="2"/>
                <w:sz w:val="21"/>
                <w:szCs w:val="21"/>
                <w:lang w:val="en-US" w:eastAsia="zh-CN"/>
              </w:rPr>
              <w:t>最高</w:t>
            </w:r>
            <w:r>
              <w:rPr>
                <w:rFonts w:hint="eastAsia" w:ascii="宋体" w:hAnsi="宋体" w:eastAsia="宋体" w:cs="宋体"/>
                <w:kern w:val="2"/>
                <w:sz w:val="21"/>
                <w:szCs w:val="21"/>
                <w:lang w:eastAsia="zh-CN"/>
              </w:rPr>
              <w:t>评价）的，每提供1份履约评价</w:t>
            </w:r>
            <w:r>
              <w:rPr>
                <w:rFonts w:hint="eastAsia" w:ascii="宋体" w:hAnsi="宋体" w:eastAsia="宋体" w:cs="宋体"/>
                <w:kern w:val="2"/>
                <w:sz w:val="21"/>
                <w:szCs w:val="21"/>
                <w:lang w:val="en-US" w:eastAsia="zh-CN"/>
              </w:rPr>
              <w:t>证明</w:t>
            </w:r>
            <w:r>
              <w:rPr>
                <w:rFonts w:hint="eastAsia" w:ascii="宋体" w:hAnsi="宋体" w:eastAsia="宋体" w:cs="宋体"/>
                <w:kern w:val="2"/>
                <w:sz w:val="21"/>
                <w:szCs w:val="21"/>
                <w:lang w:eastAsia="zh-CN"/>
              </w:rPr>
              <w:t>得</w:t>
            </w:r>
            <w:r>
              <w:rPr>
                <w:rFonts w:hint="eastAsia" w:ascii="宋体" w:hAnsi="宋体" w:eastAsia="宋体" w:cs="宋体"/>
                <w:kern w:val="2"/>
                <w:sz w:val="21"/>
                <w:szCs w:val="21"/>
                <w:lang w:val="en-US" w:eastAsia="zh-CN"/>
              </w:rPr>
              <w:t>20</w:t>
            </w:r>
            <w:r>
              <w:rPr>
                <w:rFonts w:hint="eastAsia" w:ascii="宋体" w:hAnsi="宋体" w:eastAsia="宋体" w:cs="宋体"/>
                <w:kern w:val="2"/>
                <w:sz w:val="21"/>
                <w:szCs w:val="21"/>
                <w:lang w:eastAsia="zh-CN"/>
              </w:rPr>
              <w:t>分，</w:t>
            </w:r>
            <w:r>
              <w:rPr>
                <w:rFonts w:hint="eastAsia" w:ascii="宋体" w:hAnsi="宋体" w:eastAsia="宋体" w:cs="宋体"/>
                <w:kern w:val="2"/>
                <w:sz w:val="21"/>
                <w:szCs w:val="21"/>
                <w:lang w:val="en-US" w:eastAsia="zh-CN"/>
              </w:rPr>
              <w:t>本项</w:t>
            </w:r>
            <w:r>
              <w:rPr>
                <w:rFonts w:hint="eastAsia" w:ascii="宋体" w:hAnsi="宋体" w:eastAsia="宋体" w:cs="宋体"/>
                <w:kern w:val="2"/>
                <w:sz w:val="21"/>
                <w:szCs w:val="21"/>
                <w:lang w:eastAsia="zh-CN"/>
              </w:rPr>
              <w:t>最高</w:t>
            </w:r>
            <w:r>
              <w:rPr>
                <w:rFonts w:hint="eastAsia" w:ascii="宋体" w:hAnsi="宋体" w:eastAsia="宋体" w:cs="宋体"/>
                <w:kern w:val="2"/>
                <w:sz w:val="21"/>
                <w:szCs w:val="21"/>
                <w:lang w:val="en-US" w:eastAsia="zh-CN"/>
              </w:rPr>
              <w:t>100</w:t>
            </w:r>
            <w:r>
              <w:rPr>
                <w:rFonts w:hint="eastAsia" w:ascii="宋体" w:hAnsi="宋体" w:eastAsia="宋体" w:cs="宋体"/>
                <w:kern w:val="2"/>
                <w:sz w:val="21"/>
                <w:szCs w:val="21"/>
                <w:lang w:eastAsia="zh-CN"/>
              </w:rPr>
              <w:t>分。同一合同甲方或同一项目续签合同的不可重复得分。</w:t>
            </w:r>
          </w:p>
          <w:p w14:paraId="4389A9DD">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（二）评分依据：</w:t>
            </w:r>
          </w:p>
          <w:p w14:paraId="4DD7E24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提供</w:t>
            </w:r>
            <w:r>
              <w:rPr>
                <w:rFonts w:hint="eastAsia" w:ascii="宋体" w:hAnsi="宋体" w:cs="宋体"/>
                <w:kern w:val="2"/>
                <w:sz w:val="21"/>
                <w:szCs w:val="21"/>
                <w:lang w:val="en-US" w:eastAsia="zh-CN"/>
              </w:rPr>
              <w:t>合同甲方</w:t>
            </w:r>
            <w:r>
              <w:rPr>
                <w:rFonts w:hint="eastAsia" w:ascii="宋体" w:hAnsi="宋体" w:eastAsia="宋体" w:cs="宋体"/>
                <w:kern w:val="2"/>
                <w:sz w:val="21"/>
                <w:szCs w:val="21"/>
                <w:lang w:val="en-US" w:eastAsia="zh-CN"/>
              </w:rPr>
              <w:t>加盖公章</w:t>
            </w:r>
            <w:r>
              <w:rPr>
                <w:rFonts w:hint="eastAsia" w:ascii="宋体" w:hAnsi="宋体" w:cs="宋体"/>
                <w:kern w:val="2"/>
                <w:sz w:val="21"/>
                <w:szCs w:val="21"/>
                <w:lang w:val="en-US" w:eastAsia="zh-CN"/>
              </w:rPr>
              <w:t>或业务章</w:t>
            </w:r>
            <w:r>
              <w:rPr>
                <w:rFonts w:hint="eastAsia" w:ascii="宋体" w:hAnsi="宋体" w:eastAsia="宋体" w:cs="宋体"/>
                <w:kern w:val="2"/>
                <w:sz w:val="21"/>
                <w:szCs w:val="21"/>
                <w:lang w:val="en-US" w:eastAsia="zh-CN"/>
              </w:rPr>
              <w:t>的履约评价为</w:t>
            </w:r>
            <w:r>
              <w:rPr>
                <w:rFonts w:hint="eastAsia" w:ascii="宋体" w:hAnsi="宋体" w:eastAsia="宋体" w:cs="宋体"/>
                <w:kern w:val="2"/>
                <w:sz w:val="21"/>
                <w:szCs w:val="21"/>
                <w:lang w:eastAsia="zh-CN"/>
              </w:rPr>
              <w:t>优或满意（或</w:t>
            </w:r>
            <w:r>
              <w:rPr>
                <w:rFonts w:hint="eastAsia" w:ascii="宋体" w:hAnsi="宋体" w:cs="宋体"/>
                <w:kern w:val="2"/>
                <w:sz w:val="21"/>
                <w:szCs w:val="21"/>
                <w:lang w:val="en-US" w:eastAsia="zh-CN"/>
              </w:rPr>
              <w:t>最高</w:t>
            </w:r>
            <w:r>
              <w:rPr>
                <w:rFonts w:hint="eastAsia" w:ascii="宋体" w:hAnsi="宋体" w:eastAsia="宋体" w:cs="宋体"/>
                <w:kern w:val="2"/>
                <w:sz w:val="21"/>
                <w:szCs w:val="21"/>
                <w:lang w:eastAsia="zh-CN"/>
              </w:rPr>
              <w:t>评价）的</w:t>
            </w:r>
            <w:r>
              <w:rPr>
                <w:rFonts w:hint="eastAsia" w:ascii="宋体" w:hAnsi="宋体" w:eastAsia="宋体" w:cs="宋体"/>
                <w:kern w:val="2"/>
                <w:sz w:val="21"/>
                <w:szCs w:val="21"/>
                <w:lang w:val="en-US" w:eastAsia="zh-CN"/>
              </w:rPr>
              <w:t>证明文件。证明文件的内容包括但不限于项目名称、总体履约评价结果、出具证明的签署日期等相关内容，如提交的证明文件其评价结果没有结论而仅是打分的（比如打100分、98分、95分、85分等的）不计分。</w:t>
            </w:r>
            <w:r>
              <w:rPr>
                <w:rFonts w:hint="eastAsia" w:ascii="宋体" w:hAnsi="宋体" w:eastAsia="宋体" w:cs="宋体"/>
                <w:kern w:val="2"/>
                <w:sz w:val="21"/>
                <w:szCs w:val="21"/>
                <w:lang w:eastAsia="zh-CN"/>
              </w:rPr>
              <w:t>且出具时间须在业绩合同约定的履行期届满后，否则不得分。</w:t>
            </w:r>
            <w:r>
              <w:rPr>
                <w:rFonts w:hint="eastAsia" w:ascii="宋体" w:hAnsi="宋体" w:eastAsia="宋体" w:cs="宋体"/>
                <w:kern w:val="2"/>
                <w:sz w:val="21"/>
                <w:szCs w:val="21"/>
                <w:lang w:val="en-US" w:eastAsia="zh-CN"/>
              </w:rPr>
              <w:t>以上资料均要求提供扫描件。评分中出现无证明资料或专家无法凭所提供资料判断是否得分的情况，一律作不得分处理</w:t>
            </w:r>
            <w:r>
              <w:rPr>
                <w:rFonts w:hint="eastAsia" w:ascii="宋体" w:hAnsi="宋体" w:eastAsia="宋体" w:cs="宋体"/>
                <w:kern w:val="2"/>
                <w:sz w:val="21"/>
                <w:szCs w:val="21"/>
                <w:lang w:eastAsia="zh-CN"/>
              </w:rPr>
              <w:t>。</w:t>
            </w:r>
          </w:p>
        </w:tc>
      </w:tr>
      <w:tr w14:paraId="7516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1004" w:hRule="atLeast"/>
          <w:tblCellSpacing w:w="0" w:type="dxa"/>
          <w:jc w:val="center"/>
        </w:trPr>
        <w:tc>
          <w:tcPr>
            <w:tcW w:w="606" w:type="dxa"/>
            <w:gridSpan w:val="2"/>
            <w:vMerge w:val="continue"/>
            <w:vAlign w:val="center"/>
          </w:tcPr>
          <w:p w14:paraId="6F9C6C0B">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63725599">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4</w:t>
            </w:r>
          </w:p>
        </w:tc>
        <w:tc>
          <w:tcPr>
            <w:tcW w:w="1852" w:type="dxa"/>
            <w:vAlign w:val="center"/>
          </w:tcPr>
          <w:p w14:paraId="2F37B25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信息化能力</w:t>
            </w:r>
          </w:p>
        </w:tc>
        <w:tc>
          <w:tcPr>
            <w:tcW w:w="698" w:type="dxa"/>
            <w:vAlign w:val="center"/>
          </w:tcPr>
          <w:p w14:paraId="1EDB0485">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4</w:t>
            </w:r>
          </w:p>
        </w:tc>
        <w:tc>
          <w:tcPr>
            <w:tcW w:w="5756" w:type="dxa"/>
            <w:gridSpan w:val="3"/>
            <w:vAlign w:val="top"/>
          </w:tcPr>
          <w:p w14:paraId="68601A6C">
            <w:pPr>
              <w:pStyle w:val="16"/>
              <w:rPr>
                <w:rFonts w:hint="eastAsia" w:ascii="宋体" w:hAnsi="宋体" w:eastAsia="宋体" w:cs="宋体"/>
                <w:kern w:val="2"/>
                <w:sz w:val="21"/>
                <w:szCs w:val="21"/>
                <w:lang w:eastAsia="zh-CN"/>
              </w:rPr>
            </w:pPr>
            <w:r>
              <w:rPr>
                <w:rFonts w:hint="eastAsia" w:ascii="宋体" w:hAnsi="宋体" w:eastAsia="宋体" w:cs="宋体"/>
                <w:b/>
                <w:bCs/>
                <w:sz w:val="21"/>
                <w:szCs w:val="21"/>
                <w:lang w:eastAsia="zh-CN"/>
              </w:rPr>
              <w:t>（一）评分内容：</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考察投标人具有自有或租赁或购买的信息化管理类系统（软件），根据以下情况进行打分：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1.具有农产品</w:t>
            </w:r>
            <w:r>
              <w:rPr>
                <w:rFonts w:hint="eastAsia" w:hAnsi="宋体" w:cs="宋体"/>
                <w:kern w:val="2"/>
                <w:sz w:val="21"/>
                <w:szCs w:val="21"/>
                <w:lang w:val="en-US" w:eastAsia="zh-CN"/>
              </w:rPr>
              <w:t>溯源</w:t>
            </w:r>
            <w:r>
              <w:rPr>
                <w:rFonts w:hint="eastAsia" w:ascii="宋体" w:hAnsi="宋体" w:eastAsia="宋体" w:cs="宋体"/>
                <w:kern w:val="2"/>
                <w:sz w:val="21"/>
                <w:szCs w:val="21"/>
                <w:lang w:eastAsia="zh-CN"/>
              </w:rPr>
              <w:t>类系统的，得25分；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2.具有供应链管理类系统的，得25分；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3.具有采配管理类系统的，得25分；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4.具有生鲜食材分拣类系统的，得25分。</w:t>
            </w:r>
            <w:r>
              <w:rPr>
                <w:rFonts w:hint="eastAsia" w:ascii="宋体" w:hAnsi="宋体" w:eastAsia="宋体" w:cs="宋体"/>
                <w:kern w:val="2"/>
                <w:sz w:val="21"/>
                <w:szCs w:val="21"/>
                <w:lang w:eastAsia="zh-CN"/>
              </w:rPr>
              <w:br w:type="textWrapping"/>
            </w:r>
            <w:r>
              <w:rPr>
                <w:rFonts w:hint="eastAsia" w:ascii="宋体" w:hAnsi="宋体" w:eastAsia="宋体" w:cs="宋体"/>
                <w:sz w:val="21"/>
                <w:szCs w:val="21"/>
                <w:lang w:eastAsia="zh-CN"/>
              </w:rPr>
              <w:t>【本项最高可得100分，最低为0分】</w:t>
            </w:r>
            <w:r>
              <w:rPr>
                <w:rFonts w:hint="eastAsia" w:ascii="宋体" w:hAnsi="宋体" w:eastAsia="宋体" w:cs="宋体"/>
                <w:kern w:val="2"/>
                <w:sz w:val="21"/>
                <w:szCs w:val="21"/>
                <w:lang w:eastAsia="zh-CN"/>
              </w:rPr>
              <w:br w:type="textWrapping"/>
            </w:r>
            <w:r>
              <w:rPr>
                <w:rFonts w:hint="eastAsia" w:ascii="宋体" w:hAnsi="宋体" w:eastAsia="宋体" w:cs="宋体"/>
                <w:b/>
                <w:bCs/>
                <w:kern w:val="2"/>
                <w:sz w:val="21"/>
                <w:szCs w:val="21"/>
                <w:lang w:eastAsia="zh-CN"/>
              </w:rPr>
              <w:t>（二）评分依据：</w:t>
            </w:r>
          </w:p>
          <w:p w14:paraId="68E50D3A">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按照以下要求提供证明材料：</w:t>
            </w:r>
          </w:p>
          <w:p w14:paraId="7EE937A2">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1.如为自有的，同时提供：①国家版权局颁发的计算机软件著作权登记证书扫描件，需能体现投标人为著作权人；②中国软件登记查询服务平台（https://register.ccopyright.com.cn/login.html）查询截图。</w:t>
            </w:r>
          </w:p>
          <w:p w14:paraId="255B872F">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如为租赁（或购买）的，同时提供：①租赁（或购买）合同扫描件，需能体现投标人为租赁人或购买人；②出租（售）方以上每类系统由国家版权局颁发的计算机软件著作权登记证书扫描件，需能体现著作权人为出租（售）人；③中国软件登记查询服务平台（https://register.ccopyright.com.cn/login.html）查询截图。</w:t>
            </w:r>
          </w:p>
          <w:p w14:paraId="36858285">
            <w:pPr>
              <w:pStyle w:val="16"/>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如未按要求提供证明材料，或所提供的证明材料未能体现上述评分内容的，视为该证明材料无效。</w:t>
            </w:r>
          </w:p>
          <w:p w14:paraId="46DFF786">
            <w:pPr>
              <w:pStyle w:val="16"/>
              <w:rPr>
                <w:rFonts w:hint="eastAsia" w:ascii="宋体" w:hAnsi="宋体" w:eastAsia="宋体" w:cs="宋体"/>
                <w:kern w:val="2"/>
                <w:sz w:val="21"/>
                <w:lang w:eastAsia="zh-CN"/>
              </w:rPr>
            </w:pPr>
            <w:r>
              <w:rPr>
                <w:rFonts w:hint="eastAsia" w:ascii="宋体" w:hAnsi="宋体" w:eastAsia="宋体" w:cs="宋体"/>
                <w:kern w:val="2"/>
                <w:sz w:val="21"/>
                <w:szCs w:val="21"/>
                <w:lang w:eastAsia="zh-CN"/>
              </w:rPr>
              <w:t>注：软件产品名称与</w:t>
            </w:r>
            <w:r>
              <w:rPr>
                <w:rFonts w:hint="eastAsia"/>
                <w:sz w:val="21"/>
                <w:szCs w:val="21"/>
                <w:lang w:val="en-US" w:eastAsia="zh-CN"/>
              </w:rPr>
              <w:t>招标文件</w:t>
            </w:r>
            <w:r>
              <w:rPr>
                <w:rFonts w:hint="eastAsia" w:ascii="宋体" w:hAnsi="宋体" w:eastAsia="宋体" w:cs="宋体"/>
                <w:kern w:val="2"/>
                <w:sz w:val="21"/>
                <w:szCs w:val="21"/>
                <w:lang w:eastAsia="zh-CN"/>
              </w:rPr>
              <w:t>要求不必完全一致，用途一致或相近即可</w:t>
            </w:r>
            <w:r>
              <w:rPr>
                <w:rFonts w:hint="eastAsia"/>
                <w:sz w:val="21"/>
                <w:szCs w:val="21"/>
                <w:lang w:eastAsia="zh-CN"/>
              </w:rPr>
              <w:t>，</w:t>
            </w:r>
            <w:r>
              <w:rPr>
                <w:rFonts w:hint="eastAsia"/>
                <w:sz w:val="21"/>
                <w:szCs w:val="21"/>
                <w:lang w:val="en-US" w:eastAsia="zh-CN"/>
              </w:rPr>
              <w:t>由评审委员会判定</w:t>
            </w:r>
            <w:r>
              <w:rPr>
                <w:rFonts w:hint="eastAsia" w:ascii="宋体" w:hAnsi="宋体" w:eastAsia="宋体" w:cs="宋体"/>
                <w:kern w:val="2"/>
                <w:sz w:val="21"/>
                <w:szCs w:val="21"/>
                <w:lang w:eastAsia="zh-CN"/>
              </w:rPr>
              <w:t>；若同一软件产品系统满足以上多项功能的，可累计得分。</w:t>
            </w:r>
            <w:r>
              <w:rPr>
                <w:rFonts w:hint="eastAsia" w:ascii="宋体" w:hAnsi="宋体" w:cs="宋体"/>
                <w:kern w:val="2"/>
                <w:sz w:val="21"/>
                <w:szCs w:val="21"/>
                <w:highlight w:val="none"/>
                <w:lang w:val="en-US" w:eastAsia="zh-CN"/>
              </w:rPr>
              <w:t>类别相同的证书不重复</w:t>
            </w:r>
            <w:r>
              <w:rPr>
                <w:rFonts w:hint="eastAsia" w:ascii="宋体" w:hAnsi="宋体" w:cs="宋体"/>
                <w:kern w:val="2"/>
                <w:sz w:val="21"/>
                <w:szCs w:val="21"/>
                <w:lang w:val="en-US" w:eastAsia="zh-CN"/>
              </w:rPr>
              <w:t>计分</w:t>
            </w:r>
            <w:r>
              <w:rPr>
                <w:rFonts w:hint="eastAsia" w:hAnsi="宋体" w:cs="宋体"/>
                <w:kern w:val="2"/>
                <w:sz w:val="21"/>
                <w:szCs w:val="21"/>
                <w:lang w:val="en-US" w:eastAsia="zh-CN"/>
              </w:rPr>
              <w:t>。</w:t>
            </w:r>
          </w:p>
        </w:tc>
      </w:tr>
      <w:tr w14:paraId="4AB0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549" w:hRule="atLeast"/>
          <w:tblCellSpacing w:w="0" w:type="dxa"/>
          <w:jc w:val="center"/>
        </w:trPr>
        <w:tc>
          <w:tcPr>
            <w:tcW w:w="606" w:type="dxa"/>
            <w:gridSpan w:val="2"/>
            <w:vMerge w:val="continue"/>
            <w:vAlign w:val="center"/>
          </w:tcPr>
          <w:p w14:paraId="1572633D">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6A10441B">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5</w:t>
            </w:r>
          </w:p>
        </w:tc>
        <w:tc>
          <w:tcPr>
            <w:tcW w:w="1852" w:type="dxa"/>
            <w:shd w:val="clear" w:color="auto" w:fill="auto"/>
            <w:vAlign w:val="center"/>
          </w:tcPr>
          <w:p w14:paraId="3E92D8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食品安全责任险</w:t>
            </w:r>
          </w:p>
        </w:tc>
        <w:tc>
          <w:tcPr>
            <w:tcW w:w="698" w:type="dxa"/>
            <w:shd w:val="clear" w:color="auto" w:fill="auto"/>
            <w:vAlign w:val="center"/>
          </w:tcPr>
          <w:p w14:paraId="051714B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5</w:t>
            </w:r>
          </w:p>
        </w:tc>
        <w:tc>
          <w:tcPr>
            <w:tcW w:w="5756" w:type="dxa"/>
            <w:gridSpan w:val="3"/>
            <w:shd w:val="clear" w:color="auto" w:fill="auto"/>
            <w:vAlign w:val="center"/>
          </w:tcPr>
          <w:p w14:paraId="30B44D2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（一）评审内容：</w:t>
            </w:r>
          </w:p>
          <w:p w14:paraId="64F9623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根据投标人购买的</w:t>
            </w:r>
            <w:r>
              <w:rPr>
                <w:rFonts w:hint="eastAsia" w:ascii="宋体" w:hAnsi="宋体" w:cs="宋体"/>
                <w:kern w:val="2"/>
                <w:sz w:val="21"/>
                <w:szCs w:val="21"/>
                <w:lang w:eastAsia="zh-CN"/>
              </w:rPr>
              <w:t>（</w:t>
            </w:r>
            <w:r>
              <w:rPr>
                <w:rFonts w:hint="eastAsia" w:ascii="宋体" w:hAnsi="宋体" w:cs="宋体"/>
                <w:kern w:val="2"/>
                <w:sz w:val="21"/>
                <w:szCs w:val="21"/>
                <w:lang w:val="en-US" w:eastAsia="zh-CN"/>
              </w:rPr>
              <w:t>或承诺中标后购买</w:t>
            </w:r>
            <w:r>
              <w:rPr>
                <w:rFonts w:hint="eastAsia" w:ascii="宋体" w:hAnsi="宋体" w:cs="宋体"/>
                <w:kern w:val="2"/>
                <w:sz w:val="21"/>
                <w:szCs w:val="21"/>
                <w:lang w:eastAsia="zh-CN"/>
              </w:rPr>
              <w:t>）</w:t>
            </w:r>
            <w:r>
              <w:rPr>
                <w:rFonts w:hint="eastAsia" w:ascii="宋体" w:hAnsi="宋体" w:eastAsia="宋体" w:cs="宋体"/>
                <w:kern w:val="2"/>
                <w:sz w:val="21"/>
                <w:szCs w:val="21"/>
                <w:lang w:eastAsia="zh-CN"/>
              </w:rPr>
              <w:t>食品安全责任险累计赔偿限额以及每次事故赔偿限额情况进行评审：</w:t>
            </w:r>
          </w:p>
          <w:p w14:paraId="7108A01B">
            <w:pPr>
              <w:keepNext w:val="0"/>
              <w:keepLines w:val="0"/>
              <w:widowControl w:val="0"/>
              <w:numPr>
                <w:ilvl w:val="0"/>
                <w:numId w:val="7"/>
              </w:numPr>
              <w:suppressLineNumbers w:val="0"/>
              <w:autoSpaceDE/>
              <w:autoSpaceDN/>
              <w:adjustRightInd/>
              <w:spacing w:before="0" w:beforeAutospacing="0" w:after="0" w:afterAutospacing="0"/>
              <w:ind w:left="0" w:right="0"/>
              <w:jc w:val="both"/>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累计赔偿限额：</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①累计赔偿限额≥</w:t>
            </w:r>
            <w:r>
              <w:rPr>
                <w:rFonts w:hint="eastAsia" w:ascii="宋体" w:hAnsi="宋体" w:cs="宋体"/>
                <w:kern w:val="2"/>
                <w:sz w:val="21"/>
                <w:szCs w:val="21"/>
                <w:lang w:val="en-US" w:eastAsia="zh-CN"/>
              </w:rPr>
              <w:t>4</w:t>
            </w:r>
            <w:r>
              <w:rPr>
                <w:rFonts w:hint="eastAsia" w:ascii="宋体" w:hAnsi="宋体" w:eastAsia="宋体" w:cs="宋体"/>
                <w:kern w:val="2"/>
                <w:sz w:val="21"/>
                <w:szCs w:val="21"/>
                <w:lang w:eastAsia="zh-CN"/>
              </w:rPr>
              <w:t>0000万，得50分；</w:t>
            </w:r>
            <w:r>
              <w:rPr>
                <w:rFonts w:hint="eastAsia" w:ascii="宋体" w:hAnsi="宋体" w:eastAsia="宋体" w:cs="宋体"/>
                <w:kern w:val="2"/>
                <w:sz w:val="21"/>
                <w:lang w:eastAsia="zh-CN"/>
              </w:rPr>
              <w:br w:type="textWrapping"/>
            </w:r>
            <w:r>
              <w:rPr>
                <w:rFonts w:hint="eastAsia" w:ascii="宋体" w:hAnsi="宋体" w:eastAsia="宋体" w:cs="宋体"/>
                <w:kern w:val="2"/>
                <w:sz w:val="21"/>
                <w:szCs w:val="21"/>
                <w:lang w:eastAsia="zh-CN"/>
              </w:rPr>
              <w:t>②</w:t>
            </w:r>
            <w:r>
              <w:rPr>
                <w:rFonts w:hint="eastAsia" w:ascii="宋体" w:hAnsi="宋体" w:cs="宋体"/>
                <w:kern w:val="2"/>
                <w:sz w:val="21"/>
                <w:szCs w:val="21"/>
                <w:lang w:val="en-US" w:eastAsia="zh-CN"/>
              </w:rPr>
              <w:t>3</w:t>
            </w:r>
            <w:r>
              <w:rPr>
                <w:rFonts w:hint="eastAsia" w:ascii="宋体" w:hAnsi="宋体" w:eastAsia="宋体" w:cs="宋体"/>
                <w:kern w:val="2"/>
                <w:sz w:val="21"/>
                <w:szCs w:val="21"/>
                <w:lang w:eastAsia="zh-CN"/>
              </w:rPr>
              <w:t>0000万≤累计赔偿限额＜</w:t>
            </w:r>
            <w:r>
              <w:rPr>
                <w:rFonts w:hint="eastAsia" w:ascii="宋体" w:hAnsi="宋体" w:cs="宋体"/>
                <w:kern w:val="2"/>
                <w:sz w:val="21"/>
                <w:szCs w:val="21"/>
                <w:lang w:val="en-US" w:eastAsia="zh-CN"/>
              </w:rPr>
              <w:t>4</w:t>
            </w:r>
            <w:r>
              <w:rPr>
                <w:rFonts w:hint="eastAsia" w:ascii="宋体" w:hAnsi="宋体" w:eastAsia="宋体" w:cs="宋体"/>
                <w:kern w:val="2"/>
                <w:sz w:val="21"/>
                <w:szCs w:val="21"/>
                <w:lang w:eastAsia="zh-CN"/>
              </w:rPr>
              <w:t>0000万，得30分；</w:t>
            </w:r>
            <w:r>
              <w:rPr>
                <w:rFonts w:hint="eastAsia" w:ascii="宋体" w:hAnsi="宋体" w:eastAsia="宋体" w:cs="宋体"/>
                <w:kern w:val="2"/>
                <w:sz w:val="21"/>
                <w:lang w:eastAsia="zh-CN"/>
              </w:rPr>
              <w:br w:type="textWrapping"/>
            </w:r>
            <w:r>
              <w:rPr>
                <w:rFonts w:hint="eastAsia" w:ascii="宋体" w:hAnsi="宋体" w:eastAsia="宋体" w:cs="宋体"/>
                <w:kern w:val="2"/>
                <w:sz w:val="21"/>
                <w:szCs w:val="21"/>
                <w:lang w:eastAsia="zh-CN"/>
              </w:rPr>
              <w:t>③</w:t>
            </w:r>
            <w:r>
              <w:rPr>
                <w:rFonts w:hint="eastAsia" w:ascii="宋体" w:hAnsi="宋体" w:cs="宋体"/>
                <w:kern w:val="2"/>
                <w:sz w:val="21"/>
                <w:szCs w:val="21"/>
                <w:lang w:val="en-US" w:eastAsia="zh-CN"/>
              </w:rPr>
              <w:t>10</w:t>
            </w:r>
            <w:r>
              <w:rPr>
                <w:rFonts w:hint="eastAsia" w:ascii="宋体" w:hAnsi="宋体" w:eastAsia="宋体" w:cs="宋体"/>
                <w:kern w:val="2"/>
                <w:sz w:val="21"/>
                <w:szCs w:val="21"/>
                <w:lang w:eastAsia="zh-CN"/>
              </w:rPr>
              <w:t>0</w:t>
            </w:r>
            <w:r>
              <w:rPr>
                <w:rFonts w:hint="eastAsia" w:ascii="宋体" w:hAnsi="宋体" w:eastAsia="宋体" w:cs="宋体"/>
                <w:kern w:val="2"/>
                <w:sz w:val="21"/>
                <w:szCs w:val="21"/>
                <w:lang w:val="en-US" w:eastAsia="zh-CN"/>
              </w:rPr>
              <w:t>0</w:t>
            </w:r>
            <w:r>
              <w:rPr>
                <w:rFonts w:hint="eastAsia" w:ascii="宋体" w:hAnsi="宋体" w:eastAsia="宋体" w:cs="宋体"/>
                <w:kern w:val="2"/>
                <w:sz w:val="21"/>
                <w:szCs w:val="21"/>
                <w:lang w:eastAsia="zh-CN"/>
              </w:rPr>
              <w:t>0万≤累计赔偿限额＜</w:t>
            </w:r>
            <w:r>
              <w:rPr>
                <w:rFonts w:hint="eastAsia" w:ascii="宋体" w:hAnsi="宋体" w:cs="宋体"/>
                <w:kern w:val="2"/>
                <w:sz w:val="21"/>
                <w:szCs w:val="21"/>
                <w:lang w:val="en-US" w:eastAsia="zh-CN"/>
              </w:rPr>
              <w:t>3</w:t>
            </w:r>
            <w:r>
              <w:rPr>
                <w:rFonts w:hint="eastAsia" w:ascii="宋体" w:hAnsi="宋体" w:eastAsia="宋体" w:cs="宋体"/>
                <w:kern w:val="2"/>
                <w:sz w:val="21"/>
                <w:szCs w:val="21"/>
                <w:lang w:eastAsia="zh-CN"/>
              </w:rPr>
              <w:t>0000万，得10分</w:t>
            </w:r>
          </w:p>
          <w:p w14:paraId="55649858">
            <w:pPr>
              <w:keepNext w:val="0"/>
              <w:keepLines w:val="0"/>
              <w:widowControl w:val="0"/>
              <w:numPr>
                <w:ilvl w:val="0"/>
                <w:numId w:val="0"/>
              </w:numPr>
              <w:suppressLineNumbers w:val="0"/>
              <w:autoSpaceDE/>
              <w:autoSpaceDN/>
              <w:adjustRightInd/>
              <w:spacing w:before="0" w:beforeAutospacing="0" w:after="0" w:afterAutospacing="0"/>
              <w:ind w:left="0" w:right="0"/>
              <w:jc w:val="both"/>
              <w:textAlignment w:val="auto"/>
              <w:rPr>
                <w:rFonts w:hint="default" w:ascii="宋体" w:hAnsi="宋体" w:eastAsia="宋体" w:cs="宋体"/>
                <w:kern w:val="2"/>
                <w:sz w:val="21"/>
                <w:szCs w:val="21"/>
                <w:lang w:val="en-US" w:eastAsia="zh-CN"/>
              </w:rPr>
            </w:pPr>
            <w:r>
              <w:rPr>
                <w:rFonts w:hint="eastAsia" w:ascii="宋体" w:hAnsi="宋体" w:eastAsia="宋体" w:cs="宋体"/>
                <w:kern w:val="2"/>
                <w:sz w:val="21"/>
                <w:szCs w:val="21"/>
                <w:lang w:eastAsia="zh-CN"/>
              </w:rPr>
              <w:t>④</w:t>
            </w:r>
            <w:r>
              <w:rPr>
                <w:rFonts w:hint="eastAsia" w:ascii="宋体" w:hAnsi="宋体" w:eastAsia="宋体" w:cs="宋体"/>
                <w:color w:val="auto"/>
                <w:sz w:val="21"/>
                <w:szCs w:val="21"/>
                <w:highlight w:val="none"/>
                <w:lang w:val="en-US" w:eastAsia="zh-CN"/>
              </w:rPr>
              <w:t>5000万≤</w:t>
            </w:r>
            <w:r>
              <w:rPr>
                <w:rFonts w:hint="eastAsia" w:ascii="宋体" w:hAnsi="宋体" w:eastAsia="宋体" w:cs="宋体"/>
                <w:color w:val="auto"/>
                <w:sz w:val="21"/>
                <w:szCs w:val="21"/>
                <w:highlight w:val="none"/>
              </w:rPr>
              <w:t>累计赔偿限额</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000万</w:t>
            </w:r>
            <w:r>
              <w:rPr>
                <w:rFonts w:hint="eastAsia" w:ascii="宋体" w:hAnsi="宋体" w:eastAsia="宋体" w:cs="宋体"/>
                <w:kern w:val="2"/>
                <w:sz w:val="21"/>
                <w:szCs w:val="21"/>
                <w:lang w:eastAsia="zh-CN"/>
              </w:rPr>
              <w:t>，得5分。</w:t>
            </w:r>
          </w:p>
          <w:p w14:paraId="6C299DD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其他情况不得分。</w:t>
            </w:r>
          </w:p>
          <w:p w14:paraId="52D0D141">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2.每次事故赔偿限额：</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①每次事故赔偿限额≥</w:t>
            </w: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000万，得50分；</w:t>
            </w:r>
          </w:p>
          <w:p w14:paraId="5BE41A33">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②</w:t>
            </w: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lang w:eastAsia="zh-CN"/>
              </w:rPr>
              <w:t>000万≤每次事故赔偿限额＜</w:t>
            </w: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000万，得30分；</w:t>
            </w:r>
          </w:p>
          <w:p w14:paraId="7AC9421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③</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lang w:eastAsia="zh-CN"/>
              </w:rPr>
              <w:t>000万≤每次事故赔偿限额＜</w:t>
            </w:r>
            <w:r>
              <w:rPr>
                <w:rFonts w:hint="eastAsia" w:ascii="宋体" w:hAnsi="宋体" w:eastAsia="宋体" w:cs="宋体"/>
                <w:kern w:val="2"/>
                <w:sz w:val="21"/>
                <w:szCs w:val="21"/>
                <w:lang w:val="en-US" w:eastAsia="zh-CN"/>
              </w:rPr>
              <w:t>3</w:t>
            </w:r>
            <w:r>
              <w:rPr>
                <w:rFonts w:hint="eastAsia" w:ascii="宋体" w:hAnsi="宋体" w:eastAsia="宋体" w:cs="宋体"/>
                <w:kern w:val="2"/>
                <w:sz w:val="21"/>
                <w:szCs w:val="21"/>
                <w:lang w:eastAsia="zh-CN"/>
              </w:rPr>
              <w:t>000万，得</w:t>
            </w: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lang w:eastAsia="zh-CN"/>
              </w:rPr>
              <w:t>0分；</w:t>
            </w:r>
          </w:p>
          <w:p w14:paraId="5F25165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④500万≤每次事故赔偿限额＜1000万，得</w:t>
            </w: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lang w:eastAsia="zh-CN"/>
              </w:rPr>
              <w:t>分；</w:t>
            </w:r>
          </w:p>
          <w:p w14:paraId="63876653">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其他情况不得分。</w:t>
            </w:r>
          </w:p>
          <w:p w14:paraId="07221D1D">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1"/>
                <w:lang w:eastAsia="zh-CN"/>
              </w:rPr>
            </w:pPr>
            <w:r>
              <w:rPr>
                <w:rFonts w:hint="eastAsia" w:ascii="宋体" w:hAnsi="宋体" w:eastAsia="宋体" w:cs="宋体"/>
                <w:kern w:val="2"/>
                <w:sz w:val="21"/>
                <w:lang w:eastAsia="zh-CN"/>
              </w:rPr>
              <w:t>以上1项2项累计得分100分。</w:t>
            </w:r>
          </w:p>
          <w:p w14:paraId="3508E91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（二）评审依据：</w:t>
            </w:r>
          </w:p>
          <w:p w14:paraId="15FC879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lang w:eastAsia="zh-CN"/>
              </w:rPr>
              <w:t>投标人购买的要求提供</w:t>
            </w:r>
            <w:r>
              <w:rPr>
                <w:rFonts w:hint="eastAsia" w:ascii="宋体" w:hAnsi="宋体" w:cs="宋体"/>
                <w:kern w:val="2"/>
                <w:sz w:val="21"/>
                <w:szCs w:val="21"/>
                <w:lang w:eastAsia="zh-CN"/>
              </w:rPr>
              <w:t>：</w:t>
            </w:r>
            <w:r>
              <w:rPr>
                <w:rFonts w:hint="eastAsia" w:ascii="宋体" w:hAnsi="宋体" w:eastAsia="宋体" w:cs="宋体"/>
                <w:kern w:val="2"/>
                <w:sz w:val="21"/>
                <w:szCs w:val="21"/>
                <w:lang w:eastAsia="zh-CN"/>
              </w:rPr>
              <w:t>①有效的保险合同（或保险单），投保人为投标人；②保险</w:t>
            </w:r>
            <w:r>
              <w:rPr>
                <w:rFonts w:hint="eastAsia" w:ascii="宋体" w:hAnsi="宋体" w:eastAsia="宋体" w:cs="宋体"/>
                <w:kern w:val="2"/>
                <w:sz w:val="21"/>
                <w:szCs w:val="21"/>
                <w:lang w:val="en-US" w:eastAsia="zh-CN"/>
              </w:rPr>
              <w:t>购买</w:t>
            </w:r>
            <w:r>
              <w:rPr>
                <w:rFonts w:hint="eastAsia" w:ascii="宋体" w:hAnsi="宋体" w:eastAsia="宋体" w:cs="宋体"/>
                <w:kern w:val="2"/>
                <w:sz w:val="21"/>
                <w:szCs w:val="21"/>
                <w:lang w:eastAsia="zh-CN"/>
              </w:rPr>
              <w:t>发票（发票提供截图</w:t>
            </w:r>
            <w:r>
              <w:rPr>
                <w:rFonts w:hint="eastAsia" w:ascii="宋体" w:hAnsi="宋体" w:cs="宋体"/>
                <w:kern w:val="2"/>
                <w:sz w:val="21"/>
                <w:szCs w:val="21"/>
                <w:lang w:val="en-US" w:eastAsia="zh-CN"/>
              </w:rPr>
              <w:t>或</w:t>
            </w:r>
            <w:r>
              <w:rPr>
                <w:rFonts w:hint="eastAsia" w:ascii="宋体" w:hAnsi="宋体" w:eastAsia="宋体" w:cs="宋体"/>
                <w:kern w:val="2"/>
                <w:sz w:val="21"/>
                <w:szCs w:val="21"/>
                <w:lang w:eastAsia="zh-CN"/>
              </w:rPr>
              <w:t>电子件或扫描件均可）作为得分依据；</w:t>
            </w:r>
            <w:r>
              <w:rPr>
                <w:rFonts w:hint="default" w:ascii="Calibri" w:hAnsi="Calibri" w:eastAsia="宋体" w:cs="Calibri"/>
                <w:kern w:val="2"/>
                <w:sz w:val="21"/>
                <w:szCs w:val="21"/>
                <w:highlight w:val="none"/>
                <w:lang w:val="en-US" w:eastAsia="zh-CN" w:bidi="ar-SA"/>
              </w:rPr>
              <w:t>③</w:t>
            </w:r>
            <w:r>
              <w:rPr>
                <w:rFonts w:hint="eastAsia" w:ascii="宋体" w:hAnsi="宋体" w:eastAsia="宋体" w:cs="宋体"/>
                <w:kern w:val="2"/>
                <w:sz w:val="21"/>
                <w:szCs w:val="21"/>
                <w:highlight w:val="none"/>
                <w:lang w:val="en-US" w:eastAsia="zh-CN" w:bidi="ar-SA"/>
              </w:rPr>
              <w:t>提供承诺函（格式自拟），承诺中标后在合同有效期内续保直至服务到期结束，且承诺在中标后30日内可将本项目列入保单内，在服务期内不降低保险累计赔偿限额和每次事故赔偿限额等事项。</w:t>
            </w:r>
          </w:p>
          <w:p w14:paraId="756FCAD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宋体" w:hAnsi="宋体" w:cs="宋体"/>
                <w:kern w:val="2"/>
                <w:sz w:val="21"/>
                <w:szCs w:val="21"/>
                <w:lang w:val="en-US" w:eastAsia="zh-CN"/>
              </w:rPr>
            </w:pPr>
            <w:r>
              <w:rPr>
                <w:rFonts w:hint="eastAsia" w:ascii="宋体" w:hAnsi="宋体" w:cs="宋体"/>
                <w:kern w:val="2"/>
                <w:sz w:val="21"/>
                <w:szCs w:val="21"/>
                <w:lang w:val="en-US" w:eastAsia="zh-CN"/>
              </w:rPr>
              <w:t>2.投标人承诺中标后购买的要求提供：承诺函（格式自拟，承诺中标后购买对应金额及类型的保险，</w:t>
            </w:r>
            <w:r>
              <w:rPr>
                <w:rFonts w:hint="eastAsia" w:ascii="宋体" w:hAnsi="宋体" w:eastAsia="宋体" w:cs="宋体"/>
                <w:kern w:val="2"/>
                <w:sz w:val="21"/>
                <w:szCs w:val="21"/>
                <w:lang w:eastAsia="zh-CN"/>
              </w:rPr>
              <w:t>投保人为投标人</w:t>
            </w:r>
            <w:r>
              <w:rPr>
                <w:rFonts w:hint="eastAsia" w:ascii="宋体" w:hAnsi="宋体" w:cs="宋体"/>
                <w:kern w:val="2"/>
                <w:sz w:val="21"/>
                <w:szCs w:val="21"/>
                <w:lang w:eastAsia="zh-CN"/>
              </w:rPr>
              <w:t>，</w:t>
            </w:r>
            <w:r>
              <w:rPr>
                <w:rFonts w:hint="eastAsia" w:ascii="宋体" w:hAnsi="宋体" w:eastAsia="宋体" w:cs="宋体"/>
                <w:kern w:val="2"/>
                <w:sz w:val="21"/>
                <w:szCs w:val="21"/>
                <w:highlight w:val="none"/>
                <w:lang w:val="en-US" w:eastAsia="zh-CN" w:bidi="ar-SA"/>
              </w:rPr>
              <w:t>承诺中标后在合同有效期内续保直至服务到期结束，且承诺在中标后30日内可将本项目列入保单内，在服务期内不降低保险累计赔偿限额和每次事故赔偿限额等事项</w:t>
            </w:r>
            <w:r>
              <w:rPr>
                <w:rFonts w:hint="eastAsia" w:ascii="宋体" w:hAnsi="宋体" w:cs="宋体"/>
                <w:kern w:val="2"/>
                <w:sz w:val="21"/>
                <w:szCs w:val="21"/>
                <w:lang w:val="en-US" w:eastAsia="zh-CN"/>
              </w:rPr>
              <w:t>）</w:t>
            </w:r>
          </w:p>
          <w:p w14:paraId="10BC795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3.</w:t>
            </w:r>
            <w:r>
              <w:rPr>
                <w:rFonts w:hint="eastAsia" w:ascii="宋体" w:hAnsi="宋体" w:eastAsia="宋体" w:cs="宋体"/>
                <w:kern w:val="2"/>
                <w:sz w:val="21"/>
                <w:szCs w:val="21"/>
                <w:lang w:eastAsia="zh-CN"/>
              </w:rPr>
              <w:t>备注：评分中出现无证明资料或者专家无法凭所提供资料判断是否得分的情况，一律做不得分处理。</w:t>
            </w:r>
          </w:p>
        </w:tc>
      </w:tr>
      <w:tr w14:paraId="051D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1322" w:hRule="atLeast"/>
          <w:tblCellSpacing w:w="0" w:type="dxa"/>
          <w:jc w:val="center"/>
        </w:trPr>
        <w:tc>
          <w:tcPr>
            <w:tcW w:w="606" w:type="dxa"/>
            <w:gridSpan w:val="2"/>
            <w:vMerge w:val="continue"/>
            <w:vAlign w:val="center"/>
          </w:tcPr>
          <w:p w14:paraId="08551584">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vAlign w:val="center"/>
          </w:tcPr>
          <w:p w14:paraId="436346CA">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6</w:t>
            </w:r>
          </w:p>
        </w:tc>
        <w:tc>
          <w:tcPr>
            <w:tcW w:w="1852" w:type="dxa"/>
            <w:shd w:val="clear" w:color="auto" w:fill="auto"/>
            <w:vAlign w:val="center"/>
          </w:tcPr>
          <w:p w14:paraId="224719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公共（公众）责任险</w:t>
            </w:r>
          </w:p>
        </w:tc>
        <w:tc>
          <w:tcPr>
            <w:tcW w:w="698" w:type="dxa"/>
            <w:shd w:val="clear" w:color="auto" w:fill="auto"/>
            <w:vAlign w:val="center"/>
          </w:tcPr>
          <w:p w14:paraId="6CBEA2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center"/>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5</w:t>
            </w:r>
          </w:p>
        </w:tc>
        <w:tc>
          <w:tcPr>
            <w:tcW w:w="5756" w:type="dxa"/>
            <w:gridSpan w:val="3"/>
            <w:shd w:val="clear" w:color="auto" w:fill="auto"/>
            <w:vAlign w:val="center"/>
          </w:tcPr>
          <w:p w14:paraId="7253BF2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（一）评审内容：</w:t>
            </w:r>
          </w:p>
          <w:p w14:paraId="2BBE03CB">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根据投标人购买的</w:t>
            </w:r>
            <w:r>
              <w:rPr>
                <w:rFonts w:hint="eastAsia" w:ascii="宋体" w:hAnsi="宋体" w:cs="宋体"/>
                <w:kern w:val="2"/>
                <w:sz w:val="21"/>
                <w:szCs w:val="21"/>
                <w:lang w:eastAsia="zh-CN"/>
              </w:rPr>
              <w:t>（</w:t>
            </w:r>
            <w:r>
              <w:rPr>
                <w:rFonts w:hint="eastAsia" w:ascii="宋体" w:hAnsi="宋体" w:cs="宋体"/>
                <w:kern w:val="2"/>
                <w:sz w:val="21"/>
                <w:szCs w:val="21"/>
                <w:lang w:val="en-US" w:eastAsia="zh-CN"/>
              </w:rPr>
              <w:t>或承诺中标后购买</w:t>
            </w:r>
            <w:r>
              <w:rPr>
                <w:rFonts w:hint="eastAsia" w:ascii="宋体" w:hAnsi="宋体" w:cs="宋体"/>
                <w:kern w:val="2"/>
                <w:sz w:val="21"/>
                <w:szCs w:val="21"/>
                <w:lang w:eastAsia="zh-CN"/>
              </w:rPr>
              <w:t>）</w:t>
            </w:r>
            <w:r>
              <w:rPr>
                <w:rFonts w:hint="eastAsia" w:ascii="宋体" w:hAnsi="宋体" w:eastAsia="宋体" w:cs="宋体"/>
                <w:kern w:val="2"/>
                <w:sz w:val="21"/>
                <w:szCs w:val="21"/>
                <w:lang w:eastAsia="zh-CN"/>
              </w:rPr>
              <w:t>公共（公众）责任险累计赔偿限额以及每次事故赔偿限额情况进行评审：</w:t>
            </w:r>
          </w:p>
          <w:p w14:paraId="0FA7F9D0">
            <w:pPr>
              <w:keepNext w:val="0"/>
              <w:keepLines w:val="0"/>
              <w:widowControl/>
              <w:suppressLineNumbers w:val="0"/>
              <w:autoSpaceDE/>
              <w:autoSpaceDN/>
              <w:adjustRightInd/>
              <w:spacing w:before="0" w:beforeAutospacing="0" w:after="0" w:afterAutospacing="0"/>
              <w:ind w:left="0" w:right="0"/>
              <w:jc w:val="left"/>
              <w:textAlignment w:val="auto"/>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1.累计赔偿限额：</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①累计赔偿限额≥20000万，得50分；</w:t>
            </w:r>
            <w:r>
              <w:rPr>
                <w:rFonts w:hint="eastAsia" w:ascii="宋体" w:hAnsi="宋体" w:eastAsia="宋体" w:cs="宋体"/>
                <w:kern w:val="2"/>
                <w:sz w:val="21"/>
                <w:lang w:eastAsia="zh-CN"/>
              </w:rPr>
              <w:br w:type="textWrapping"/>
            </w:r>
            <w:r>
              <w:rPr>
                <w:rFonts w:hint="eastAsia" w:ascii="宋体" w:hAnsi="宋体" w:eastAsia="宋体" w:cs="宋体"/>
                <w:kern w:val="2"/>
                <w:sz w:val="21"/>
                <w:szCs w:val="21"/>
                <w:lang w:eastAsia="zh-CN"/>
              </w:rPr>
              <w:t>②10000万≤累计赔偿限额＜20000万，得30分；</w:t>
            </w:r>
            <w:r>
              <w:rPr>
                <w:rFonts w:hint="eastAsia" w:ascii="宋体" w:hAnsi="宋体" w:eastAsia="宋体" w:cs="宋体"/>
                <w:kern w:val="2"/>
                <w:sz w:val="21"/>
                <w:lang w:eastAsia="zh-CN"/>
              </w:rPr>
              <w:br w:type="textWrapping"/>
            </w:r>
            <w:r>
              <w:rPr>
                <w:rFonts w:hint="eastAsia" w:ascii="宋体" w:hAnsi="宋体" w:eastAsia="宋体" w:cs="宋体"/>
                <w:kern w:val="2"/>
                <w:sz w:val="21"/>
                <w:szCs w:val="21"/>
                <w:lang w:eastAsia="zh-CN"/>
              </w:rPr>
              <w:t>③5000万≤累计赔偿限额＜10000万，得10分；</w:t>
            </w:r>
          </w:p>
          <w:p w14:paraId="12F53D14">
            <w:pPr>
              <w:keepNext w:val="0"/>
              <w:keepLines w:val="0"/>
              <w:widowControl/>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其他情况不得分。</w:t>
            </w:r>
          </w:p>
          <w:p w14:paraId="367048AF">
            <w:pPr>
              <w:keepNext w:val="0"/>
              <w:keepLines w:val="0"/>
              <w:widowControl/>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2.每次事故赔偿限额：</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①每次事故赔偿限额≥2000万，得50分；</w:t>
            </w:r>
          </w:p>
          <w:p w14:paraId="1AC3C37C">
            <w:pPr>
              <w:keepNext w:val="0"/>
              <w:keepLines w:val="0"/>
              <w:widowControl/>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②1000万≤每次事故赔偿限额＜2000万，得30分；</w:t>
            </w:r>
            <w:r>
              <w:rPr>
                <w:rFonts w:hint="eastAsia" w:ascii="宋体" w:hAnsi="宋体" w:eastAsia="宋体" w:cs="宋体"/>
                <w:kern w:val="2"/>
                <w:sz w:val="21"/>
                <w:szCs w:val="21"/>
                <w:lang w:eastAsia="zh-CN"/>
              </w:rPr>
              <w:br w:type="textWrapping"/>
            </w:r>
            <w:r>
              <w:rPr>
                <w:rFonts w:hint="eastAsia" w:ascii="宋体" w:hAnsi="宋体" w:eastAsia="宋体" w:cs="宋体"/>
                <w:kern w:val="2"/>
                <w:sz w:val="21"/>
                <w:szCs w:val="21"/>
                <w:lang w:eastAsia="zh-CN"/>
              </w:rPr>
              <w:t>③500万≤每次事故赔偿限额＜1000万，得10分；</w:t>
            </w:r>
          </w:p>
          <w:p w14:paraId="03542A72">
            <w:pPr>
              <w:keepNext w:val="0"/>
              <w:keepLines w:val="0"/>
              <w:widowControl/>
              <w:suppressLineNumbers w:val="0"/>
              <w:spacing w:before="0" w:beforeAutospacing="0" w:after="0" w:afterAutospacing="0"/>
              <w:ind w:left="0" w:right="0"/>
              <w:jc w:val="left"/>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其他情况不得分。</w:t>
            </w:r>
          </w:p>
          <w:p w14:paraId="12C8709A">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kern w:val="2"/>
                <w:sz w:val="21"/>
                <w:lang w:eastAsia="zh-CN"/>
              </w:rPr>
            </w:pPr>
            <w:r>
              <w:rPr>
                <w:rFonts w:hint="eastAsia" w:ascii="宋体" w:hAnsi="宋体" w:eastAsia="宋体" w:cs="宋体"/>
                <w:kern w:val="2"/>
                <w:sz w:val="21"/>
                <w:szCs w:val="21"/>
                <w:highlight w:val="none"/>
                <w:lang w:eastAsia="zh-CN"/>
              </w:rPr>
              <w:t>【</w:t>
            </w:r>
            <w:r>
              <w:rPr>
                <w:rFonts w:hint="eastAsia" w:ascii="宋体" w:hAnsi="宋体" w:eastAsia="宋体" w:cs="宋体"/>
                <w:kern w:val="2"/>
                <w:sz w:val="21"/>
                <w:lang w:eastAsia="zh-CN"/>
              </w:rPr>
              <w:t>以上1项2项累计得分100分</w:t>
            </w:r>
            <w:r>
              <w:rPr>
                <w:rFonts w:hint="eastAsia" w:ascii="宋体" w:hAnsi="宋体" w:eastAsia="宋体" w:cs="宋体"/>
                <w:kern w:val="2"/>
                <w:sz w:val="21"/>
                <w:szCs w:val="21"/>
                <w:highlight w:val="none"/>
                <w:lang w:eastAsia="zh-CN"/>
              </w:rPr>
              <w:t>】</w:t>
            </w:r>
          </w:p>
          <w:p w14:paraId="25B78C4F">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b/>
                <w:bCs/>
                <w:kern w:val="2"/>
                <w:sz w:val="21"/>
                <w:szCs w:val="21"/>
                <w:lang w:eastAsia="zh-CN"/>
              </w:rPr>
            </w:pPr>
            <w:r>
              <w:rPr>
                <w:rFonts w:hint="eastAsia" w:ascii="宋体" w:hAnsi="宋体" w:eastAsia="宋体" w:cs="宋体"/>
                <w:b/>
                <w:bCs/>
                <w:kern w:val="2"/>
                <w:sz w:val="21"/>
                <w:szCs w:val="21"/>
                <w:lang w:eastAsia="zh-CN"/>
              </w:rPr>
              <w:t>（二）评审依据：</w:t>
            </w:r>
          </w:p>
          <w:p w14:paraId="656EB018">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r>
              <w:rPr>
                <w:rFonts w:hint="eastAsia" w:ascii="宋体" w:hAnsi="宋体" w:eastAsia="宋体" w:cs="宋体"/>
                <w:kern w:val="2"/>
                <w:sz w:val="21"/>
                <w:szCs w:val="21"/>
                <w:lang w:eastAsia="zh-CN"/>
              </w:rPr>
              <w:t>投标人购买的要求提供</w:t>
            </w:r>
            <w:r>
              <w:rPr>
                <w:rFonts w:hint="eastAsia" w:ascii="宋体" w:hAnsi="宋体" w:cs="宋体"/>
                <w:kern w:val="2"/>
                <w:sz w:val="21"/>
                <w:szCs w:val="21"/>
                <w:lang w:eastAsia="zh-CN"/>
              </w:rPr>
              <w:t>：</w:t>
            </w:r>
            <w:r>
              <w:rPr>
                <w:rFonts w:hint="eastAsia" w:ascii="宋体" w:hAnsi="宋体" w:eastAsia="宋体" w:cs="宋体"/>
                <w:kern w:val="2"/>
                <w:sz w:val="21"/>
                <w:szCs w:val="21"/>
                <w:lang w:eastAsia="zh-CN"/>
              </w:rPr>
              <w:t>①有效的保险合同（或保险单），投保人为投标人；②保险发票（发票提供截图、电子件或扫描件均可）作为得分依据；</w:t>
            </w:r>
            <w:r>
              <w:rPr>
                <w:rFonts w:hint="default" w:ascii="Calibri" w:hAnsi="Calibri" w:eastAsia="宋体" w:cs="Calibri"/>
                <w:kern w:val="2"/>
                <w:sz w:val="21"/>
                <w:szCs w:val="21"/>
                <w:highlight w:val="none"/>
                <w:lang w:val="en-US" w:eastAsia="zh-CN" w:bidi="ar-SA"/>
              </w:rPr>
              <w:t>③</w:t>
            </w:r>
            <w:r>
              <w:rPr>
                <w:rFonts w:hint="eastAsia" w:ascii="宋体" w:hAnsi="宋体" w:eastAsia="宋体" w:cs="宋体"/>
                <w:kern w:val="2"/>
                <w:sz w:val="21"/>
                <w:szCs w:val="21"/>
                <w:highlight w:val="none"/>
                <w:lang w:val="en-US" w:eastAsia="zh-CN" w:bidi="ar-SA"/>
              </w:rPr>
              <w:t>提供承诺函（格式自拟），承诺中标后在合同有效期内续保直至服务到期结束，且承诺在中标后30日内可将本项目列入保单内。</w:t>
            </w:r>
          </w:p>
          <w:p w14:paraId="417C961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default" w:ascii="宋体" w:hAnsi="宋体" w:cs="宋体"/>
                <w:kern w:val="2"/>
                <w:sz w:val="21"/>
                <w:szCs w:val="21"/>
                <w:lang w:val="en-US" w:eastAsia="zh-CN"/>
              </w:rPr>
            </w:pPr>
            <w:r>
              <w:rPr>
                <w:rFonts w:hint="eastAsia" w:ascii="宋体" w:hAnsi="宋体" w:cs="宋体"/>
                <w:kern w:val="2"/>
                <w:sz w:val="21"/>
                <w:szCs w:val="21"/>
                <w:lang w:val="en-US" w:eastAsia="zh-CN"/>
              </w:rPr>
              <w:t>2.投标人承诺中标后购买的要求提供：承诺函（格式自拟，承诺中标后购买对应金额及类型的保险，</w:t>
            </w:r>
            <w:r>
              <w:rPr>
                <w:rFonts w:hint="eastAsia" w:ascii="宋体" w:hAnsi="宋体" w:eastAsia="宋体" w:cs="宋体"/>
                <w:kern w:val="2"/>
                <w:sz w:val="21"/>
                <w:szCs w:val="21"/>
                <w:lang w:eastAsia="zh-CN"/>
              </w:rPr>
              <w:t>投保人为投标人</w:t>
            </w:r>
            <w:r>
              <w:rPr>
                <w:rFonts w:hint="eastAsia" w:ascii="宋体" w:hAnsi="宋体" w:cs="宋体"/>
                <w:kern w:val="2"/>
                <w:sz w:val="21"/>
                <w:szCs w:val="21"/>
                <w:lang w:eastAsia="zh-CN"/>
              </w:rPr>
              <w:t>，</w:t>
            </w:r>
            <w:r>
              <w:rPr>
                <w:rFonts w:hint="eastAsia" w:ascii="宋体" w:hAnsi="宋体" w:eastAsia="宋体" w:cs="宋体"/>
                <w:kern w:val="2"/>
                <w:sz w:val="21"/>
                <w:szCs w:val="21"/>
                <w:highlight w:val="none"/>
                <w:lang w:val="en-US" w:eastAsia="zh-CN" w:bidi="ar-SA"/>
              </w:rPr>
              <w:t>承诺中标后在合同有效期内续保直至服务到期结束，且承诺在中标后30日内可将本项目列入保单内，在服务期内不降低保险累计赔偿限额和每次事故赔偿限额等事项</w:t>
            </w:r>
            <w:r>
              <w:rPr>
                <w:rFonts w:hint="eastAsia" w:ascii="宋体" w:hAnsi="宋体" w:cs="宋体"/>
                <w:kern w:val="2"/>
                <w:sz w:val="21"/>
                <w:szCs w:val="21"/>
                <w:lang w:val="en-US" w:eastAsia="zh-CN"/>
              </w:rPr>
              <w:t>）</w:t>
            </w:r>
          </w:p>
          <w:p w14:paraId="3F6C0223">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auto"/>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3.</w:t>
            </w:r>
            <w:r>
              <w:rPr>
                <w:rFonts w:hint="eastAsia" w:ascii="宋体" w:hAnsi="宋体" w:eastAsia="宋体" w:cs="宋体"/>
                <w:kern w:val="2"/>
                <w:sz w:val="21"/>
                <w:szCs w:val="21"/>
                <w:lang w:eastAsia="zh-CN"/>
              </w:rPr>
              <w:t>备注：评分中出现无证明资料或者专家无法凭所提供资料判断是否得分的情况，一律做不得分处理。</w:t>
            </w:r>
          </w:p>
        </w:tc>
      </w:tr>
      <w:tr w14:paraId="376D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tcPr>
          <w:p w14:paraId="6F6EBAE4">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4</w:t>
            </w:r>
          </w:p>
        </w:tc>
        <w:tc>
          <w:tcPr>
            <w:tcW w:w="3156" w:type="dxa"/>
            <w:gridSpan w:val="3"/>
          </w:tcPr>
          <w:p w14:paraId="3FB17BE6">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b/>
                <w:bCs/>
                <w:color w:val="0000FF"/>
                <w:kern w:val="2"/>
                <w:lang w:eastAsia="zh-CN"/>
              </w:rPr>
            </w:pPr>
            <w:r>
              <w:rPr>
                <w:rFonts w:hint="eastAsia" w:ascii="宋体" w:hAnsi="宋体" w:eastAsia="宋体" w:cs="宋体"/>
                <w:b/>
                <w:bCs/>
                <w:color w:val="0000FF"/>
                <w:kern w:val="2"/>
                <w:sz w:val="21"/>
                <w:lang w:eastAsia="zh-CN"/>
              </w:rPr>
              <w:t>诚信情况</w:t>
            </w:r>
          </w:p>
        </w:tc>
        <w:tc>
          <w:tcPr>
            <w:tcW w:w="5756" w:type="dxa"/>
            <w:gridSpan w:val="3"/>
          </w:tcPr>
          <w:p w14:paraId="0FC9EFF5">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lang w:val="en-US" w:eastAsia="zh-CN"/>
              </w:rPr>
            </w:pPr>
            <w:r>
              <w:rPr>
                <w:rFonts w:hint="eastAsia" w:ascii="宋体" w:hAnsi="宋体" w:cs="宋体"/>
                <w:b/>
                <w:bCs/>
                <w:color w:val="0000FF"/>
                <w:kern w:val="2"/>
                <w:sz w:val="21"/>
                <w:szCs w:val="21"/>
                <w:lang w:val="en-US" w:eastAsia="zh-CN"/>
              </w:rPr>
              <w:t>5</w:t>
            </w:r>
          </w:p>
        </w:tc>
      </w:tr>
      <w:tr w14:paraId="6525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06" w:type="dxa"/>
            <w:gridSpan w:val="2"/>
            <w:vMerge w:val="restart"/>
            <w:shd w:val="clear" w:color="auto" w:fill="FFFFFF"/>
            <w:vAlign w:val="center"/>
          </w:tcPr>
          <w:p w14:paraId="360551EE">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shd w:val="clear" w:color="auto" w:fill="E6EFFA"/>
            <w:vAlign w:val="center"/>
          </w:tcPr>
          <w:p w14:paraId="6096EFFC">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序号</w:t>
            </w:r>
          </w:p>
        </w:tc>
        <w:tc>
          <w:tcPr>
            <w:tcW w:w="1852" w:type="dxa"/>
            <w:shd w:val="clear" w:color="auto" w:fill="E6EFFA"/>
            <w:vAlign w:val="center"/>
          </w:tcPr>
          <w:p w14:paraId="4E1040C7">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评审因素</w:t>
            </w:r>
          </w:p>
        </w:tc>
        <w:tc>
          <w:tcPr>
            <w:tcW w:w="698" w:type="dxa"/>
            <w:shd w:val="clear" w:color="auto" w:fill="E6EFFA"/>
            <w:vAlign w:val="center"/>
          </w:tcPr>
          <w:p w14:paraId="1A98F377">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权重（%）</w:t>
            </w:r>
          </w:p>
        </w:tc>
        <w:tc>
          <w:tcPr>
            <w:tcW w:w="5756" w:type="dxa"/>
            <w:gridSpan w:val="3"/>
            <w:shd w:val="clear" w:color="auto" w:fill="E6EFFA"/>
            <w:vAlign w:val="center"/>
          </w:tcPr>
          <w:p w14:paraId="0D3AD5C2">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评分准则</w:t>
            </w:r>
          </w:p>
        </w:tc>
      </w:tr>
      <w:tr w14:paraId="4325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72" w:hRule="atLeast"/>
          <w:tblCellSpacing w:w="0" w:type="dxa"/>
          <w:jc w:val="center"/>
        </w:trPr>
        <w:tc>
          <w:tcPr>
            <w:tcW w:w="606" w:type="dxa"/>
            <w:gridSpan w:val="2"/>
            <w:vMerge w:val="continue"/>
            <w:shd w:val="clear" w:color="auto" w:fill="FFFFFF"/>
            <w:vAlign w:val="center"/>
          </w:tcPr>
          <w:p w14:paraId="513F5D9B">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FF"/>
                <w:kern w:val="2"/>
                <w:lang w:eastAsia="zh-CN"/>
              </w:rPr>
            </w:pPr>
          </w:p>
        </w:tc>
        <w:tc>
          <w:tcPr>
            <w:tcW w:w="606" w:type="dxa"/>
            <w:shd w:val="clear" w:color="auto" w:fill="FFFFFF"/>
            <w:vAlign w:val="center"/>
          </w:tcPr>
          <w:p w14:paraId="3ACECE0B">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1</w:t>
            </w:r>
          </w:p>
        </w:tc>
        <w:tc>
          <w:tcPr>
            <w:tcW w:w="1852" w:type="dxa"/>
            <w:vAlign w:val="center"/>
          </w:tcPr>
          <w:p w14:paraId="060E02B6">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诚信情况</w:t>
            </w:r>
          </w:p>
        </w:tc>
        <w:tc>
          <w:tcPr>
            <w:tcW w:w="698" w:type="dxa"/>
            <w:vAlign w:val="center"/>
          </w:tcPr>
          <w:p w14:paraId="6A7B34C9">
            <w:pPr>
              <w:keepNext w:val="0"/>
              <w:keepLines w:val="0"/>
              <w:widowControl w:val="0"/>
              <w:suppressLineNumbers w:val="0"/>
              <w:wordWrap w:val="0"/>
              <w:spacing w:before="0" w:beforeAutospacing="0" w:after="0" w:afterAutospacing="0"/>
              <w:ind w:left="0" w:right="0"/>
              <w:jc w:val="center"/>
              <w:rPr>
                <w:rFonts w:hint="eastAsia" w:ascii="宋体" w:hAnsi="宋体" w:eastAsia="宋体" w:cs="宋体"/>
                <w:kern w:val="2"/>
                <w:sz w:val="21"/>
                <w:szCs w:val="21"/>
                <w:lang w:eastAsia="zh-CN"/>
              </w:rPr>
            </w:pPr>
            <w:r>
              <w:rPr>
                <w:rFonts w:hint="eastAsia" w:ascii="宋体" w:hAnsi="宋体" w:cs="宋体"/>
                <w:kern w:val="2"/>
                <w:sz w:val="21"/>
                <w:szCs w:val="21"/>
                <w:lang w:val="en-US" w:eastAsia="zh-CN"/>
              </w:rPr>
              <w:t>5</w:t>
            </w:r>
          </w:p>
        </w:tc>
        <w:tc>
          <w:tcPr>
            <w:tcW w:w="5756" w:type="dxa"/>
            <w:gridSpan w:val="3"/>
          </w:tcPr>
          <w:p w14:paraId="218A2F07">
            <w:pPr>
              <w:pStyle w:val="18"/>
              <w:keepNext w:val="0"/>
              <w:keepLines w:val="0"/>
              <w:pageBreakBefore w:val="0"/>
              <w:widowControl w:val="0"/>
              <w:kinsoku/>
              <w:wordWrap w:val="0"/>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6E417E93">
            <w:pPr>
              <w:rPr>
                <w:rFonts w:hint="eastAsia" w:ascii="宋体" w:hAnsi="宋体" w:eastAsia="宋体" w:cs="宋体"/>
                <w:kern w:val="2"/>
                <w:sz w:val="21"/>
                <w:szCs w:val="21"/>
                <w:lang w:eastAsia="zh-CN"/>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02832ABA">
      <w:pPr>
        <w:sectPr>
          <w:pgSz w:w="11907" w:h="16840"/>
          <w:pgMar w:top="1440" w:right="1417" w:bottom="1440" w:left="1417" w:header="851" w:footer="992" w:gutter="0"/>
          <w:cols w:space="425" w:num="1"/>
          <w:titlePg/>
          <w:docGrid w:linePitch="462" w:charSpace="0"/>
        </w:sectPr>
      </w:pPr>
    </w:p>
    <w:p w14:paraId="6E22B1CF">
      <w:pPr>
        <w:jc w:val="center"/>
        <w:rPr>
          <w:b/>
          <w:sz w:val="120"/>
          <w:szCs w:val="120"/>
        </w:rPr>
      </w:pPr>
    </w:p>
    <w:p w14:paraId="60158BFD">
      <w:pPr>
        <w:rPr>
          <w:b/>
          <w:sz w:val="120"/>
          <w:szCs w:val="120"/>
        </w:rPr>
      </w:pPr>
    </w:p>
    <w:p w14:paraId="32BCE733">
      <w:pPr>
        <w:jc w:val="center"/>
        <w:rPr>
          <w:b/>
          <w:sz w:val="120"/>
          <w:szCs w:val="120"/>
        </w:rPr>
      </w:pPr>
      <w:r>
        <w:rPr>
          <w:rFonts w:hint="eastAsia"/>
          <w:b/>
          <w:sz w:val="120"/>
          <w:szCs w:val="120"/>
        </w:rPr>
        <w:t>政府采购</w:t>
      </w:r>
    </w:p>
    <w:p w14:paraId="486B1391">
      <w:pPr>
        <w:jc w:val="center"/>
        <w:rPr>
          <w:b/>
          <w:sz w:val="120"/>
          <w:szCs w:val="120"/>
        </w:rPr>
      </w:pPr>
      <w:r>
        <w:rPr>
          <w:rFonts w:hint="eastAsia"/>
          <w:b/>
          <w:sz w:val="120"/>
          <w:szCs w:val="120"/>
        </w:rPr>
        <w:t>招标文件</w:t>
      </w:r>
    </w:p>
    <w:p w14:paraId="34E0FBE7">
      <w:pPr>
        <w:jc w:val="center"/>
        <w:rPr>
          <w:b/>
          <w:sz w:val="52"/>
          <w:szCs w:val="52"/>
        </w:rPr>
      </w:pPr>
      <w:r>
        <w:rPr>
          <w:rFonts w:hint="eastAsia"/>
          <w:b/>
          <w:sz w:val="52"/>
          <w:szCs w:val="52"/>
        </w:rPr>
        <w:t>（服务类）</w:t>
      </w:r>
    </w:p>
    <w:p w14:paraId="25E2F89B">
      <w:pPr>
        <w:jc w:val="center"/>
        <w:rPr>
          <w:b/>
          <w:sz w:val="44"/>
          <w:szCs w:val="44"/>
        </w:rPr>
      </w:pPr>
    </w:p>
    <w:p w14:paraId="7559E2BB">
      <w:pPr>
        <w:jc w:val="center"/>
        <w:rPr>
          <w:b/>
          <w:sz w:val="44"/>
          <w:szCs w:val="44"/>
        </w:rPr>
      </w:pPr>
    </w:p>
    <w:p w14:paraId="0334BD70">
      <w:pPr>
        <w:jc w:val="center"/>
        <w:rPr>
          <w:b/>
          <w:sz w:val="44"/>
          <w:szCs w:val="44"/>
        </w:rPr>
      </w:pPr>
    </w:p>
    <w:p w14:paraId="3718E2C6">
      <w:pPr>
        <w:jc w:val="center"/>
        <w:rPr>
          <w:b/>
          <w:sz w:val="44"/>
          <w:szCs w:val="44"/>
        </w:rPr>
      </w:pPr>
    </w:p>
    <w:p w14:paraId="2C9033FE">
      <w:pPr>
        <w:jc w:val="center"/>
        <w:rPr>
          <w:b/>
          <w:sz w:val="44"/>
          <w:szCs w:val="44"/>
        </w:rPr>
      </w:pPr>
    </w:p>
    <w:p w14:paraId="52CF9EB5">
      <w:pPr>
        <w:jc w:val="center"/>
        <w:rPr>
          <w:b/>
          <w:sz w:val="44"/>
          <w:szCs w:val="44"/>
        </w:rPr>
      </w:pPr>
    </w:p>
    <w:p w14:paraId="1DA3117E">
      <w:pPr>
        <w:jc w:val="center"/>
        <w:rPr>
          <w:b/>
          <w:sz w:val="44"/>
          <w:szCs w:val="44"/>
        </w:rPr>
      </w:pPr>
    </w:p>
    <w:p w14:paraId="54C4D18B">
      <w:pPr>
        <w:jc w:val="center"/>
        <w:rPr>
          <w:b/>
          <w:sz w:val="44"/>
          <w:szCs w:val="44"/>
        </w:rPr>
      </w:pPr>
    </w:p>
    <w:p w14:paraId="4AD364C8">
      <w:pPr>
        <w:jc w:val="center"/>
        <w:rPr>
          <w:b/>
          <w:sz w:val="44"/>
          <w:szCs w:val="44"/>
        </w:rPr>
      </w:pPr>
      <w:bookmarkStart w:id="0" w:name="_Hlk71465316"/>
      <w:r>
        <w:rPr>
          <w:rFonts w:hint="eastAsia"/>
          <w:b/>
          <w:sz w:val="44"/>
          <w:szCs w:val="44"/>
        </w:rPr>
        <w:t>深圳公共资源交易中心</w:t>
      </w:r>
    </w:p>
    <w:p w14:paraId="5D5F1B68">
      <w:pPr>
        <w:jc w:val="center"/>
        <w:rPr>
          <w:sz w:val="28"/>
          <w:szCs w:val="28"/>
        </w:rPr>
      </w:pPr>
      <w:r>
        <w:rPr>
          <w:rFonts w:hint="eastAsia"/>
          <w:b/>
          <w:sz w:val="28"/>
          <w:szCs w:val="28"/>
        </w:rPr>
        <w:t>（</w:t>
      </w:r>
      <w:r>
        <w:rPr>
          <w:b/>
          <w:sz w:val="28"/>
          <w:szCs w:val="28"/>
        </w:rPr>
        <w:t>20</w:t>
      </w:r>
      <w:r>
        <w:rPr>
          <w:rFonts w:hint="eastAsia"/>
          <w:b/>
          <w:sz w:val="28"/>
          <w:szCs w:val="28"/>
        </w:rPr>
        <w:t>26）</w:t>
      </w:r>
      <w:bookmarkEnd w:id="0"/>
    </w:p>
    <w:p w14:paraId="485AB215">
      <w:pPr>
        <w:ind w:firstLine="420" w:firstLineChars="200"/>
      </w:pPr>
      <w:r>
        <w:rPr>
          <w:rFonts w:hint="eastAsia"/>
        </w:rPr>
        <w:br w:type="page"/>
      </w:r>
    </w:p>
    <w:p w14:paraId="2A94FB0B">
      <w:pPr>
        <w:pStyle w:val="2"/>
      </w:pPr>
      <w:r>
        <w:rPr>
          <w:rFonts w:hint="eastAsia"/>
        </w:rPr>
        <w:t>目   录</w:t>
      </w:r>
    </w:p>
    <w:p w14:paraId="10AA37FC">
      <w:pPr>
        <w:outlineLvl w:val="0"/>
        <w:rPr>
          <w:b/>
          <w:sz w:val="24"/>
        </w:rPr>
      </w:pPr>
      <w:r>
        <w:rPr>
          <w:rFonts w:hint="eastAsia"/>
          <w:b/>
          <w:sz w:val="24"/>
        </w:rPr>
        <w:t>第一册  专用条款</w:t>
      </w:r>
    </w:p>
    <w:p w14:paraId="2087B9AE">
      <w:pPr>
        <w:ind w:firstLine="960" w:firstLineChars="400"/>
        <w:rPr>
          <w:sz w:val="24"/>
        </w:rPr>
      </w:pPr>
      <w:r>
        <w:rPr>
          <w:rFonts w:hint="eastAsia"/>
          <w:sz w:val="24"/>
        </w:rPr>
        <w:t>关键信息</w:t>
      </w:r>
    </w:p>
    <w:p w14:paraId="1AF83FF9">
      <w:pPr>
        <w:ind w:left="630" w:leftChars="300" w:firstLine="630" w:firstLineChars="300"/>
        <w:rPr>
          <w:rFonts w:ascii="宋体" w:hAnsi="宋体"/>
          <w:szCs w:val="21"/>
        </w:rPr>
      </w:pPr>
      <w:r>
        <w:rPr>
          <w:rFonts w:hint="eastAsia" w:ascii="宋体" w:hAnsi="宋体"/>
          <w:szCs w:val="21"/>
        </w:rPr>
        <w:t>第一章  招标公告</w:t>
      </w:r>
    </w:p>
    <w:p w14:paraId="426CA09C">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69D9174F">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6978074D">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89F0E22">
      <w:pPr>
        <w:ind w:left="630" w:leftChars="300" w:firstLine="630" w:firstLineChars="300"/>
        <w:rPr>
          <w:rFonts w:ascii="宋体" w:hAnsi="宋体"/>
          <w:szCs w:val="21"/>
        </w:rPr>
      </w:pPr>
      <w:r>
        <w:rPr>
          <w:rFonts w:hint="eastAsia" w:ascii="宋体" w:hAnsi="宋体"/>
          <w:szCs w:val="21"/>
        </w:rPr>
        <w:t>第五章  合同条款及格式</w:t>
      </w:r>
    </w:p>
    <w:p w14:paraId="622500C8">
      <w:pPr>
        <w:rPr>
          <w:b/>
          <w:sz w:val="24"/>
        </w:rPr>
      </w:pPr>
    </w:p>
    <w:p w14:paraId="68C23D57">
      <w:pPr>
        <w:outlineLvl w:val="0"/>
        <w:rPr>
          <w:b/>
          <w:sz w:val="24"/>
        </w:rPr>
      </w:pPr>
      <w:r>
        <w:rPr>
          <w:rFonts w:hint="eastAsia"/>
          <w:b/>
          <w:sz w:val="24"/>
        </w:rPr>
        <w:t>第二册  通用条款</w:t>
      </w:r>
    </w:p>
    <w:p w14:paraId="1BACCB1B">
      <w:pPr>
        <w:ind w:left="630" w:leftChars="300" w:firstLine="411" w:firstLineChars="196"/>
        <w:rPr>
          <w:rFonts w:ascii="宋体" w:hAnsi="宋体"/>
          <w:szCs w:val="21"/>
        </w:rPr>
      </w:pPr>
      <w:r>
        <w:rPr>
          <w:rFonts w:hint="eastAsia" w:ascii="宋体" w:hAnsi="宋体"/>
          <w:szCs w:val="21"/>
        </w:rPr>
        <w:t>第一章  总则</w:t>
      </w:r>
    </w:p>
    <w:p w14:paraId="755E208E">
      <w:pPr>
        <w:ind w:left="630" w:leftChars="300" w:firstLine="411" w:firstLineChars="196"/>
        <w:rPr>
          <w:rFonts w:ascii="宋体" w:hAnsi="宋体"/>
          <w:szCs w:val="21"/>
        </w:rPr>
      </w:pPr>
      <w:r>
        <w:rPr>
          <w:rFonts w:hint="eastAsia" w:ascii="宋体" w:hAnsi="宋体"/>
          <w:szCs w:val="21"/>
        </w:rPr>
        <w:t>第二章  招标文件</w:t>
      </w:r>
    </w:p>
    <w:p w14:paraId="306E4603">
      <w:pPr>
        <w:ind w:left="630" w:leftChars="300" w:firstLine="411" w:firstLineChars="196"/>
        <w:rPr>
          <w:rFonts w:ascii="宋体" w:hAnsi="宋体"/>
          <w:szCs w:val="21"/>
        </w:rPr>
      </w:pPr>
      <w:r>
        <w:rPr>
          <w:rFonts w:hint="eastAsia" w:ascii="宋体" w:hAnsi="宋体"/>
          <w:szCs w:val="21"/>
        </w:rPr>
        <w:t>第三章  投标文件的编制</w:t>
      </w:r>
    </w:p>
    <w:p w14:paraId="4A866A46">
      <w:pPr>
        <w:ind w:left="630" w:leftChars="300" w:firstLine="411" w:firstLineChars="196"/>
        <w:rPr>
          <w:rFonts w:ascii="宋体" w:hAnsi="宋体"/>
          <w:szCs w:val="21"/>
        </w:rPr>
      </w:pPr>
      <w:r>
        <w:rPr>
          <w:rFonts w:hint="eastAsia" w:ascii="宋体" w:hAnsi="宋体"/>
          <w:szCs w:val="21"/>
        </w:rPr>
        <w:t>第四章  投标文件的递交</w:t>
      </w:r>
    </w:p>
    <w:p w14:paraId="7C450983">
      <w:pPr>
        <w:ind w:left="630" w:leftChars="300" w:firstLine="411" w:firstLineChars="196"/>
        <w:rPr>
          <w:rFonts w:ascii="宋体" w:hAnsi="宋体"/>
          <w:szCs w:val="21"/>
        </w:rPr>
      </w:pPr>
      <w:r>
        <w:rPr>
          <w:rFonts w:hint="eastAsia" w:ascii="宋体" w:hAnsi="宋体"/>
          <w:szCs w:val="21"/>
        </w:rPr>
        <w:t>第五章  开标</w:t>
      </w:r>
    </w:p>
    <w:p w14:paraId="16FF5A5E">
      <w:pPr>
        <w:ind w:left="630" w:leftChars="300" w:firstLine="411" w:firstLineChars="196"/>
        <w:rPr>
          <w:rFonts w:ascii="宋体" w:hAnsi="宋体"/>
          <w:szCs w:val="21"/>
        </w:rPr>
      </w:pPr>
      <w:r>
        <w:rPr>
          <w:rFonts w:hint="eastAsia" w:ascii="宋体" w:hAnsi="宋体"/>
          <w:szCs w:val="21"/>
        </w:rPr>
        <w:t>第六章  评审要求</w:t>
      </w:r>
    </w:p>
    <w:p w14:paraId="4C78FE23">
      <w:pPr>
        <w:ind w:left="630" w:leftChars="300" w:firstLine="411" w:firstLineChars="196"/>
        <w:rPr>
          <w:rFonts w:ascii="宋体" w:hAnsi="宋体"/>
          <w:szCs w:val="21"/>
        </w:rPr>
      </w:pPr>
      <w:r>
        <w:rPr>
          <w:rFonts w:hint="eastAsia" w:ascii="宋体" w:hAnsi="宋体"/>
          <w:szCs w:val="21"/>
        </w:rPr>
        <w:t>第七章  评审程序及评审方法</w:t>
      </w:r>
    </w:p>
    <w:p w14:paraId="50582779">
      <w:pPr>
        <w:ind w:left="630" w:leftChars="300" w:firstLine="411" w:firstLineChars="196"/>
        <w:rPr>
          <w:rFonts w:ascii="宋体" w:hAnsi="宋体"/>
          <w:szCs w:val="21"/>
        </w:rPr>
      </w:pPr>
      <w:r>
        <w:rPr>
          <w:rFonts w:hint="eastAsia" w:ascii="宋体" w:hAnsi="宋体"/>
          <w:szCs w:val="21"/>
        </w:rPr>
        <w:t>第八章  定标及公示</w:t>
      </w:r>
    </w:p>
    <w:p w14:paraId="0CADC365">
      <w:pPr>
        <w:ind w:left="630" w:leftChars="300" w:firstLine="411" w:firstLineChars="196"/>
        <w:rPr>
          <w:rFonts w:ascii="宋体" w:hAnsi="宋体"/>
          <w:szCs w:val="21"/>
        </w:rPr>
      </w:pPr>
      <w:r>
        <w:rPr>
          <w:rFonts w:hint="eastAsia" w:ascii="宋体" w:hAnsi="宋体"/>
          <w:szCs w:val="21"/>
        </w:rPr>
        <w:t>第九章  公开招标失败的后续处理</w:t>
      </w:r>
    </w:p>
    <w:p w14:paraId="6597926F">
      <w:pPr>
        <w:ind w:left="630" w:leftChars="300" w:firstLine="411" w:firstLineChars="196"/>
        <w:rPr>
          <w:rFonts w:ascii="宋体" w:hAnsi="宋体"/>
          <w:szCs w:val="21"/>
        </w:rPr>
      </w:pPr>
      <w:r>
        <w:rPr>
          <w:rFonts w:hint="eastAsia" w:ascii="宋体" w:hAnsi="宋体"/>
          <w:szCs w:val="21"/>
        </w:rPr>
        <w:t>第十章  合同的授予与备案</w:t>
      </w:r>
    </w:p>
    <w:p w14:paraId="2A5E5278">
      <w:pPr>
        <w:ind w:firstLine="1050" w:firstLineChars="500"/>
        <w:outlineLvl w:val="0"/>
        <w:rPr>
          <w:b/>
          <w:sz w:val="24"/>
        </w:rPr>
      </w:pPr>
      <w:r>
        <w:rPr>
          <w:rFonts w:hint="eastAsia" w:ascii="宋体" w:hAnsi="宋体"/>
          <w:szCs w:val="21"/>
        </w:rPr>
        <w:t>第十一章  质疑处理</w:t>
      </w:r>
    </w:p>
    <w:p w14:paraId="2093A587">
      <w:pPr>
        <w:spacing w:line="360" w:lineRule="auto"/>
        <w:ind w:firstLine="420" w:firstLineChars="200"/>
        <w:jc w:val="left"/>
        <w:rPr>
          <w:rFonts w:ascii="宋体" w:hAnsi="宋体"/>
          <w:szCs w:val="21"/>
        </w:rPr>
      </w:pPr>
    </w:p>
    <w:p w14:paraId="35F6B6C0">
      <w:pPr>
        <w:pStyle w:val="2"/>
        <w:rPr>
          <w:sz w:val="24"/>
        </w:rPr>
      </w:pPr>
      <w:r>
        <w:br w:type="page"/>
      </w:r>
      <w:bookmarkStart w:id="2" w:name="bt合同条款"/>
      <w:bookmarkEnd w:id="2"/>
      <w:bookmarkStart w:id="3" w:name="bt其他资料由投标人自定"/>
      <w:bookmarkEnd w:id="3"/>
      <w:bookmarkStart w:id="4" w:name="bt合同格式"/>
      <w:bookmarkEnd w:id="4"/>
      <w:bookmarkStart w:id="5" w:name="bt说明"/>
      <w:bookmarkEnd w:id="5"/>
      <w:bookmarkStart w:id="6" w:name="bt合同条款及格式"/>
      <w:bookmarkEnd w:id="6"/>
      <w:bookmarkStart w:id="7" w:name="bt其他资料2"/>
      <w:bookmarkEnd w:id="7"/>
      <w:bookmarkStart w:id="8" w:name="bt投标人须知"/>
      <w:bookmarkEnd w:id="8"/>
      <w:bookmarkStart w:id="9" w:name="bt投标文件签署授权委托书"/>
      <w:bookmarkEnd w:id="9"/>
      <w:bookmarkStart w:id="10" w:name="bt开标一览表"/>
      <w:bookmarkEnd w:id="10"/>
      <w:bookmarkStart w:id="11" w:name="bt投标人情况介绍"/>
      <w:bookmarkEnd w:id="11"/>
      <w:bookmarkStart w:id="12" w:name="bt投标报价汇总表"/>
      <w:bookmarkEnd w:id="12"/>
      <w:bookmarkStart w:id="13" w:name="bt投标函"/>
      <w:bookmarkEnd w:id="13"/>
      <w:bookmarkStart w:id="14" w:name="合同格式"/>
      <w:bookmarkEnd w:id="14"/>
      <w:bookmarkStart w:id="15" w:name="bt项目管理班子配备情况"/>
      <w:bookmarkEnd w:id="15"/>
      <w:bookmarkStart w:id="16" w:name="bt商务标投标文件格式"/>
      <w:bookmarkEnd w:id="16"/>
      <w:bookmarkStart w:id="17" w:name="bt本工程承诺书"/>
      <w:bookmarkEnd w:id="17"/>
      <w:bookmarkStart w:id="18" w:name="bt技术标投标文件格式"/>
      <w:bookmarkEnd w:id="18"/>
      <w:r>
        <w:rPr>
          <w:rFonts w:hint="eastAsia"/>
        </w:rPr>
        <w:t>第一册  专用条款</w:t>
      </w:r>
    </w:p>
    <w:p w14:paraId="4B9182C7">
      <w:pPr>
        <w:pStyle w:val="3"/>
        <w:rPr>
          <w:sz w:val="28"/>
          <w:szCs w:val="28"/>
        </w:rPr>
      </w:pPr>
      <w:r>
        <w:rPr>
          <w:rFonts w:hint="eastAsia"/>
          <w:sz w:val="28"/>
          <w:szCs w:val="28"/>
        </w:rPr>
        <w:t>第一章  招标公告</w:t>
      </w:r>
    </w:p>
    <w:tbl>
      <w:tblPr>
        <w:tblStyle w:val="42"/>
        <w:tblW w:w="9394" w:type="dxa"/>
        <w:jc w:val="center"/>
        <w:tblCellSpacing w:w="0" w:type="dxa"/>
        <w:tblLayout w:type="fixed"/>
        <w:tblCellMar>
          <w:top w:w="0" w:type="dxa"/>
          <w:left w:w="0" w:type="dxa"/>
          <w:bottom w:w="0" w:type="dxa"/>
          <w:right w:w="0" w:type="dxa"/>
        </w:tblCellMar>
      </w:tblPr>
      <w:tblGrid>
        <w:gridCol w:w="9394"/>
      </w:tblGrid>
      <w:tr w14:paraId="1BC850E1">
        <w:tblPrEx>
          <w:tblCellMar>
            <w:top w:w="0" w:type="dxa"/>
            <w:left w:w="0" w:type="dxa"/>
            <w:bottom w:w="0" w:type="dxa"/>
            <w:right w:w="0" w:type="dxa"/>
          </w:tblCellMar>
        </w:tblPrEx>
        <w:trPr>
          <w:tblCellSpacing w:w="0" w:type="dxa"/>
          <w:jc w:val="center"/>
        </w:trPr>
        <w:tc>
          <w:tcPr>
            <w:tcW w:w="9394" w:type="dxa"/>
            <w:vAlign w:val="center"/>
          </w:tcPr>
          <w:tbl>
            <w:tblPr>
              <w:tblStyle w:val="42"/>
              <w:tblW w:w="9089" w:type="dxa"/>
              <w:jc w:val="center"/>
              <w:tblCellSpacing w:w="0" w:type="dxa"/>
              <w:tblLayout w:type="fixed"/>
              <w:tblCellMar>
                <w:top w:w="30" w:type="dxa"/>
                <w:left w:w="30" w:type="dxa"/>
                <w:bottom w:w="30" w:type="dxa"/>
                <w:right w:w="30" w:type="dxa"/>
              </w:tblCellMar>
            </w:tblPr>
            <w:tblGrid>
              <w:gridCol w:w="9089"/>
            </w:tblGrid>
            <w:tr w14:paraId="1BC0BE38">
              <w:trPr>
                <w:tblCellSpacing w:w="0" w:type="dxa"/>
                <w:jc w:val="center"/>
              </w:trPr>
              <w:tc>
                <w:tcPr>
                  <w:tcW w:w="9089" w:type="dxa"/>
                </w:tcPr>
                <w:p w14:paraId="256F8F0B">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448F8D8F">
                  <w:pPr>
                    <w:ind w:firstLine="420" w:firstLineChars="200"/>
                    <w:rPr>
                      <w:rFonts w:ascii="宋体" w:hAnsi="宋体" w:cs="宋体"/>
                      <w:kern w:val="0"/>
                      <w:szCs w:val="21"/>
                    </w:rPr>
                  </w:pPr>
                  <w:r>
                    <w:rPr>
                      <w:rFonts w:hint="eastAsia" w:ascii="宋体" w:hAnsi="宋体" w:cs="宋体"/>
                      <w:kern w:val="0"/>
                      <w:szCs w:val="21"/>
                    </w:rPr>
                    <w:t>1.具有独立法人资格或是具有独立承担民事责任能力的其他组织（提供营业执照或事业单位法人证书等证明资料扫描件；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p>
                <w:p w14:paraId="6B1C0882">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2.本项目不接受联合体投标，</w:t>
                  </w:r>
                  <w:r>
                    <w:rPr>
                      <w:rFonts w:hint="eastAsia" w:ascii="宋体" w:hAnsi="宋体" w:cs="宋体"/>
                      <w:color w:val="FF0000"/>
                      <w:kern w:val="0"/>
                      <w:szCs w:val="21"/>
                    </w:rPr>
                    <w:t>不允许分包，禁止转包</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p>
                <w:p w14:paraId="46112382">
                  <w:pPr>
                    <w:ind w:firstLine="420" w:firstLineChars="200"/>
                    <w:rPr>
                      <w:rFonts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14:paraId="010B61BB">
                  <w:pPr>
                    <w:ind w:firstLine="420" w:firstLineChars="200"/>
                    <w:rPr>
                      <w:rFonts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14:paraId="1AC73FF4">
                  <w:pPr>
                    <w:ind w:firstLine="420" w:firstLineChars="200"/>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14:paraId="5B3DF511">
                  <w:pPr>
                    <w:ind w:firstLine="420" w:firstLineChars="200"/>
                    <w:rPr>
                      <w:rFonts w:ascii="宋体" w:hAnsi="宋体" w:cs="宋体"/>
                      <w:color w:val="FF0000"/>
                      <w:kern w:val="0"/>
                      <w:szCs w:val="21"/>
                    </w:rPr>
                  </w:pPr>
                  <w:r>
                    <w:rPr>
                      <w:rFonts w:hint="eastAsia" w:ascii="宋体" w:hAnsi="宋体" w:cs="宋体"/>
                      <w:color w:val="FF0000"/>
                      <w:kern w:val="0"/>
                      <w:szCs w:val="21"/>
                    </w:rPr>
                    <w:t>6.不存在《深圳市财政局政府采购供应商信用信息管理办法》（深财规〔2023〕3号）列明的严重违法失信行为（由供应商在《政府采购投标及履约承诺函》中作出声明）；</w:t>
                  </w:r>
                </w:p>
                <w:p w14:paraId="284FA853">
                  <w:pPr>
                    <w:ind w:firstLine="420" w:firstLineChars="200"/>
                    <w:rPr>
                      <w:rFonts w:ascii="宋体" w:hAnsi="宋体" w:cs="宋体"/>
                      <w:kern w:val="0"/>
                      <w:szCs w:val="21"/>
                    </w:rPr>
                  </w:pPr>
                  <w:r>
                    <w:rPr>
                      <w:rFonts w:hint="eastAsia" w:ascii="宋体" w:hAnsi="宋体" w:cs="宋体"/>
                      <w:kern w:val="0"/>
                      <w:szCs w:val="21"/>
                    </w:rPr>
                    <w:t>7.为采购项目提供整体设计、规范编制或者项目管理、监理、检测等服务的供应商，不得再参加该采购项目的其他采购活动（由供应商在《政府采购投标及履约承诺函》中作出声明）；</w:t>
                  </w:r>
                </w:p>
                <w:p w14:paraId="47789305">
                  <w:pPr>
                    <w:pStyle w:val="59"/>
                    <w:ind w:firstLine="420" w:firstLineChars="200"/>
                    <w:rPr>
                      <w:rFonts w:hint="eastAsia" w:eastAsia="宋体"/>
                      <w:lang w:eastAsia="zh-CN"/>
                    </w:rPr>
                  </w:pPr>
                  <w:r>
                    <w:rPr>
                      <w:rFonts w:hint="eastAsia" w:ascii="宋体" w:hAnsi="宋体" w:cs="宋体"/>
                      <w:color w:val="FF0000"/>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ascii="宋体" w:hAnsi="宋体" w:cs="宋体"/>
                      <w:color w:val="FF0000"/>
                      <w:kern w:val="0"/>
                      <w:szCs w:val="21"/>
                      <w:lang w:eastAsia="zh-CN"/>
                    </w:rPr>
                    <w:t>；</w:t>
                  </w:r>
                </w:p>
                <w:p w14:paraId="6C20AA67">
                  <w:pPr>
                    <w:pStyle w:val="59"/>
                    <w:ind w:firstLine="420" w:firstLineChars="200"/>
                    <w:rPr>
                      <w:rFonts w:hint="eastAsia" w:ascii="宋体" w:hAnsi="宋体" w:eastAsia="宋体" w:cs="宋体"/>
                      <w:kern w:val="0"/>
                      <w:szCs w:val="21"/>
                      <w:lang w:eastAsia="zh-CN"/>
                    </w:rPr>
                  </w:pPr>
                  <w:r>
                    <w:rPr>
                      <w:rFonts w:hint="eastAsia" w:ascii="宋体" w:hAnsi="宋体" w:cs="宋体"/>
                      <w:kern w:val="0"/>
                      <w:szCs w:val="21"/>
                    </w:rPr>
                    <w:t>9.本项目</w:t>
                  </w:r>
                  <w:r>
                    <w:rPr>
                      <w:rFonts w:hint="eastAsia" w:ascii="宋体" w:hAnsi="宋体" w:cs="宋体"/>
                      <w:kern w:val="0"/>
                      <w:szCs w:val="21"/>
                      <w:lang w:val="en-US" w:eastAsia="zh-CN"/>
                    </w:rPr>
                    <w:t>不</w:t>
                  </w:r>
                  <w:r>
                    <w:rPr>
                      <w:rFonts w:hint="eastAsia" w:ascii="宋体" w:hAnsi="宋体" w:cs="宋体"/>
                      <w:kern w:val="0"/>
                      <w:szCs w:val="21"/>
                    </w:rPr>
                    <w:t>专门面向中小企业采购</w:t>
                  </w:r>
                  <w:r>
                    <w:rPr>
                      <w:rFonts w:hint="eastAsia" w:ascii="宋体" w:hAnsi="宋体" w:cs="宋体"/>
                      <w:kern w:val="0"/>
                      <w:szCs w:val="21"/>
                      <w:lang w:eastAsia="zh-CN"/>
                    </w:rPr>
                    <w:t>；</w:t>
                  </w:r>
                </w:p>
                <w:p w14:paraId="1BDECFBC">
                  <w:pPr>
                    <w:ind w:firstLine="420" w:firstLineChars="200"/>
                    <w:rPr>
                      <w:rFonts w:hint="eastAsia" w:ascii="宋体" w:hAnsi="宋体" w:eastAsia="宋体" w:cs="宋体"/>
                      <w:kern w:val="0"/>
                      <w:szCs w:val="21"/>
                      <w:lang w:eastAsia="zh-CN"/>
                    </w:rPr>
                  </w:pPr>
                  <w:r>
                    <w:rPr>
                      <w:rFonts w:hint="eastAsia" w:ascii="宋体" w:hAnsi="宋体" w:cs="宋体"/>
                      <w:kern w:val="0"/>
                      <w:szCs w:val="21"/>
                      <w:lang w:val="en-US" w:eastAsia="zh-CN"/>
                    </w:rPr>
                    <w:t>10</w:t>
                  </w:r>
                  <w:r>
                    <w:rPr>
                      <w:rFonts w:hint="eastAsia" w:ascii="宋体" w:hAnsi="宋体" w:cs="宋体"/>
                      <w:kern w:val="0"/>
                      <w:szCs w:val="21"/>
                    </w:rPr>
                    <w:t>.</w:t>
                  </w:r>
                  <w:r>
                    <w:rPr>
                      <w:rFonts w:hint="eastAsia" w:ascii="宋体" w:hAnsi="宋体" w:eastAsia="宋体" w:cs="宋体"/>
                      <w:kern w:val="0"/>
                      <w:szCs w:val="21"/>
                    </w:rPr>
                    <w:t>供应商须至少满足下列条件中的一项:①投标人具有市场监督管理部门颁发的有效期内的《食品经营许可证》。或②投标人在其生产加工场所或者通过网络销售其生产的食品，提供符合要求的承诺函（格式自拟），及市场监督管理部门颁发的有效期内的《食品生产许可证》</w:t>
                  </w:r>
                  <w:r>
                    <w:rPr>
                      <w:rFonts w:hint="eastAsia" w:ascii="宋体" w:hAnsi="宋体" w:cs="宋体"/>
                      <w:kern w:val="0"/>
                      <w:szCs w:val="21"/>
                    </w:rPr>
                    <w:t>。</w:t>
                  </w:r>
                </w:p>
                <w:p w14:paraId="0C80894D">
                  <w:pPr>
                    <w:rPr>
                      <w:rFonts w:ascii="宋体" w:hAnsi="宋体" w:cs="宋体"/>
                      <w:kern w:val="0"/>
                      <w:szCs w:val="21"/>
                    </w:rPr>
                  </w:pPr>
                </w:p>
                <w:p w14:paraId="79AD382F">
                  <w:pPr>
                    <w:wordWrap w:val="0"/>
                    <w:ind w:firstLine="420" w:firstLineChars="200"/>
                    <w:rPr>
                      <w:rFonts w:ascii="宋体" w:hAnsi="宋体" w:cs="宋体"/>
                      <w:kern w:val="0"/>
                      <w:szCs w:val="21"/>
                    </w:rPr>
                  </w:pPr>
                  <w:r>
                    <w:rPr>
                      <w:rFonts w:hint="eastAsia" w:ascii="宋体" w:hAnsi="宋体" w:cs="宋体"/>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ascii="宋体" w:hAnsi="宋体" w:cs="宋体"/>
                      <w:kern w:val="0"/>
                      <w:szCs w:val="21"/>
                    </w:rPr>
                    <w:t>为供应商信用信息的查询渠道，相关信息以开标当日的查询结果为准；</w:t>
                  </w:r>
                </w:p>
                <w:p w14:paraId="0203ED13">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145DA30A">
                  <w:pPr>
                    <w:spacing w:beforeAutospacing="1" w:afterAutospacing="1"/>
                    <w:ind w:firstLine="442" w:firstLineChars="200"/>
                    <w:rPr>
                      <w:rFonts w:ascii="宋体" w:hAnsi="宋体" w:cs="宋体"/>
                      <w:sz w:val="24"/>
                    </w:rPr>
                  </w:pPr>
                  <w:r>
                    <w:rPr>
                      <w:rFonts w:hint="eastAsia"/>
                      <w:b/>
                      <w:sz w:val="22"/>
                      <w:szCs w:val="18"/>
                    </w:rPr>
                    <w:t>完整公告内容详见：深圳公共资源交易网（</w:t>
                  </w:r>
                  <w:r>
                    <w:rPr>
                      <w:b/>
                      <w:sz w:val="22"/>
                      <w:szCs w:val="18"/>
                    </w:rPr>
                    <w:t>https://www.szggzy.com</w:t>
                  </w:r>
                  <w:r>
                    <w:rPr>
                      <w:rFonts w:hint="eastAsia"/>
                      <w:b/>
                      <w:sz w:val="22"/>
                      <w:szCs w:val="18"/>
                    </w:rPr>
                    <w:t>）</w:t>
                  </w:r>
                </w:p>
              </w:tc>
            </w:tr>
          </w:tbl>
          <w:p w14:paraId="49462AF9">
            <w:pPr>
              <w:rPr>
                <w:rFonts w:ascii="宋体" w:hAnsi="宋体" w:cs="宋体"/>
                <w:sz w:val="24"/>
              </w:rPr>
            </w:pPr>
          </w:p>
        </w:tc>
      </w:tr>
    </w:tbl>
    <w:p w14:paraId="6402FDDC">
      <w:pPr>
        <w:rPr>
          <w:rFonts w:hint="eastAsia"/>
          <w:sz w:val="28"/>
          <w:szCs w:val="28"/>
        </w:rPr>
      </w:pPr>
      <w:r>
        <w:rPr>
          <w:rFonts w:hint="eastAsia"/>
          <w:sz w:val="28"/>
          <w:szCs w:val="28"/>
        </w:rPr>
        <w:br w:type="page"/>
      </w:r>
    </w:p>
    <w:p w14:paraId="01E9A020">
      <w:pPr>
        <w:pStyle w:val="3"/>
        <w:rPr>
          <w:sz w:val="28"/>
          <w:szCs w:val="28"/>
        </w:rPr>
      </w:pPr>
      <w:r>
        <w:rPr>
          <w:rFonts w:hint="eastAsia"/>
          <w:sz w:val="28"/>
          <w:szCs w:val="28"/>
        </w:rPr>
        <w:t>第二章 对通用条款的补充内容及其他关键信息</w:t>
      </w:r>
    </w:p>
    <w:p w14:paraId="759E23BC">
      <w:pPr>
        <w:pStyle w:val="3"/>
        <w:spacing w:before="120" w:beforeLines="50" w:after="120" w:afterLines="50"/>
        <w:rPr>
          <w:sz w:val="28"/>
          <w:szCs w:val="28"/>
        </w:rPr>
      </w:pPr>
      <w:bookmarkStart w:id="19" w:name="_Toc73521635"/>
      <w:bookmarkStart w:id="20" w:name="_Toc60560625"/>
      <w:bookmarkStart w:id="21" w:name="_Toc73518117"/>
      <w:bookmarkStart w:id="22" w:name="_Toc100052364"/>
      <w:bookmarkStart w:id="23" w:name="_Toc73521547"/>
      <w:bookmarkStart w:id="24" w:name="_Toc73517639"/>
      <w:bookmarkStart w:id="25" w:name="_Toc60631620"/>
      <w:bookmarkStart w:id="26" w:name="_Toc101074876"/>
      <w:r>
        <w:rPr>
          <w:rFonts w:hint="eastAsia"/>
          <w:szCs w:val="24"/>
        </w:rPr>
        <w:t>一、对通用条款的补充内容</w:t>
      </w:r>
    </w:p>
    <w:bookmarkEnd w:id="19"/>
    <w:bookmarkEnd w:id="20"/>
    <w:bookmarkEnd w:id="21"/>
    <w:bookmarkEnd w:id="22"/>
    <w:bookmarkEnd w:id="23"/>
    <w:bookmarkEnd w:id="24"/>
    <w:bookmarkEnd w:id="25"/>
    <w:bookmarkEnd w:id="26"/>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00A5F3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B900F87">
            <w:pPr>
              <w:jc w:val="center"/>
              <w:rPr>
                <w:rFonts w:ascii="宋体" w:hAnsi="宋体"/>
                <w:b/>
                <w:bCs/>
              </w:rPr>
            </w:pPr>
            <w:r>
              <w:rPr>
                <w:rFonts w:hint="eastAsia" w:ascii="宋体" w:hAnsi="宋体"/>
                <w:b/>
                <w:bCs/>
              </w:rPr>
              <w:t>通用条款序号</w:t>
            </w:r>
          </w:p>
        </w:tc>
        <w:tc>
          <w:tcPr>
            <w:tcW w:w="2409" w:type="dxa"/>
            <w:vAlign w:val="center"/>
          </w:tcPr>
          <w:p w14:paraId="4E1FA2B0">
            <w:pPr>
              <w:jc w:val="center"/>
              <w:rPr>
                <w:rFonts w:ascii="宋体" w:hAnsi="宋体"/>
                <w:b/>
                <w:bCs/>
              </w:rPr>
            </w:pPr>
            <w:r>
              <w:rPr>
                <w:rFonts w:hint="eastAsia" w:ascii="宋体" w:hAnsi="宋体"/>
                <w:b/>
                <w:bCs/>
              </w:rPr>
              <w:t>涉及事项</w:t>
            </w:r>
          </w:p>
        </w:tc>
        <w:tc>
          <w:tcPr>
            <w:tcW w:w="4980" w:type="dxa"/>
            <w:vAlign w:val="center"/>
          </w:tcPr>
          <w:p w14:paraId="6A83DDBB">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52A2D8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EA847D8">
            <w:pPr>
              <w:jc w:val="center"/>
              <w:rPr>
                <w:rFonts w:ascii="宋体" w:hAnsi="宋体"/>
              </w:rPr>
            </w:pPr>
            <w:r>
              <w:rPr>
                <w:rFonts w:hint="eastAsia" w:ascii="宋体" w:hAnsi="宋体"/>
              </w:rPr>
              <w:t>3</w:t>
            </w:r>
            <w:r>
              <w:rPr>
                <w:rFonts w:ascii="宋体" w:hAnsi="宋体"/>
              </w:rPr>
              <w:t>.1</w:t>
            </w:r>
          </w:p>
        </w:tc>
        <w:tc>
          <w:tcPr>
            <w:tcW w:w="2409" w:type="dxa"/>
            <w:vAlign w:val="center"/>
          </w:tcPr>
          <w:p w14:paraId="62E8AF62">
            <w:pPr>
              <w:jc w:val="center"/>
            </w:pPr>
            <w:r>
              <w:rPr>
                <w:rFonts w:hint="eastAsia"/>
              </w:rPr>
              <w:t>采购人</w:t>
            </w:r>
          </w:p>
        </w:tc>
        <w:tc>
          <w:tcPr>
            <w:tcW w:w="4980" w:type="dxa"/>
            <w:vAlign w:val="center"/>
          </w:tcPr>
          <w:p w14:paraId="39410158">
            <w:pPr>
              <w:jc w:val="center"/>
              <w:rPr>
                <w:rFonts w:ascii="宋体" w:hAnsi="宋体"/>
              </w:rPr>
            </w:pPr>
            <w:r>
              <w:rPr>
                <w:rFonts w:hint="eastAsia" w:ascii="宋体" w:hAnsi="宋体"/>
              </w:rPr>
              <w:t>深圳市第七高级中学</w:t>
            </w:r>
          </w:p>
        </w:tc>
      </w:tr>
      <w:tr w14:paraId="401927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B2AF4D2">
            <w:pPr>
              <w:jc w:val="center"/>
              <w:rPr>
                <w:rFonts w:ascii="宋体" w:hAnsi="宋体"/>
              </w:rPr>
            </w:pPr>
            <w:r>
              <w:rPr>
                <w:rFonts w:hint="eastAsia" w:ascii="宋体" w:hAnsi="宋体"/>
              </w:rPr>
              <w:t>3</w:t>
            </w:r>
            <w:r>
              <w:rPr>
                <w:rFonts w:ascii="宋体" w:hAnsi="宋体"/>
              </w:rPr>
              <w:t>.2</w:t>
            </w:r>
          </w:p>
        </w:tc>
        <w:tc>
          <w:tcPr>
            <w:tcW w:w="2409" w:type="dxa"/>
            <w:vAlign w:val="center"/>
          </w:tcPr>
          <w:p w14:paraId="66E45B6D">
            <w:pPr>
              <w:jc w:val="center"/>
              <w:rPr>
                <w:rFonts w:ascii="宋体" w:hAnsi="宋体"/>
              </w:rPr>
            </w:pPr>
            <w:r>
              <w:rPr>
                <w:rFonts w:hint="eastAsia" w:ascii="宋体" w:hAnsi="宋体"/>
              </w:rPr>
              <w:t>政府集中采购机构</w:t>
            </w:r>
          </w:p>
        </w:tc>
        <w:tc>
          <w:tcPr>
            <w:tcW w:w="4980" w:type="dxa"/>
            <w:vAlign w:val="center"/>
          </w:tcPr>
          <w:p w14:paraId="234EF0D3">
            <w:pPr>
              <w:jc w:val="center"/>
              <w:rPr>
                <w:rFonts w:ascii="宋体" w:hAnsi="宋体"/>
              </w:rPr>
            </w:pPr>
            <w:r>
              <w:rPr>
                <w:rFonts w:hint="eastAsia" w:ascii="宋体" w:hAnsi="宋体"/>
              </w:rPr>
              <w:t>深圳公共资源交易中心</w:t>
            </w:r>
          </w:p>
          <w:p w14:paraId="4E926750">
            <w:pPr>
              <w:jc w:val="center"/>
              <w:rPr>
                <w:rFonts w:ascii="宋体" w:hAnsi="宋体"/>
              </w:rPr>
            </w:pPr>
            <w:r>
              <w:rPr>
                <w:rFonts w:hint="eastAsia" w:ascii="宋体" w:hAnsi="宋体"/>
              </w:rPr>
              <w:t>（深圳交易集团有限公司政府采购业务分公司）</w:t>
            </w:r>
          </w:p>
        </w:tc>
      </w:tr>
      <w:tr w14:paraId="1ED695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06BDB48">
            <w:pPr>
              <w:jc w:val="center"/>
              <w:rPr>
                <w:rFonts w:ascii="宋体" w:hAnsi="宋体"/>
              </w:rPr>
            </w:pPr>
            <w:r>
              <w:rPr>
                <w:rFonts w:hint="eastAsia" w:ascii="宋体" w:hAnsi="宋体"/>
              </w:rPr>
              <w:t>9</w:t>
            </w:r>
          </w:p>
        </w:tc>
        <w:tc>
          <w:tcPr>
            <w:tcW w:w="2409" w:type="dxa"/>
            <w:vAlign w:val="center"/>
          </w:tcPr>
          <w:p w14:paraId="2325B091">
            <w:pPr>
              <w:jc w:val="center"/>
              <w:rPr>
                <w:rFonts w:ascii="宋体" w:hAnsi="宋体"/>
              </w:rPr>
            </w:pPr>
            <w:r>
              <w:rPr>
                <w:rFonts w:hint="eastAsia" w:ascii="宋体" w:hAnsi="宋体"/>
              </w:rPr>
              <w:t>踏勘现场</w:t>
            </w:r>
          </w:p>
        </w:tc>
        <w:tc>
          <w:tcPr>
            <w:tcW w:w="4980" w:type="dxa"/>
            <w:vAlign w:val="center"/>
          </w:tcPr>
          <w:p w14:paraId="04558A00">
            <w:pPr>
              <w:jc w:val="center"/>
              <w:rPr>
                <w:rFonts w:ascii="宋体" w:hAnsi="宋体"/>
              </w:rPr>
            </w:pPr>
            <w:r>
              <w:rPr>
                <w:rFonts w:hint="eastAsia" w:ascii="宋体" w:hAnsi="宋体"/>
              </w:rPr>
              <w:t>不组织</w:t>
            </w:r>
          </w:p>
        </w:tc>
      </w:tr>
      <w:tr w14:paraId="01D871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177D8A2">
            <w:pPr>
              <w:jc w:val="center"/>
              <w:rPr>
                <w:rFonts w:ascii="宋体" w:hAnsi="宋体"/>
              </w:rPr>
            </w:pPr>
            <w:r>
              <w:rPr>
                <w:rFonts w:hint="eastAsia" w:ascii="宋体" w:hAnsi="宋体"/>
              </w:rPr>
              <w:t>1</w:t>
            </w:r>
            <w:r>
              <w:rPr>
                <w:rFonts w:ascii="宋体" w:hAnsi="宋体"/>
              </w:rPr>
              <w:t>0</w:t>
            </w:r>
          </w:p>
        </w:tc>
        <w:tc>
          <w:tcPr>
            <w:tcW w:w="2409" w:type="dxa"/>
            <w:vAlign w:val="center"/>
          </w:tcPr>
          <w:p w14:paraId="3B826D11">
            <w:pPr>
              <w:jc w:val="center"/>
              <w:rPr>
                <w:rFonts w:ascii="宋体" w:hAnsi="宋体"/>
              </w:rPr>
            </w:pPr>
            <w:r>
              <w:rPr>
                <w:rFonts w:hint="eastAsia" w:ascii="宋体" w:hAnsi="宋体"/>
              </w:rPr>
              <w:t>标前会议</w:t>
            </w:r>
          </w:p>
        </w:tc>
        <w:tc>
          <w:tcPr>
            <w:tcW w:w="4980" w:type="dxa"/>
            <w:vAlign w:val="center"/>
          </w:tcPr>
          <w:p w14:paraId="57B96A8F">
            <w:pPr>
              <w:jc w:val="center"/>
              <w:rPr>
                <w:rFonts w:ascii="宋体" w:hAnsi="宋体"/>
              </w:rPr>
            </w:pPr>
            <w:r>
              <w:rPr>
                <w:rFonts w:hint="eastAsia" w:ascii="宋体" w:hAnsi="宋体"/>
              </w:rPr>
              <w:t>不组织</w:t>
            </w:r>
          </w:p>
        </w:tc>
      </w:tr>
      <w:tr w14:paraId="6B3C06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CBCD15">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710410B7">
            <w:pPr>
              <w:jc w:val="center"/>
              <w:rPr>
                <w:rFonts w:ascii="宋体" w:hAnsi="宋体"/>
              </w:rPr>
            </w:pPr>
            <w:r>
              <w:rPr>
                <w:rFonts w:hint="eastAsia" w:ascii="宋体" w:hAnsi="宋体"/>
              </w:rPr>
              <w:t>招标文件的澄清和修改</w:t>
            </w:r>
          </w:p>
        </w:tc>
        <w:tc>
          <w:tcPr>
            <w:tcW w:w="4980" w:type="dxa"/>
            <w:vAlign w:val="center"/>
          </w:tcPr>
          <w:p w14:paraId="18357D5E">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7569B5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48CB56C">
            <w:pPr>
              <w:jc w:val="center"/>
              <w:rPr>
                <w:rFonts w:ascii="宋体" w:hAnsi="宋体"/>
              </w:rPr>
            </w:pPr>
            <w:r>
              <w:rPr>
                <w:rFonts w:hint="eastAsia" w:ascii="宋体" w:hAnsi="宋体"/>
              </w:rPr>
              <w:t>2</w:t>
            </w:r>
            <w:r>
              <w:rPr>
                <w:rFonts w:ascii="宋体" w:hAnsi="宋体"/>
              </w:rPr>
              <w:t>0</w:t>
            </w:r>
          </w:p>
        </w:tc>
        <w:tc>
          <w:tcPr>
            <w:tcW w:w="2409" w:type="dxa"/>
            <w:vAlign w:val="center"/>
          </w:tcPr>
          <w:p w14:paraId="4CD246CB">
            <w:pPr>
              <w:jc w:val="center"/>
              <w:rPr>
                <w:rFonts w:ascii="宋体" w:hAnsi="宋体"/>
              </w:rPr>
            </w:pPr>
            <w:r>
              <w:rPr>
                <w:rFonts w:hint="eastAsia" w:ascii="宋体" w:hAnsi="宋体"/>
              </w:rPr>
              <w:t>投标有效期</w:t>
            </w:r>
          </w:p>
        </w:tc>
        <w:tc>
          <w:tcPr>
            <w:tcW w:w="4980" w:type="dxa"/>
            <w:vAlign w:val="center"/>
          </w:tcPr>
          <w:p w14:paraId="55E14FE7">
            <w:pPr>
              <w:jc w:val="center"/>
              <w:rPr>
                <w:rFonts w:ascii="宋体" w:hAnsi="宋体"/>
              </w:rPr>
            </w:pPr>
            <w:r>
              <w:rPr>
                <w:rFonts w:hint="eastAsia" w:ascii="宋体" w:hAnsi="宋体"/>
              </w:rPr>
              <w:t>120个日历日</w:t>
            </w:r>
          </w:p>
        </w:tc>
      </w:tr>
      <w:tr w14:paraId="66E7A0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31B46B6">
            <w:pPr>
              <w:jc w:val="center"/>
              <w:rPr>
                <w:rFonts w:ascii="宋体" w:hAnsi="宋体"/>
              </w:rPr>
            </w:pPr>
            <w:r>
              <w:rPr>
                <w:rFonts w:hint="eastAsia" w:ascii="宋体" w:hAnsi="宋体"/>
              </w:rPr>
              <w:t>2</w:t>
            </w:r>
            <w:r>
              <w:rPr>
                <w:rFonts w:ascii="宋体" w:hAnsi="宋体"/>
              </w:rPr>
              <w:t>2</w:t>
            </w:r>
          </w:p>
        </w:tc>
        <w:tc>
          <w:tcPr>
            <w:tcW w:w="2409" w:type="dxa"/>
            <w:vAlign w:val="center"/>
          </w:tcPr>
          <w:p w14:paraId="6D73B350">
            <w:pPr>
              <w:jc w:val="center"/>
              <w:rPr>
                <w:rFonts w:ascii="宋体" w:hAnsi="宋体"/>
              </w:rPr>
            </w:pPr>
            <w:r>
              <w:rPr>
                <w:rFonts w:hint="eastAsia" w:ascii="宋体" w:hAnsi="宋体"/>
              </w:rPr>
              <w:t>投标人的替代方案</w:t>
            </w:r>
          </w:p>
        </w:tc>
        <w:tc>
          <w:tcPr>
            <w:tcW w:w="4980" w:type="dxa"/>
            <w:vAlign w:val="center"/>
          </w:tcPr>
          <w:p w14:paraId="5EB28766">
            <w:pPr>
              <w:jc w:val="center"/>
              <w:rPr>
                <w:rFonts w:ascii="宋体" w:hAnsi="宋体"/>
              </w:rPr>
            </w:pPr>
            <w:r>
              <w:rPr>
                <w:rFonts w:hint="eastAsia" w:ascii="宋体" w:hAnsi="宋体"/>
              </w:rPr>
              <w:t>不接受</w:t>
            </w:r>
          </w:p>
        </w:tc>
      </w:tr>
      <w:tr w14:paraId="145381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834CC5C">
            <w:pPr>
              <w:jc w:val="center"/>
              <w:rPr>
                <w:rFonts w:ascii="宋体" w:hAnsi="宋体"/>
              </w:rPr>
            </w:pPr>
            <w:r>
              <w:rPr>
                <w:rFonts w:hint="eastAsia" w:ascii="宋体" w:hAnsi="宋体"/>
              </w:rPr>
              <w:t>2</w:t>
            </w:r>
            <w:r>
              <w:rPr>
                <w:rFonts w:ascii="宋体" w:hAnsi="宋体"/>
              </w:rPr>
              <w:t>5</w:t>
            </w:r>
          </w:p>
        </w:tc>
        <w:tc>
          <w:tcPr>
            <w:tcW w:w="2409" w:type="dxa"/>
            <w:vAlign w:val="center"/>
          </w:tcPr>
          <w:p w14:paraId="3D2EF3DA">
            <w:pPr>
              <w:jc w:val="center"/>
              <w:rPr>
                <w:rFonts w:ascii="宋体" w:hAnsi="宋体"/>
              </w:rPr>
            </w:pPr>
            <w:r>
              <w:rPr>
                <w:rFonts w:hint="eastAsia" w:ascii="宋体" w:hAnsi="宋体"/>
              </w:rPr>
              <w:t>投标文件的大小</w:t>
            </w:r>
          </w:p>
        </w:tc>
        <w:tc>
          <w:tcPr>
            <w:tcW w:w="4980" w:type="dxa"/>
            <w:vAlign w:val="center"/>
          </w:tcPr>
          <w:p w14:paraId="46832356">
            <w:pPr>
              <w:jc w:val="center"/>
              <w:rPr>
                <w:rFonts w:ascii="宋体" w:hAnsi="宋体"/>
              </w:rPr>
            </w:pPr>
            <w:r>
              <w:rPr>
                <w:rFonts w:hint="eastAsia" w:ascii="宋体" w:hAnsi="宋体"/>
                <w:highlight w:val="none"/>
              </w:rPr>
              <w:t>电子</w:t>
            </w:r>
            <w:r>
              <w:rPr>
                <w:rFonts w:hint="eastAsia" w:ascii="宋体" w:hAnsi="宋体"/>
              </w:rPr>
              <w:t>投标文件大小不得超过</w:t>
            </w:r>
            <w:r>
              <w:rPr>
                <w:rFonts w:hint="eastAsia" w:ascii="宋体" w:hAnsi="宋体"/>
                <w:lang w:val="en-US" w:eastAsia="zh-CN"/>
              </w:rPr>
              <w:t>250</w:t>
            </w:r>
            <w:r>
              <w:rPr>
                <w:rFonts w:hint="eastAsia" w:ascii="宋体" w:hAnsi="宋体"/>
              </w:rPr>
              <w:t>MB</w:t>
            </w:r>
          </w:p>
        </w:tc>
      </w:tr>
      <w:tr w14:paraId="49EE32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3313E6E">
            <w:pPr>
              <w:jc w:val="center"/>
              <w:rPr>
                <w:rFonts w:ascii="宋体" w:hAnsi="宋体"/>
              </w:rPr>
            </w:pPr>
            <w:r>
              <w:rPr>
                <w:rFonts w:hint="eastAsia" w:ascii="宋体" w:hAnsi="宋体"/>
              </w:rPr>
              <w:t>2</w:t>
            </w:r>
            <w:r>
              <w:rPr>
                <w:rFonts w:ascii="宋体" w:hAnsi="宋体"/>
              </w:rPr>
              <w:t>6</w:t>
            </w:r>
          </w:p>
        </w:tc>
        <w:tc>
          <w:tcPr>
            <w:tcW w:w="2409" w:type="dxa"/>
            <w:vAlign w:val="center"/>
          </w:tcPr>
          <w:p w14:paraId="4D8A9811">
            <w:pPr>
              <w:jc w:val="center"/>
              <w:rPr>
                <w:rFonts w:ascii="宋体" w:hAnsi="宋体"/>
              </w:rPr>
            </w:pPr>
            <w:bookmarkStart w:id="27" w:name="_Hlk71664860"/>
            <w:r>
              <w:rPr>
                <w:rFonts w:hint="eastAsia" w:ascii="宋体" w:hAnsi="宋体"/>
              </w:rPr>
              <w:t>样品、现场演示、方案讲解</w:t>
            </w:r>
            <w:bookmarkEnd w:id="27"/>
          </w:p>
        </w:tc>
        <w:tc>
          <w:tcPr>
            <w:tcW w:w="4980" w:type="dxa"/>
            <w:vAlign w:val="center"/>
          </w:tcPr>
          <w:p w14:paraId="39F6A085">
            <w:pPr>
              <w:jc w:val="center"/>
              <w:rPr>
                <w:rFonts w:ascii="宋体" w:hAnsi="宋体"/>
              </w:rPr>
            </w:pPr>
            <w:r>
              <w:rPr>
                <w:rFonts w:hint="eastAsia" w:ascii="宋体" w:hAnsi="宋体"/>
              </w:rPr>
              <w:t>如有演示、方案讲解，具体安排见第三章 用户需求书相关要求</w:t>
            </w:r>
          </w:p>
        </w:tc>
      </w:tr>
      <w:tr w14:paraId="635BED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C69BB09">
            <w:pPr>
              <w:jc w:val="center"/>
              <w:rPr>
                <w:rFonts w:ascii="宋体" w:hAnsi="宋体"/>
              </w:rPr>
            </w:pPr>
            <w:r>
              <w:rPr>
                <w:rFonts w:hint="eastAsia" w:ascii="宋体" w:hAnsi="宋体"/>
              </w:rPr>
              <w:t>3</w:t>
            </w:r>
            <w:r>
              <w:rPr>
                <w:rFonts w:ascii="宋体" w:hAnsi="宋体"/>
              </w:rPr>
              <w:t>7</w:t>
            </w:r>
          </w:p>
        </w:tc>
        <w:tc>
          <w:tcPr>
            <w:tcW w:w="2409" w:type="dxa"/>
            <w:vAlign w:val="center"/>
          </w:tcPr>
          <w:p w14:paraId="23234AF7">
            <w:pPr>
              <w:jc w:val="center"/>
              <w:rPr>
                <w:rFonts w:ascii="宋体" w:hAnsi="宋体"/>
              </w:rPr>
            </w:pPr>
            <w:r>
              <w:rPr>
                <w:rFonts w:hint="eastAsia" w:ascii="宋体" w:hAnsi="宋体"/>
              </w:rPr>
              <w:t>评审方法</w:t>
            </w:r>
          </w:p>
        </w:tc>
        <w:tc>
          <w:tcPr>
            <w:tcW w:w="4980" w:type="dxa"/>
            <w:vAlign w:val="center"/>
          </w:tcPr>
          <w:p w14:paraId="118089E4">
            <w:pPr>
              <w:jc w:val="left"/>
              <w:rPr>
                <w:rFonts w:ascii="宋体" w:hAnsi="宋体"/>
              </w:rPr>
            </w:pPr>
            <w:r>
              <w:rPr>
                <w:rFonts w:hint="eastAsia" w:ascii="宋体" w:hAnsi="宋体"/>
              </w:rPr>
              <w:t>综合评分法</w:t>
            </w:r>
          </w:p>
        </w:tc>
      </w:tr>
      <w:tr w14:paraId="088C6A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5F4411C">
            <w:pPr>
              <w:jc w:val="center"/>
              <w:rPr>
                <w:rFonts w:ascii="宋体" w:hAnsi="宋体"/>
              </w:rPr>
            </w:pPr>
            <w:r>
              <w:rPr>
                <w:rFonts w:hint="eastAsia" w:ascii="宋体" w:hAnsi="宋体"/>
              </w:rPr>
              <w:t>3</w:t>
            </w:r>
            <w:r>
              <w:rPr>
                <w:rFonts w:ascii="宋体" w:hAnsi="宋体"/>
              </w:rPr>
              <w:t>8</w:t>
            </w:r>
          </w:p>
        </w:tc>
        <w:tc>
          <w:tcPr>
            <w:tcW w:w="2409" w:type="dxa"/>
            <w:vAlign w:val="center"/>
          </w:tcPr>
          <w:p w14:paraId="7E7B0DEE">
            <w:pPr>
              <w:jc w:val="center"/>
              <w:rPr>
                <w:rFonts w:ascii="宋体" w:hAnsi="宋体"/>
              </w:rPr>
            </w:pPr>
            <w:r>
              <w:rPr>
                <w:rFonts w:hint="eastAsia" w:ascii="宋体" w:hAnsi="宋体"/>
              </w:rPr>
              <w:t>是否为评定分离</w:t>
            </w:r>
          </w:p>
        </w:tc>
        <w:tc>
          <w:tcPr>
            <w:tcW w:w="4980" w:type="dxa"/>
            <w:vAlign w:val="center"/>
          </w:tcPr>
          <w:p w14:paraId="3B213734">
            <w:pPr>
              <w:jc w:val="left"/>
              <w:rPr>
                <w:rFonts w:ascii="宋体" w:hAnsi="宋体"/>
              </w:rPr>
            </w:pPr>
            <w:r>
              <w:rPr>
                <w:rFonts w:hint="eastAsia" w:ascii="宋体" w:hAnsi="宋体"/>
              </w:rPr>
              <w:t>评定分离</w:t>
            </w:r>
          </w:p>
          <w:p w14:paraId="394FCFD5">
            <w:pPr>
              <w:jc w:val="left"/>
              <w:rPr>
                <w:rFonts w:ascii="宋体" w:hAnsi="宋体"/>
              </w:rPr>
            </w:pPr>
            <w:r>
              <w:rPr>
                <w:rFonts w:hint="eastAsia" w:ascii="宋体" w:hAnsi="宋体"/>
              </w:rPr>
              <w:t>本项目推荐的候选中标供应商不进行排名，且中标（成交）结果信息公示内容仅公示候选中标供应商名单，不公示得分和排名。</w:t>
            </w:r>
          </w:p>
        </w:tc>
      </w:tr>
      <w:tr w14:paraId="7E3CAC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24D1057">
            <w:pPr>
              <w:jc w:val="center"/>
              <w:rPr>
                <w:rFonts w:ascii="宋体" w:hAnsi="宋体"/>
              </w:rPr>
            </w:pPr>
            <w:r>
              <w:rPr>
                <w:rFonts w:hint="eastAsia" w:ascii="宋体" w:hAnsi="宋体"/>
              </w:rPr>
              <w:t>4</w:t>
            </w:r>
            <w:r>
              <w:rPr>
                <w:rFonts w:ascii="宋体" w:hAnsi="宋体"/>
              </w:rPr>
              <w:t>6</w:t>
            </w:r>
          </w:p>
        </w:tc>
        <w:tc>
          <w:tcPr>
            <w:tcW w:w="2409" w:type="dxa"/>
            <w:vAlign w:val="center"/>
          </w:tcPr>
          <w:p w14:paraId="034BF018">
            <w:pPr>
              <w:jc w:val="center"/>
              <w:rPr>
                <w:rFonts w:ascii="宋体" w:hAnsi="宋体"/>
              </w:rPr>
            </w:pPr>
            <w:r>
              <w:rPr>
                <w:rFonts w:hint="eastAsia" w:ascii="宋体" w:hAnsi="宋体"/>
              </w:rPr>
              <w:t>履约担保</w:t>
            </w:r>
          </w:p>
        </w:tc>
        <w:tc>
          <w:tcPr>
            <w:tcW w:w="4980" w:type="dxa"/>
            <w:vAlign w:val="center"/>
          </w:tcPr>
          <w:p w14:paraId="77DFB625">
            <w:pPr>
              <w:jc w:val="left"/>
              <w:rPr>
                <w:rFonts w:hint="eastAsia" w:ascii="宋体" w:hAnsi="宋体" w:eastAsia="宋体"/>
                <w:lang w:val="en-US" w:eastAsia="zh-CN"/>
              </w:rPr>
            </w:pPr>
            <w:r>
              <w:rPr>
                <w:rFonts w:hint="eastAsia" w:ascii="宋体" w:hAnsi="宋体"/>
                <w:lang w:val="en-US" w:eastAsia="zh-CN"/>
              </w:rPr>
              <w:t>不需要</w:t>
            </w:r>
          </w:p>
        </w:tc>
      </w:tr>
    </w:tbl>
    <w:p w14:paraId="4FA99721">
      <w:pPr>
        <w:rPr>
          <w:b/>
        </w:rPr>
      </w:pPr>
      <w:r>
        <w:rPr>
          <w:rFonts w:hint="eastAsia"/>
          <w:szCs w:val="21"/>
        </w:rPr>
        <w:t>备注：本表是通用条款相关条款的补充和明确，如与通用条款内容相冲突的，以本表为准。</w:t>
      </w:r>
    </w:p>
    <w:p w14:paraId="30CB5625">
      <w:pPr>
        <w:rPr>
          <w:b/>
        </w:rPr>
      </w:pPr>
    </w:p>
    <w:p w14:paraId="218BDE33">
      <w:pPr>
        <w:pStyle w:val="3"/>
        <w:spacing w:before="120" w:beforeLines="50" w:after="120" w:afterLines="50"/>
        <w:rPr>
          <w:szCs w:val="24"/>
        </w:rPr>
      </w:pPr>
      <w:r>
        <w:rPr>
          <w:rFonts w:hint="eastAsia"/>
          <w:szCs w:val="24"/>
        </w:rPr>
        <w:t>二、其他关键信息</w:t>
      </w:r>
    </w:p>
    <w:p w14:paraId="3C017116">
      <w:pPr>
        <w:ind w:firstLine="422" w:firstLineChars="200"/>
        <w:rPr>
          <w:b/>
          <w:bCs/>
        </w:rPr>
      </w:pPr>
      <w:r>
        <w:rPr>
          <w:rFonts w:hint="eastAsia"/>
          <w:b/>
          <w:bCs/>
        </w:rPr>
        <w:t>（一）与“对通用条款的补充内容”章节相关的事项</w:t>
      </w:r>
    </w:p>
    <w:p w14:paraId="5BA1895F">
      <w:pPr>
        <w:spacing w:line="276" w:lineRule="auto"/>
        <w:ind w:firstLine="422" w:firstLineChars="200"/>
        <w:jc w:val="left"/>
        <w:rPr>
          <w:rFonts w:asciiTheme="minorEastAsia" w:hAnsiTheme="minorEastAsia" w:eastAsiaTheme="minorEastAsia"/>
          <w:b/>
          <w:kern w:val="0"/>
          <w:szCs w:val="20"/>
        </w:rPr>
      </w:pPr>
      <w:bookmarkStart w:id="28" w:name="_Hlk72579465"/>
      <w:r>
        <w:rPr>
          <w:rFonts w:hint="eastAsia" w:asciiTheme="minorEastAsia" w:hAnsiTheme="minorEastAsia" w:eastAsiaTheme="minorEastAsia"/>
          <w:b/>
          <w:kern w:val="0"/>
          <w:szCs w:val="20"/>
        </w:rPr>
        <w:t>1、评标定标信息</w:t>
      </w:r>
    </w:p>
    <w:p w14:paraId="55E0818D">
      <w:pPr>
        <w:jc w:val="center"/>
        <w:rPr>
          <w:b/>
        </w:rPr>
      </w:pPr>
      <w:r>
        <w:rPr>
          <w:rFonts w:hint="eastAsia"/>
          <w:b/>
        </w:rPr>
        <w:t>评定分离项目</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75D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9ACE00C">
            <w:pPr>
              <w:jc w:val="center"/>
            </w:pPr>
            <w:r>
              <w:rPr>
                <w:rFonts w:hint="eastAsia"/>
              </w:rPr>
              <w:t>评标方法</w:t>
            </w:r>
          </w:p>
        </w:tc>
        <w:tc>
          <w:tcPr>
            <w:tcW w:w="4265" w:type="dxa"/>
          </w:tcPr>
          <w:p w14:paraId="0FF791FC">
            <w:pPr>
              <w:jc w:val="center"/>
            </w:pPr>
            <w:r>
              <w:rPr>
                <w:rFonts w:hint="eastAsia"/>
              </w:rPr>
              <w:t>综合评分法</w:t>
            </w:r>
          </w:p>
        </w:tc>
      </w:tr>
      <w:tr w14:paraId="4C1E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3E906AF3">
            <w:pPr>
              <w:jc w:val="center"/>
            </w:pPr>
            <w:r>
              <w:rPr>
                <w:rFonts w:hint="eastAsia"/>
              </w:rPr>
              <w:t>定标方法</w:t>
            </w:r>
          </w:p>
        </w:tc>
        <w:tc>
          <w:tcPr>
            <w:tcW w:w="4265" w:type="dxa"/>
          </w:tcPr>
          <w:p w14:paraId="28431480">
            <w:pPr>
              <w:jc w:val="center"/>
            </w:pPr>
            <w:r>
              <w:rPr>
                <w:rFonts w:hint="eastAsia"/>
              </w:rPr>
              <w:t>自定法</w:t>
            </w:r>
          </w:p>
        </w:tc>
      </w:tr>
      <w:tr w14:paraId="35A7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5AA0DE4">
            <w:pPr>
              <w:jc w:val="center"/>
            </w:pPr>
            <w:r>
              <w:rPr>
                <w:rFonts w:hint="eastAsia"/>
              </w:rPr>
              <w:t>推荐候选中标供应商家数</w:t>
            </w:r>
          </w:p>
        </w:tc>
        <w:tc>
          <w:tcPr>
            <w:tcW w:w="4265" w:type="dxa"/>
          </w:tcPr>
          <w:p w14:paraId="5DC01884">
            <w:pPr>
              <w:jc w:val="center"/>
            </w:pPr>
            <w:r>
              <w:rPr>
                <w:rFonts w:hint="eastAsia"/>
              </w:rPr>
              <w:t>3</w:t>
            </w:r>
          </w:p>
        </w:tc>
      </w:tr>
      <w:tr w14:paraId="0775B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F7630AF">
            <w:pPr>
              <w:jc w:val="center"/>
            </w:pPr>
            <w:r>
              <w:rPr>
                <w:rFonts w:hint="eastAsia"/>
              </w:rPr>
              <w:t>中标供应商家数</w:t>
            </w:r>
          </w:p>
        </w:tc>
        <w:tc>
          <w:tcPr>
            <w:tcW w:w="4265" w:type="dxa"/>
          </w:tcPr>
          <w:p w14:paraId="6EFFB7D0">
            <w:pPr>
              <w:jc w:val="center"/>
            </w:pPr>
            <w:r>
              <w:rPr>
                <w:rFonts w:hint="eastAsia"/>
              </w:rPr>
              <w:t>1</w:t>
            </w:r>
          </w:p>
        </w:tc>
      </w:tr>
    </w:tbl>
    <w:p w14:paraId="4B299712">
      <w:pPr>
        <w:pStyle w:val="35"/>
      </w:pPr>
    </w:p>
    <w:bookmarkEnd w:id="28"/>
    <w:p w14:paraId="2482B449">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4E0394F8">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7345D711">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color="auto" w:fill="auto"/>
        </w:rPr>
        <w:t>残疾人福利性单位视同小型、微型企业</w:t>
      </w:r>
      <w:r>
        <w:rPr>
          <w:rFonts w:hint="eastAsia" w:cs="Times New Roman"/>
          <w:i w:val="0"/>
          <w:iCs w:val="0"/>
          <w:caps w:val="0"/>
          <w:spacing w:val="0"/>
          <w:sz w:val="21"/>
          <w:szCs w:val="24"/>
          <w:shd w:val="clear" w:color="auto" w:fill="auto"/>
          <w:lang w:eastAsia="zh-CN"/>
        </w:rPr>
        <w:t>；</w:t>
      </w:r>
      <w:r>
        <w:rPr>
          <w:rFonts w:hint="eastAsia" w:ascii="Times New Roman" w:hAnsi="Times New Roman" w:eastAsia="宋体" w:cs="Times New Roman"/>
          <w:i w:val="0"/>
          <w:iCs w:val="0"/>
          <w:caps w:val="0"/>
          <w:spacing w:val="0"/>
          <w:sz w:val="21"/>
          <w:szCs w:val="24"/>
          <w:shd w:val="clear" w:color="auto" w:fill="auto"/>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76622996">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0C7A3336">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5BA89E99">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b/>
          <w:bCs/>
          <w:color w:val="FF0000"/>
          <w:u w:val="single"/>
        </w:rPr>
        <w:t xml:space="preserve">  </w:t>
      </w:r>
      <w:r>
        <w:rPr>
          <w:rFonts w:hint="eastAsia"/>
          <w:b/>
          <w:bCs/>
          <w:color w:val="FF0000"/>
          <w:u w:val="single"/>
          <w:lang w:val="en-US" w:eastAsia="zh-CN"/>
        </w:rPr>
        <w:t xml:space="preserve"> 10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2A6A24C5">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672C9A8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w:t>
      </w:r>
      <w:r>
        <w:rPr>
          <w:rFonts w:hint="eastAsia"/>
          <w:lang w:val="en-US" w:eastAsia="zh-CN"/>
        </w:rPr>
        <w:t>四</w:t>
      </w:r>
      <w:r>
        <w:rPr>
          <w:rFonts w:hint="eastAsia"/>
        </w:rPr>
        <w:t>章“ 投标文件组成要求及格式”中“</w:t>
      </w:r>
      <w:r>
        <w:rPr>
          <w:rFonts w:hint="eastAsia"/>
          <w:lang w:val="en-US" w:eastAsia="zh-CN"/>
        </w:rPr>
        <w:t>三</w:t>
      </w:r>
      <w:r>
        <w:rPr>
          <w:rFonts w:hint="eastAsia"/>
        </w:rPr>
        <w:t>、投标人情况及资格证明文件”章节提供的格式）。</w:t>
      </w:r>
    </w:p>
    <w:p w14:paraId="24631EBE">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70311B95">
      <w:pPr>
        <w:ind w:firstLine="422" w:firstLineChars="200"/>
        <w:rPr>
          <w:rFonts w:hint="eastAsia" w:eastAsia="宋体"/>
          <w:b/>
          <w:bCs/>
          <w:highlight w:val="none"/>
          <w:lang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w:t>
      </w:r>
      <w:r>
        <w:rPr>
          <w:rFonts w:hint="eastAsia"/>
          <w:b/>
          <w:bCs/>
          <w:highlight w:val="yellow"/>
          <w:lang w:eastAsia="zh-CN"/>
        </w:rPr>
        <w:t>（</w:t>
      </w:r>
      <w:r>
        <w:rPr>
          <w:rFonts w:hint="eastAsia"/>
          <w:b/>
          <w:bCs/>
          <w:highlight w:val="yellow"/>
          <w:lang w:val="en-US" w:eastAsia="zh-CN"/>
        </w:rPr>
        <w:t>本项目不适用</w:t>
      </w:r>
      <w:r>
        <w:rPr>
          <w:rFonts w:hint="eastAsia"/>
          <w:b/>
          <w:bCs/>
          <w:highlight w:val="yellow"/>
          <w:lang w:eastAsia="zh-CN"/>
        </w:rPr>
        <w:t>）</w:t>
      </w:r>
    </w:p>
    <w:p w14:paraId="3909A22A">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4DA25046">
      <w:pPr>
        <w:pStyle w:val="59"/>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5C354F">
      <w:pPr>
        <w:pStyle w:val="59"/>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（3）价格扣除：政府采购活动中既有本国产品又有非本国产品参与竞争的，依法对本国产品给予价格评审优惠，</w:t>
      </w:r>
      <w:r>
        <w:rPr>
          <w:rFonts w:hint="eastAsia" w:ascii="Times New Roman" w:hAnsi="Times New Roman" w:cs="Times New Roman"/>
          <w:b/>
          <w:bCs/>
          <w:color w:val="FF0000"/>
          <w:kern w:val="2"/>
          <w:sz w:val="21"/>
          <w:szCs w:val="24"/>
          <w:lang w:val="en-US" w:eastAsia="zh-CN" w:bidi="ar-SA"/>
        </w:rPr>
        <w:t>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3B306DA6">
      <w:pPr>
        <w:pStyle w:val="59"/>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color="auto" w:fill="auto"/>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color="auto" w:fill="auto"/>
          <w:lang w:eastAsia="zh-CN"/>
        </w:rPr>
        <w:t>。</w:t>
      </w:r>
      <w:r>
        <w:rPr>
          <w:rFonts w:hint="eastAsia"/>
        </w:rPr>
        <w:t>声明函样式见本招标文件第一册专用条款第</w:t>
      </w:r>
      <w:r>
        <w:rPr>
          <w:rFonts w:hint="eastAsia"/>
          <w:lang w:val="en-US" w:eastAsia="zh-CN"/>
        </w:rPr>
        <w:t>四</w:t>
      </w:r>
      <w:r>
        <w:rPr>
          <w:rFonts w:hint="eastAsia"/>
        </w:rPr>
        <w:t>章“ 投标文件组成要求及格式”中“</w:t>
      </w:r>
      <w:r>
        <w:rPr>
          <w:rFonts w:hint="eastAsia"/>
          <w:lang w:val="en-US" w:eastAsia="zh-CN"/>
        </w:rPr>
        <w:t>三</w:t>
      </w:r>
      <w:r>
        <w:rPr>
          <w:rFonts w:hint="eastAsia"/>
        </w:rPr>
        <w:t>、投标人情况及资格证明文件”章节提供的格式）。</w:t>
      </w:r>
    </w:p>
    <w:p w14:paraId="0645A54B">
      <w:pPr>
        <w:ind w:firstLine="422" w:firstLineChars="200"/>
        <w:rPr>
          <w:rFonts w:hint="eastAsia" w:eastAsia="宋体"/>
          <w:b/>
          <w:bCs/>
          <w:highlight w:val="none"/>
          <w:lang w:eastAsia="zh-CN"/>
        </w:rPr>
      </w:pPr>
      <w:r>
        <w:rPr>
          <w:rFonts w:hint="eastAsia"/>
          <w:b/>
          <w:bCs/>
          <w:lang w:val="en-US" w:eastAsia="zh-CN"/>
        </w:rPr>
        <w:t>3.关于同时满足中小企业扶持政策和对本国产品的支持政策的事项说明</w:t>
      </w:r>
      <w:r>
        <w:rPr>
          <w:rFonts w:hint="eastAsia"/>
          <w:b/>
          <w:bCs/>
          <w:highlight w:val="yellow"/>
          <w:lang w:eastAsia="zh-CN"/>
        </w:rPr>
        <w:t>（</w:t>
      </w:r>
      <w:r>
        <w:rPr>
          <w:rFonts w:hint="eastAsia"/>
          <w:b/>
          <w:bCs/>
          <w:highlight w:val="yellow"/>
          <w:lang w:val="en-US" w:eastAsia="zh-CN"/>
        </w:rPr>
        <w:t>本项目不适用</w:t>
      </w:r>
      <w:r>
        <w:rPr>
          <w:rFonts w:hint="eastAsia"/>
          <w:b/>
          <w:bCs/>
          <w:highlight w:val="yellow"/>
          <w:lang w:eastAsia="zh-CN"/>
        </w:rPr>
        <w:t>）</w:t>
      </w:r>
    </w:p>
    <w:p w14:paraId="25D8F635">
      <w:pPr>
        <w:pStyle w:val="59"/>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6CE8A34F">
      <w:pPr>
        <w:pStyle w:val="59"/>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5C85346A">
      <w:pPr>
        <w:pStyle w:val="59"/>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3063DAFC">
      <w:pPr>
        <w:pStyle w:val="59"/>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7A1CB35C">
      <w:pPr>
        <w:ind w:firstLine="422" w:firstLineChars="200"/>
        <w:rPr>
          <w:b/>
        </w:rPr>
      </w:pPr>
    </w:p>
    <w:p w14:paraId="3D58AD46">
      <w:pPr>
        <w:ind w:firstLine="422" w:firstLineChars="200"/>
        <w:rPr>
          <w:b/>
          <w:bCs/>
        </w:rPr>
      </w:pPr>
      <w:r>
        <w:rPr>
          <w:rFonts w:hint="eastAsia"/>
          <w:b/>
        </w:rPr>
        <w:t>（三）代理服务费</w:t>
      </w:r>
    </w:p>
    <w:p w14:paraId="5F2F4A49">
      <w:pPr>
        <w:ind w:firstLine="422" w:firstLineChars="200"/>
        <w:rPr>
          <w:b/>
          <w:bCs/>
        </w:rPr>
      </w:pPr>
      <w:r>
        <w:rPr>
          <w:rFonts w:hint="eastAsia"/>
          <w:b/>
          <w:bCs/>
        </w:rPr>
        <w:t>本项目为代理服务项目，将向中标（成交）供应商收取代理服务费。</w:t>
      </w:r>
    </w:p>
    <w:p w14:paraId="39B8BEAB">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向深圳公共资源交易中心（深圳交易集团有限公司政府采购业务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4D19825F">
      <w:pPr>
        <w:ind w:firstLine="420" w:firstLineChars="200"/>
      </w:pPr>
      <w:r>
        <w:rPr>
          <w:rFonts w:hint="eastAsia"/>
        </w:rPr>
        <w:t>（1）代理服务费以《中标（成交）通知书》确定的</w:t>
      </w:r>
      <w:r>
        <w:rPr>
          <w:rFonts w:hint="eastAsia"/>
          <w:lang w:val="en-US" w:eastAsia="zh-CN"/>
        </w:rPr>
        <w:t>预算</w:t>
      </w:r>
      <w:r>
        <w:rPr>
          <w:rFonts w:hint="eastAsia"/>
        </w:rPr>
        <w:t>金额作为计算基数，按差额定率累进法计算。</w:t>
      </w:r>
    </w:p>
    <w:p w14:paraId="7C7585A5">
      <w:pPr>
        <w:ind w:firstLine="420" w:firstLineChars="200"/>
      </w:pPr>
      <w:r>
        <w:rPr>
          <w:rFonts w:hint="eastAsia"/>
        </w:rPr>
        <w:t>（2）中标（成交）金额的各部分费率如下表：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0958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4C85777F">
            <w:pPr>
              <w:widowControl/>
              <w:spacing w:line="360" w:lineRule="auto"/>
              <w:jc w:val="center"/>
            </w:pPr>
            <w:r>
              <w:rPr>
                <w:rFonts w:hint="eastAsia"/>
              </w:rPr>
              <w:t>中标（成交）金额</w:t>
            </w:r>
          </w:p>
        </w:tc>
        <w:tc>
          <w:tcPr>
            <w:tcW w:w="1799" w:type="dxa"/>
            <w:vAlign w:val="center"/>
          </w:tcPr>
          <w:p w14:paraId="2CAB17C5">
            <w:pPr>
              <w:widowControl/>
              <w:spacing w:line="360" w:lineRule="auto"/>
              <w:jc w:val="center"/>
            </w:pPr>
            <w:r>
              <w:rPr>
                <w:rFonts w:hint="eastAsia"/>
              </w:rPr>
              <w:t>货物采购</w:t>
            </w:r>
          </w:p>
        </w:tc>
        <w:tc>
          <w:tcPr>
            <w:tcW w:w="1799" w:type="dxa"/>
            <w:vAlign w:val="center"/>
          </w:tcPr>
          <w:p w14:paraId="458FB8E2">
            <w:pPr>
              <w:widowControl/>
              <w:spacing w:line="360" w:lineRule="auto"/>
              <w:jc w:val="center"/>
            </w:pPr>
            <w:r>
              <w:rPr>
                <w:rFonts w:hint="eastAsia"/>
              </w:rPr>
              <w:t>服务采购</w:t>
            </w:r>
          </w:p>
        </w:tc>
        <w:tc>
          <w:tcPr>
            <w:tcW w:w="1799" w:type="dxa"/>
            <w:vAlign w:val="center"/>
          </w:tcPr>
          <w:p w14:paraId="0208F252">
            <w:pPr>
              <w:widowControl/>
              <w:spacing w:line="360" w:lineRule="auto"/>
              <w:jc w:val="center"/>
            </w:pPr>
            <w:r>
              <w:rPr>
                <w:rFonts w:hint="eastAsia"/>
              </w:rPr>
              <w:t>工程采购</w:t>
            </w:r>
          </w:p>
        </w:tc>
      </w:tr>
      <w:tr w14:paraId="6479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6B7AB9B">
            <w:pPr>
              <w:widowControl/>
              <w:spacing w:line="360" w:lineRule="auto"/>
              <w:jc w:val="center"/>
            </w:pPr>
            <w:r>
              <w:rPr>
                <w:rFonts w:hint="eastAsia"/>
              </w:rPr>
              <w:t>100万元以下</w:t>
            </w:r>
          </w:p>
        </w:tc>
        <w:tc>
          <w:tcPr>
            <w:tcW w:w="1799" w:type="dxa"/>
            <w:vAlign w:val="center"/>
          </w:tcPr>
          <w:p w14:paraId="48E728D1">
            <w:pPr>
              <w:widowControl/>
              <w:spacing w:line="360" w:lineRule="auto"/>
              <w:jc w:val="center"/>
            </w:pPr>
            <w:r>
              <w:rPr>
                <w:rFonts w:hint="eastAsia"/>
              </w:rPr>
              <w:t>1.5%</w:t>
            </w:r>
          </w:p>
        </w:tc>
        <w:tc>
          <w:tcPr>
            <w:tcW w:w="1799" w:type="dxa"/>
            <w:vAlign w:val="center"/>
          </w:tcPr>
          <w:p w14:paraId="70D92EDD">
            <w:pPr>
              <w:widowControl/>
              <w:spacing w:line="360" w:lineRule="auto"/>
              <w:jc w:val="center"/>
            </w:pPr>
            <w:r>
              <w:rPr>
                <w:rFonts w:hint="eastAsia"/>
              </w:rPr>
              <w:t>1.5%</w:t>
            </w:r>
          </w:p>
        </w:tc>
        <w:tc>
          <w:tcPr>
            <w:tcW w:w="1799" w:type="dxa"/>
            <w:vAlign w:val="center"/>
          </w:tcPr>
          <w:p w14:paraId="524D5F0A">
            <w:pPr>
              <w:widowControl/>
              <w:spacing w:line="360" w:lineRule="auto"/>
              <w:jc w:val="center"/>
            </w:pPr>
            <w:r>
              <w:rPr>
                <w:rFonts w:hint="eastAsia"/>
              </w:rPr>
              <w:t>1.0%</w:t>
            </w:r>
          </w:p>
        </w:tc>
      </w:tr>
      <w:tr w14:paraId="503F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6D30593">
            <w:pPr>
              <w:widowControl/>
              <w:spacing w:line="360" w:lineRule="auto"/>
              <w:jc w:val="center"/>
            </w:pPr>
            <w:r>
              <w:rPr>
                <w:rFonts w:hint="eastAsia"/>
              </w:rPr>
              <w:t>100万元（含）-500万元</w:t>
            </w:r>
          </w:p>
        </w:tc>
        <w:tc>
          <w:tcPr>
            <w:tcW w:w="1799" w:type="dxa"/>
            <w:vAlign w:val="center"/>
          </w:tcPr>
          <w:p w14:paraId="3E654E4C">
            <w:pPr>
              <w:widowControl/>
              <w:spacing w:line="360" w:lineRule="auto"/>
              <w:jc w:val="center"/>
            </w:pPr>
            <w:r>
              <w:rPr>
                <w:rFonts w:hint="eastAsia"/>
              </w:rPr>
              <w:t>1.1%</w:t>
            </w:r>
          </w:p>
        </w:tc>
        <w:tc>
          <w:tcPr>
            <w:tcW w:w="1799" w:type="dxa"/>
            <w:vAlign w:val="center"/>
          </w:tcPr>
          <w:p w14:paraId="54A02183">
            <w:pPr>
              <w:widowControl/>
              <w:spacing w:line="360" w:lineRule="auto"/>
              <w:jc w:val="center"/>
            </w:pPr>
            <w:r>
              <w:rPr>
                <w:rFonts w:hint="eastAsia"/>
              </w:rPr>
              <w:t>0.8%</w:t>
            </w:r>
          </w:p>
        </w:tc>
        <w:tc>
          <w:tcPr>
            <w:tcW w:w="1799" w:type="dxa"/>
            <w:vAlign w:val="center"/>
          </w:tcPr>
          <w:p w14:paraId="6266EE24">
            <w:pPr>
              <w:widowControl/>
              <w:spacing w:line="360" w:lineRule="auto"/>
              <w:jc w:val="center"/>
            </w:pPr>
            <w:r>
              <w:rPr>
                <w:rFonts w:hint="eastAsia"/>
              </w:rPr>
              <w:t>0.7%</w:t>
            </w:r>
          </w:p>
        </w:tc>
      </w:tr>
      <w:tr w14:paraId="2ECC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8E53C60">
            <w:pPr>
              <w:widowControl/>
              <w:spacing w:line="360" w:lineRule="auto"/>
              <w:jc w:val="center"/>
            </w:pPr>
            <w:r>
              <w:rPr>
                <w:rFonts w:hint="eastAsia"/>
              </w:rPr>
              <w:t>500万元（含）-1000万元</w:t>
            </w:r>
          </w:p>
        </w:tc>
        <w:tc>
          <w:tcPr>
            <w:tcW w:w="1799" w:type="dxa"/>
            <w:vAlign w:val="center"/>
          </w:tcPr>
          <w:p w14:paraId="3B7298ED">
            <w:pPr>
              <w:widowControl/>
              <w:spacing w:line="360" w:lineRule="auto"/>
              <w:jc w:val="center"/>
            </w:pPr>
            <w:r>
              <w:rPr>
                <w:rFonts w:hint="eastAsia"/>
              </w:rPr>
              <w:t>0.8%</w:t>
            </w:r>
          </w:p>
        </w:tc>
        <w:tc>
          <w:tcPr>
            <w:tcW w:w="1799" w:type="dxa"/>
            <w:vAlign w:val="center"/>
          </w:tcPr>
          <w:p w14:paraId="1AAFA434">
            <w:pPr>
              <w:widowControl/>
              <w:spacing w:line="360" w:lineRule="auto"/>
              <w:jc w:val="center"/>
            </w:pPr>
            <w:r>
              <w:rPr>
                <w:rFonts w:hint="eastAsia"/>
              </w:rPr>
              <w:t>0.45%</w:t>
            </w:r>
          </w:p>
        </w:tc>
        <w:tc>
          <w:tcPr>
            <w:tcW w:w="1799" w:type="dxa"/>
            <w:vAlign w:val="center"/>
          </w:tcPr>
          <w:p w14:paraId="35554842">
            <w:pPr>
              <w:widowControl/>
              <w:spacing w:line="360" w:lineRule="auto"/>
              <w:jc w:val="center"/>
            </w:pPr>
            <w:r>
              <w:rPr>
                <w:rFonts w:hint="eastAsia"/>
              </w:rPr>
              <w:t>0.55%</w:t>
            </w:r>
          </w:p>
        </w:tc>
      </w:tr>
      <w:tr w14:paraId="6062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711D347">
            <w:pPr>
              <w:widowControl/>
              <w:spacing w:line="360" w:lineRule="auto"/>
              <w:jc w:val="center"/>
            </w:pPr>
            <w:r>
              <w:rPr>
                <w:rFonts w:hint="eastAsia"/>
              </w:rPr>
              <w:t>1000万元（含）-5000万元</w:t>
            </w:r>
          </w:p>
        </w:tc>
        <w:tc>
          <w:tcPr>
            <w:tcW w:w="1799" w:type="dxa"/>
            <w:vAlign w:val="center"/>
          </w:tcPr>
          <w:p w14:paraId="24BB49CC">
            <w:pPr>
              <w:widowControl/>
              <w:spacing w:line="360" w:lineRule="auto"/>
              <w:jc w:val="center"/>
            </w:pPr>
            <w:r>
              <w:rPr>
                <w:rFonts w:hint="eastAsia"/>
              </w:rPr>
              <w:t>0.5%</w:t>
            </w:r>
          </w:p>
        </w:tc>
        <w:tc>
          <w:tcPr>
            <w:tcW w:w="1799" w:type="dxa"/>
            <w:vAlign w:val="center"/>
          </w:tcPr>
          <w:p w14:paraId="7E81D6E6">
            <w:pPr>
              <w:widowControl/>
              <w:spacing w:line="360" w:lineRule="auto"/>
              <w:jc w:val="center"/>
            </w:pPr>
            <w:r>
              <w:rPr>
                <w:rFonts w:hint="eastAsia"/>
              </w:rPr>
              <w:t>0.25%</w:t>
            </w:r>
          </w:p>
        </w:tc>
        <w:tc>
          <w:tcPr>
            <w:tcW w:w="1799" w:type="dxa"/>
            <w:vAlign w:val="center"/>
          </w:tcPr>
          <w:p w14:paraId="24692A14">
            <w:pPr>
              <w:widowControl/>
              <w:spacing w:line="360" w:lineRule="auto"/>
              <w:jc w:val="center"/>
            </w:pPr>
            <w:r>
              <w:rPr>
                <w:rFonts w:hint="eastAsia"/>
              </w:rPr>
              <w:t>0.35%</w:t>
            </w:r>
          </w:p>
        </w:tc>
      </w:tr>
      <w:tr w14:paraId="3728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B603AB4">
            <w:pPr>
              <w:widowControl/>
              <w:spacing w:line="360" w:lineRule="auto"/>
              <w:jc w:val="center"/>
            </w:pPr>
            <w:r>
              <w:rPr>
                <w:rFonts w:hint="eastAsia"/>
              </w:rPr>
              <w:t>5000万元（含）-1亿元</w:t>
            </w:r>
          </w:p>
        </w:tc>
        <w:tc>
          <w:tcPr>
            <w:tcW w:w="1799" w:type="dxa"/>
            <w:vAlign w:val="center"/>
          </w:tcPr>
          <w:p w14:paraId="16F7C3D2">
            <w:pPr>
              <w:widowControl/>
              <w:spacing w:line="360" w:lineRule="auto"/>
              <w:jc w:val="center"/>
            </w:pPr>
            <w:r>
              <w:rPr>
                <w:rFonts w:hint="eastAsia"/>
              </w:rPr>
              <w:t>0.25%</w:t>
            </w:r>
          </w:p>
        </w:tc>
        <w:tc>
          <w:tcPr>
            <w:tcW w:w="1799" w:type="dxa"/>
            <w:vAlign w:val="center"/>
          </w:tcPr>
          <w:p w14:paraId="24737943">
            <w:pPr>
              <w:widowControl/>
              <w:spacing w:line="360" w:lineRule="auto"/>
              <w:jc w:val="center"/>
            </w:pPr>
            <w:r>
              <w:rPr>
                <w:rFonts w:hint="eastAsia"/>
              </w:rPr>
              <w:t>0.1%</w:t>
            </w:r>
          </w:p>
        </w:tc>
        <w:tc>
          <w:tcPr>
            <w:tcW w:w="1799" w:type="dxa"/>
            <w:vAlign w:val="center"/>
          </w:tcPr>
          <w:p w14:paraId="37E16356">
            <w:pPr>
              <w:widowControl/>
              <w:spacing w:line="360" w:lineRule="auto"/>
              <w:jc w:val="center"/>
            </w:pPr>
            <w:r>
              <w:rPr>
                <w:rFonts w:hint="eastAsia"/>
              </w:rPr>
              <w:t>0.2%</w:t>
            </w:r>
          </w:p>
        </w:tc>
      </w:tr>
      <w:tr w14:paraId="6485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0C56001">
            <w:pPr>
              <w:widowControl/>
              <w:spacing w:line="360" w:lineRule="auto"/>
              <w:jc w:val="center"/>
            </w:pPr>
            <w:r>
              <w:rPr>
                <w:rFonts w:hint="eastAsia"/>
              </w:rPr>
              <w:t>1亿元（含）-5亿元</w:t>
            </w:r>
          </w:p>
        </w:tc>
        <w:tc>
          <w:tcPr>
            <w:tcW w:w="1799" w:type="dxa"/>
            <w:vAlign w:val="center"/>
          </w:tcPr>
          <w:p w14:paraId="358C041F">
            <w:pPr>
              <w:widowControl/>
              <w:spacing w:line="360" w:lineRule="auto"/>
              <w:jc w:val="center"/>
            </w:pPr>
            <w:r>
              <w:rPr>
                <w:rFonts w:hint="eastAsia"/>
              </w:rPr>
              <w:t>0.05%</w:t>
            </w:r>
          </w:p>
        </w:tc>
        <w:tc>
          <w:tcPr>
            <w:tcW w:w="1799" w:type="dxa"/>
            <w:vAlign w:val="center"/>
          </w:tcPr>
          <w:p w14:paraId="74C423FD">
            <w:pPr>
              <w:widowControl/>
              <w:spacing w:line="360" w:lineRule="auto"/>
              <w:jc w:val="center"/>
            </w:pPr>
            <w:r>
              <w:rPr>
                <w:rFonts w:hint="eastAsia"/>
              </w:rPr>
              <w:t>0.05%</w:t>
            </w:r>
          </w:p>
        </w:tc>
        <w:tc>
          <w:tcPr>
            <w:tcW w:w="1799" w:type="dxa"/>
            <w:vAlign w:val="center"/>
          </w:tcPr>
          <w:p w14:paraId="27014858">
            <w:pPr>
              <w:widowControl/>
              <w:spacing w:line="360" w:lineRule="auto"/>
              <w:jc w:val="center"/>
            </w:pPr>
            <w:r>
              <w:rPr>
                <w:rFonts w:hint="eastAsia"/>
              </w:rPr>
              <w:t>0.05%</w:t>
            </w:r>
          </w:p>
        </w:tc>
      </w:tr>
      <w:tr w14:paraId="0768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6CD0D29">
            <w:pPr>
              <w:widowControl/>
              <w:spacing w:line="360" w:lineRule="auto"/>
              <w:jc w:val="center"/>
            </w:pPr>
            <w:r>
              <w:rPr>
                <w:rFonts w:hint="eastAsia"/>
              </w:rPr>
              <w:t>5亿元（含）-10亿元</w:t>
            </w:r>
          </w:p>
        </w:tc>
        <w:tc>
          <w:tcPr>
            <w:tcW w:w="1799" w:type="dxa"/>
            <w:vAlign w:val="center"/>
          </w:tcPr>
          <w:p w14:paraId="55788660">
            <w:pPr>
              <w:widowControl/>
              <w:spacing w:line="360" w:lineRule="auto"/>
              <w:jc w:val="center"/>
            </w:pPr>
            <w:r>
              <w:rPr>
                <w:rFonts w:hint="eastAsia"/>
              </w:rPr>
              <w:t>0.035%</w:t>
            </w:r>
          </w:p>
        </w:tc>
        <w:tc>
          <w:tcPr>
            <w:tcW w:w="1799" w:type="dxa"/>
            <w:vAlign w:val="center"/>
          </w:tcPr>
          <w:p w14:paraId="22BCB735">
            <w:pPr>
              <w:widowControl/>
              <w:spacing w:line="360" w:lineRule="auto"/>
              <w:jc w:val="center"/>
            </w:pPr>
            <w:r>
              <w:rPr>
                <w:rFonts w:hint="eastAsia"/>
              </w:rPr>
              <w:t>0.035%</w:t>
            </w:r>
          </w:p>
        </w:tc>
        <w:tc>
          <w:tcPr>
            <w:tcW w:w="1799" w:type="dxa"/>
            <w:vAlign w:val="center"/>
          </w:tcPr>
          <w:p w14:paraId="26478883">
            <w:pPr>
              <w:widowControl/>
              <w:spacing w:line="360" w:lineRule="auto"/>
              <w:jc w:val="center"/>
            </w:pPr>
            <w:r>
              <w:rPr>
                <w:rFonts w:hint="eastAsia"/>
              </w:rPr>
              <w:t>0.035%</w:t>
            </w:r>
          </w:p>
        </w:tc>
      </w:tr>
      <w:tr w14:paraId="4E3F5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7E13D0CD">
            <w:pPr>
              <w:widowControl/>
              <w:spacing w:line="360" w:lineRule="auto"/>
              <w:jc w:val="center"/>
            </w:pPr>
            <w:r>
              <w:rPr>
                <w:rFonts w:hint="eastAsia"/>
              </w:rPr>
              <w:t>10亿元（含）-50亿元</w:t>
            </w:r>
          </w:p>
        </w:tc>
        <w:tc>
          <w:tcPr>
            <w:tcW w:w="1799" w:type="dxa"/>
            <w:vAlign w:val="center"/>
          </w:tcPr>
          <w:p w14:paraId="297FC2E0">
            <w:pPr>
              <w:widowControl/>
              <w:spacing w:line="360" w:lineRule="auto"/>
              <w:jc w:val="center"/>
            </w:pPr>
            <w:r>
              <w:rPr>
                <w:rFonts w:hint="eastAsia"/>
              </w:rPr>
              <w:t>0.008%</w:t>
            </w:r>
          </w:p>
        </w:tc>
        <w:tc>
          <w:tcPr>
            <w:tcW w:w="1799" w:type="dxa"/>
            <w:vAlign w:val="center"/>
          </w:tcPr>
          <w:p w14:paraId="5861E8B5">
            <w:pPr>
              <w:widowControl/>
              <w:spacing w:line="360" w:lineRule="auto"/>
              <w:jc w:val="center"/>
            </w:pPr>
            <w:r>
              <w:rPr>
                <w:rFonts w:hint="eastAsia"/>
              </w:rPr>
              <w:t>0.008%</w:t>
            </w:r>
          </w:p>
        </w:tc>
        <w:tc>
          <w:tcPr>
            <w:tcW w:w="1799" w:type="dxa"/>
            <w:vAlign w:val="center"/>
          </w:tcPr>
          <w:p w14:paraId="461E4E99">
            <w:pPr>
              <w:widowControl/>
              <w:spacing w:line="360" w:lineRule="auto"/>
              <w:jc w:val="center"/>
            </w:pPr>
            <w:r>
              <w:rPr>
                <w:rFonts w:hint="eastAsia"/>
              </w:rPr>
              <w:t>0.008%</w:t>
            </w:r>
          </w:p>
        </w:tc>
      </w:tr>
      <w:tr w14:paraId="7027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F30F385">
            <w:pPr>
              <w:widowControl/>
              <w:spacing w:line="360" w:lineRule="auto"/>
              <w:jc w:val="center"/>
            </w:pPr>
            <w:r>
              <w:rPr>
                <w:rFonts w:hint="eastAsia"/>
              </w:rPr>
              <w:t>50亿元（含）-100亿元</w:t>
            </w:r>
          </w:p>
        </w:tc>
        <w:tc>
          <w:tcPr>
            <w:tcW w:w="1799" w:type="dxa"/>
            <w:vAlign w:val="center"/>
          </w:tcPr>
          <w:p w14:paraId="5ACE78EC">
            <w:pPr>
              <w:widowControl/>
              <w:spacing w:line="360" w:lineRule="auto"/>
              <w:jc w:val="center"/>
            </w:pPr>
            <w:r>
              <w:rPr>
                <w:rFonts w:hint="eastAsia"/>
              </w:rPr>
              <w:t>0.006%</w:t>
            </w:r>
          </w:p>
        </w:tc>
        <w:tc>
          <w:tcPr>
            <w:tcW w:w="1799" w:type="dxa"/>
            <w:vAlign w:val="center"/>
          </w:tcPr>
          <w:p w14:paraId="01EE31EA">
            <w:pPr>
              <w:widowControl/>
              <w:spacing w:line="360" w:lineRule="auto"/>
              <w:jc w:val="center"/>
            </w:pPr>
            <w:r>
              <w:rPr>
                <w:rFonts w:hint="eastAsia"/>
              </w:rPr>
              <w:t>0.006%</w:t>
            </w:r>
          </w:p>
        </w:tc>
        <w:tc>
          <w:tcPr>
            <w:tcW w:w="1799" w:type="dxa"/>
            <w:vAlign w:val="center"/>
          </w:tcPr>
          <w:p w14:paraId="37844EA6">
            <w:pPr>
              <w:widowControl/>
              <w:spacing w:line="360" w:lineRule="auto"/>
              <w:jc w:val="center"/>
            </w:pPr>
            <w:r>
              <w:rPr>
                <w:rFonts w:hint="eastAsia"/>
              </w:rPr>
              <w:t>0.006%</w:t>
            </w:r>
          </w:p>
        </w:tc>
      </w:tr>
      <w:tr w14:paraId="3D3C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A7C05A2">
            <w:pPr>
              <w:widowControl/>
              <w:spacing w:line="360" w:lineRule="auto"/>
              <w:jc w:val="center"/>
            </w:pPr>
            <w:r>
              <w:rPr>
                <w:rFonts w:hint="eastAsia"/>
              </w:rPr>
              <w:t>100亿元（含）以上</w:t>
            </w:r>
          </w:p>
        </w:tc>
        <w:tc>
          <w:tcPr>
            <w:tcW w:w="1799" w:type="dxa"/>
            <w:vAlign w:val="center"/>
          </w:tcPr>
          <w:p w14:paraId="51224E14">
            <w:pPr>
              <w:widowControl/>
              <w:spacing w:line="360" w:lineRule="auto"/>
              <w:jc w:val="center"/>
            </w:pPr>
            <w:r>
              <w:rPr>
                <w:rFonts w:hint="eastAsia"/>
              </w:rPr>
              <w:t>0.004%</w:t>
            </w:r>
          </w:p>
        </w:tc>
        <w:tc>
          <w:tcPr>
            <w:tcW w:w="1799" w:type="dxa"/>
            <w:vAlign w:val="center"/>
          </w:tcPr>
          <w:p w14:paraId="16CD0134">
            <w:pPr>
              <w:widowControl/>
              <w:spacing w:line="360" w:lineRule="auto"/>
              <w:jc w:val="center"/>
            </w:pPr>
            <w:r>
              <w:rPr>
                <w:rFonts w:hint="eastAsia"/>
              </w:rPr>
              <w:t>0.004%</w:t>
            </w:r>
          </w:p>
        </w:tc>
        <w:tc>
          <w:tcPr>
            <w:tcW w:w="1799" w:type="dxa"/>
            <w:vAlign w:val="center"/>
          </w:tcPr>
          <w:p w14:paraId="28F5A040">
            <w:pPr>
              <w:widowControl/>
              <w:spacing w:line="360" w:lineRule="auto"/>
              <w:jc w:val="center"/>
            </w:pPr>
            <w:r>
              <w:rPr>
                <w:rFonts w:hint="eastAsia"/>
              </w:rPr>
              <w:t>0.004%</w:t>
            </w:r>
          </w:p>
        </w:tc>
      </w:tr>
    </w:tbl>
    <w:p w14:paraId="24BF0B0E">
      <w:pPr>
        <w:ind w:firstLine="420" w:firstLineChars="200"/>
      </w:pPr>
      <w:r>
        <w:rPr>
          <w:rFonts w:hint="eastAsia"/>
        </w:rPr>
        <w:t>备注：1.每宗交易代理服务费不低于 5000 元；</w:t>
      </w:r>
    </w:p>
    <w:p w14:paraId="1EDB1E67">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6BFF60CB">
      <w:pPr>
        <w:ind w:firstLine="420" w:firstLineChars="200"/>
      </w:pPr>
      <w:r>
        <w:rPr>
          <w:rFonts w:hint="eastAsia"/>
        </w:rPr>
        <w:t>如某服务采购项目，中标（成交）金额为600万元，总共交纳的代理服务费的具体计算过程如下：</w:t>
      </w:r>
    </w:p>
    <w:p w14:paraId="13577C4B">
      <w:pPr>
        <w:ind w:firstLine="420" w:firstLineChars="200"/>
      </w:pPr>
      <w:r>
        <w:rPr>
          <w:rFonts w:hint="eastAsia"/>
        </w:rPr>
        <w:t>标准代理服务费＝（100万</w:t>
      </w:r>
      <w:r>
        <w:rPr>
          <w:rFonts w:hint="eastAsia"/>
          <w:lang w:val="en-US" w:eastAsia="zh-CN"/>
        </w:rPr>
        <w:t>元</w:t>
      </w:r>
      <w:r>
        <w:rPr>
          <w:rFonts w:hint="eastAsia"/>
        </w:rPr>
        <w:t>以下部分的代理服务费）+（100万～500万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部分的代理服务费）＝100万元×1.5%+（500-100）万元×0.8%+（600-500）万元×0.45%=1.5万元+3.2万元+0.45万元＝5.15万元</w:t>
      </w:r>
    </w:p>
    <w:p w14:paraId="5E95FC9E">
      <w:pPr>
        <w:ind w:firstLine="420" w:firstLineChars="200"/>
        <w:rPr>
          <w:b/>
          <w:color w:val="000000" w:themeColor="text1"/>
          <w14:textFill>
            <w14:solidFill>
              <w14:schemeClr w14:val="tx1"/>
            </w14:solidFill>
          </w14:textFill>
        </w:rPr>
      </w:pPr>
      <w:r>
        <w:rPr>
          <w:rFonts w:hint="eastAsia"/>
        </w:rPr>
        <w:t>（3）中标（成交）供应商中标（成交）后，必须按规定采用银行对公转账方式向深圳交易集团有限公司直接交纳代理服务费，交纳信息及要求按照缴款（付款）通知书执行。</w:t>
      </w:r>
    </w:p>
    <w:p w14:paraId="6E89E704">
      <w:pPr>
        <w:wordWrap w:val="0"/>
        <w:ind w:firstLine="422" w:firstLineChars="200"/>
        <w:rPr>
          <w:b/>
          <w:bCs/>
        </w:rPr>
      </w:pPr>
    </w:p>
    <w:p w14:paraId="359CD7AD">
      <w:pPr>
        <w:wordWrap w:val="0"/>
        <w:ind w:firstLine="422" w:firstLineChars="200"/>
        <w:rPr>
          <w:b/>
          <w:bCs/>
        </w:rPr>
      </w:pPr>
      <w:r>
        <w:rPr>
          <w:rFonts w:hint="eastAsia"/>
          <w:b/>
          <w:bCs/>
        </w:rPr>
        <w:t>（四）</w:t>
      </w:r>
      <w:r>
        <w:rPr>
          <w:b/>
          <w:bCs/>
        </w:rPr>
        <w:t>长期服务采购项目</w:t>
      </w:r>
    </w:p>
    <w:p w14:paraId="5811E608">
      <w:pPr>
        <w:pStyle w:val="35"/>
        <w:spacing w:line="240" w:lineRule="auto"/>
        <w:ind w:firstLine="420" w:firstLineChars="200"/>
        <w:rPr>
          <w:b/>
          <w:sz w:val="21"/>
          <w:szCs w:val="21"/>
        </w:rPr>
      </w:pPr>
      <w:r>
        <w:rPr>
          <w:sz w:val="21"/>
          <w:szCs w:val="21"/>
        </w:rPr>
        <w:t>本项目为长期服务项目，合同期满可以续签，但合同履行期限最长不得超过三十六个月。如</w:t>
      </w:r>
      <w:r>
        <w:rPr>
          <w:rFonts w:hint="eastAsia" w:ascii="宋体" w:hAnsi="宋体" w:cs="宋体"/>
          <w:color w:val="000000"/>
          <w:sz w:val="20"/>
          <w:szCs w:val="20"/>
          <w:lang w:val="en-US" w:eastAsia="zh-CN"/>
        </w:rPr>
        <w:t>采购人</w:t>
      </w:r>
      <w:r>
        <w:rPr>
          <w:sz w:val="21"/>
          <w:szCs w:val="21"/>
        </w:rPr>
        <w:t>对履约情况不满意，</w:t>
      </w:r>
      <w:r>
        <w:rPr>
          <w:rFonts w:hint="eastAsia" w:ascii="宋体" w:hAnsi="宋体" w:cs="宋体"/>
          <w:color w:val="000000"/>
          <w:sz w:val="20"/>
          <w:szCs w:val="20"/>
          <w:lang w:val="en-US" w:eastAsia="zh-CN"/>
        </w:rPr>
        <w:t>采购人</w:t>
      </w:r>
      <w:r>
        <w:rPr>
          <w:sz w:val="21"/>
          <w:szCs w:val="21"/>
        </w:rPr>
        <w:t>不再续约。</w:t>
      </w:r>
    </w:p>
    <w:p w14:paraId="383FC677">
      <w:pPr>
        <w:rPr>
          <w:b/>
        </w:rPr>
      </w:pPr>
    </w:p>
    <w:p w14:paraId="6832763C">
      <w:pPr>
        <w:pStyle w:val="18"/>
        <w:sectPr>
          <w:pgSz w:w="11907" w:h="16840"/>
          <w:pgMar w:top="1440" w:right="1797" w:bottom="1440" w:left="1797" w:header="851" w:footer="992" w:gutter="0"/>
          <w:cols w:space="425" w:num="1"/>
          <w:titlePg/>
          <w:docGrid w:linePitch="462" w:charSpace="0"/>
        </w:sectPr>
      </w:pPr>
    </w:p>
    <w:p w14:paraId="53F495EA">
      <w:pPr>
        <w:pStyle w:val="3"/>
        <w:rPr>
          <w:sz w:val="28"/>
          <w:szCs w:val="28"/>
        </w:rPr>
      </w:pPr>
      <w:bookmarkStart w:id="29" w:name="_Toc128884461"/>
      <w:r>
        <w:rPr>
          <w:rFonts w:hint="eastAsia"/>
          <w:sz w:val="28"/>
          <w:szCs w:val="28"/>
        </w:rPr>
        <w:t>第三章 用户需求书</w:t>
      </w:r>
    </w:p>
    <w:p w14:paraId="017A3F59">
      <w:pPr>
        <w:pStyle w:val="3"/>
        <w:spacing w:before="120" w:beforeLines="50" w:after="120" w:afterLines="50"/>
        <w:rPr>
          <w:szCs w:val="24"/>
        </w:rPr>
      </w:pPr>
      <w:r>
        <w:rPr>
          <w:rFonts w:hint="eastAsia"/>
          <w:szCs w:val="24"/>
        </w:rPr>
        <w:t>一、项目基本信息</w:t>
      </w:r>
    </w:p>
    <w:tbl>
      <w:tblPr>
        <w:tblStyle w:val="42"/>
        <w:tblW w:w="51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2106"/>
        <w:gridCol w:w="3813"/>
        <w:gridCol w:w="2461"/>
      </w:tblGrid>
      <w:tr w14:paraId="73B8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0" w:type="pct"/>
            <w:vAlign w:val="center"/>
          </w:tcPr>
          <w:p w14:paraId="3BA7BDEB">
            <w:pPr>
              <w:jc w:val="center"/>
              <w:rPr>
                <w:bCs/>
                <w:szCs w:val="21"/>
              </w:rPr>
            </w:pPr>
            <w:r>
              <w:rPr>
                <w:rFonts w:hint="eastAsia"/>
                <w:bCs/>
                <w:szCs w:val="21"/>
              </w:rPr>
              <w:t>序号</w:t>
            </w:r>
          </w:p>
        </w:tc>
        <w:tc>
          <w:tcPr>
            <w:tcW w:w="1196" w:type="pct"/>
            <w:vAlign w:val="center"/>
          </w:tcPr>
          <w:p w14:paraId="62966949">
            <w:pPr>
              <w:jc w:val="center"/>
              <w:rPr>
                <w:bCs/>
                <w:szCs w:val="21"/>
              </w:rPr>
            </w:pPr>
            <w:r>
              <w:rPr>
                <w:rFonts w:hint="eastAsia"/>
                <w:szCs w:val="21"/>
              </w:rPr>
              <w:t>采购计划编号</w:t>
            </w:r>
          </w:p>
        </w:tc>
        <w:tc>
          <w:tcPr>
            <w:tcW w:w="2165" w:type="pct"/>
            <w:vAlign w:val="center"/>
          </w:tcPr>
          <w:p w14:paraId="25FA3E88">
            <w:pPr>
              <w:jc w:val="center"/>
              <w:rPr>
                <w:bCs/>
                <w:szCs w:val="21"/>
              </w:rPr>
            </w:pPr>
            <w:r>
              <w:rPr>
                <w:rFonts w:hint="eastAsia"/>
                <w:bCs/>
                <w:szCs w:val="21"/>
              </w:rPr>
              <w:t>采购项目名称</w:t>
            </w:r>
          </w:p>
        </w:tc>
        <w:tc>
          <w:tcPr>
            <w:tcW w:w="1397" w:type="pct"/>
            <w:vAlign w:val="center"/>
          </w:tcPr>
          <w:p w14:paraId="197B518C">
            <w:pPr>
              <w:jc w:val="center"/>
              <w:rPr>
                <w:rFonts w:hint="eastAsia"/>
                <w:b/>
                <w:bCs/>
                <w:color w:val="FF0000"/>
                <w:szCs w:val="21"/>
              </w:rPr>
            </w:pPr>
            <w:r>
              <w:rPr>
                <w:rFonts w:hint="eastAsia"/>
                <w:b/>
                <w:bCs/>
                <w:color w:val="FF0000"/>
                <w:szCs w:val="21"/>
                <w:lang w:val="en-US" w:eastAsia="zh-CN"/>
              </w:rPr>
              <w:t>财政</w:t>
            </w:r>
            <w:r>
              <w:rPr>
                <w:rFonts w:hint="eastAsia"/>
                <w:b/>
                <w:bCs/>
                <w:color w:val="FF0000"/>
                <w:szCs w:val="21"/>
              </w:rPr>
              <w:t>预算金额（元）</w:t>
            </w:r>
          </w:p>
          <w:p w14:paraId="3BA58666">
            <w:pPr>
              <w:jc w:val="center"/>
              <w:rPr>
                <w:rFonts w:hint="default" w:eastAsia="宋体"/>
                <w:lang w:val="en-US" w:eastAsia="zh-CN"/>
              </w:rPr>
            </w:pPr>
            <w:r>
              <w:rPr>
                <w:rFonts w:hint="eastAsia" w:eastAsia="宋体"/>
                <w:b/>
                <w:bCs/>
                <w:color w:val="FF0000"/>
                <w:szCs w:val="21"/>
                <w:lang w:val="en-US" w:eastAsia="zh-CN"/>
              </w:rPr>
              <w:t>最高支付上限（元）</w:t>
            </w:r>
          </w:p>
        </w:tc>
      </w:tr>
      <w:tr w14:paraId="1A48C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0" w:type="pct"/>
            <w:vAlign w:val="center"/>
          </w:tcPr>
          <w:p w14:paraId="1DA60BEF">
            <w:pPr>
              <w:jc w:val="center"/>
              <w:rPr>
                <w:bCs/>
                <w:color w:val="FF0000"/>
                <w:szCs w:val="21"/>
              </w:rPr>
            </w:pPr>
            <w:r>
              <w:rPr>
                <w:rFonts w:hint="eastAsia"/>
                <w:bCs/>
                <w:color w:val="FF0000"/>
                <w:szCs w:val="21"/>
              </w:rPr>
              <w:t>1</w:t>
            </w:r>
          </w:p>
        </w:tc>
        <w:tc>
          <w:tcPr>
            <w:tcW w:w="1196" w:type="pct"/>
            <w:vAlign w:val="center"/>
          </w:tcPr>
          <w:p w14:paraId="3CC42CB5">
            <w:pPr>
              <w:jc w:val="center"/>
              <w:rPr>
                <w:bCs/>
                <w:color w:val="FF0000"/>
                <w:szCs w:val="21"/>
              </w:rPr>
            </w:pPr>
            <w:r>
              <w:rPr>
                <w:rFonts w:hint="eastAsia"/>
                <w:bCs/>
                <w:color w:val="FF0000"/>
                <w:szCs w:val="21"/>
              </w:rPr>
              <w:t>PLAN-2026-440300000-103023-09812</w:t>
            </w:r>
          </w:p>
        </w:tc>
        <w:tc>
          <w:tcPr>
            <w:tcW w:w="2165" w:type="pct"/>
            <w:vAlign w:val="center"/>
          </w:tcPr>
          <w:p w14:paraId="1E406AA2">
            <w:pPr>
              <w:jc w:val="center"/>
              <w:rPr>
                <w:b/>
                <w:bCs/>
                <w:color w:val="FF0000"/>
                <w:szCs w:val="21"/>
              </w:rPr>
            </w:pPr>
            <w:r>
              <w:rPr>
                <w:rFonts w:hint="eastAsia"/>
                <w:b/>
                <w:bCs/>
                <w:color w:val="FF0000"/>
                <w:szCs w:val="21"/>
                <w:lang w:eastAsia="zh-CN"/>
              </w:rPr>
              <w:t>深圳市第七高级中学</w:t>
            </w:r>
            <w:r>
              <w:rPr>
                <w:rFonts w:hint="eastAsia"/>
                <w:b/>
                <w:bCs/>
                <w:color w:val="FF0000"/>
                <w:szCs w:val="21"/>
              </w:rPr>
              <w:t>食堂主副食配送服务</w:t>
            </w:r>
          </w:p>
        </w:tc>
        <w:tc>
          <w:tcPr>
            <w:tcW w:w="1397" w:type="pct"/>
            <w:vAlign w:val="center"/>
          </w:tcPr>
          <w:p w14:paraId="3823930F">
            <w:pPr>
              <w:jc w:val="center"/>
              <w:rPr>
                <w:bCs/>
                <w:color w:val="FF0000"/>
                <w:szCs w:val="21"/>
              </w:rPr>
            </w:pPr>
            <w:r>
              <w:rPr>
                <w:rFonts w:hint="eastAsia"/>
                <w:bCs/>
                <w:color w:val="FF0000"/>
                <w:szCs w:val="21"/>
              </w:rPr>
              <w:t>12,800,000.00</w:t>
            </w:r>
          </w:p>
        </w:tc>
      </w:tr>
      <w:tr w14:paraId="05FE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602" w:type="pct"/>
            <w:gridSpan w:val="3"/>
            <w:vAlign w:val="center"/>
          </w:tcPr>
          <w:p w14:paraId="5B993758">
            <w:pPr>
              <w:jc w:val="center"/>
              <w:rPr>
                <w:b/>
                <w:bCs/>
                <w:color w:val="FF0000"/>
                <w:szCs w:val="21"/>
              </w:rPr>
            </w:pPr>
            <w:r>
              <w:rPr>
                <w:rFonts w:hint="eastAsia"/>
                <w:b/>
                <w:bCs/>
                <w:color w:val="FF0000"/>
                <w:szCs w:val="21"/>
              </w:rPr>
              <w:t>合计：</w:t>
            </w:r>
          </w:p>
        </w:tc>
        <w:tc>
          <w:tcPr>
            <w:tcW w:w="1397" w:type="pct"/>
            <w:vAlign w:val="center"/>
          </w:tcPr>
          <w:p w14:paraId="1D2A6887">
            <w:pPr>
              <w:jc w:val="center"/>
              <w:rPr>
                <w:bCs/>
                <w:color w:val="FF0000"/>
                <w:szCs w:val="21"/>
              </w:rPr>
            </w:pPr>
            <w:r>
              <w:rPr>
                <w:rFonts w:hint="eastAsia"/>
                <w:bCs/>
                <w:color w:val="FF0000"/>
                <w:szCs w:val="21"/>
              </w:rPr>
              <w:t>12,800,000.00</w:t>
            </w:r>
          </w:p>
        </w:tc>
      </w:tr>
    </w:tbl>
    <w:p w14:paraId="22D9305F">
      <w:pPr>
        <w:rPr>
          <w:rFonts w:ascii="宋体" w:hAnsi="宋体"/>
          <w:b/>
          <w:color w:val="FF0000"/>
          <w:szCs w:val="21"/>
        </w:rPr>
      </w:pPr>
    </w:p>
    <w:p w14:paraId="400E5DF0">
      <w:pPr>
        <w:pStyle w:val="3"/>
        <w:spacing w:before="120" w:beforeLines="50" w:after="120" w:afterLines="50"/>
        <w:rPr>
          <w:szCs w:val="24"/>
        </w:rPr>
      </w:pPr>
      <w:r>
        <w:rPr>
          <w:rFonts w:hint="eastAsia"/>
          <w:szCs w:val="24"/>
        </w:rPr>
        <w:t>二、项目概况</w:t>
      </w:r>
    </w:p>
    <w:p w14:paraId="152C115B">
      <w:pPr>
        <w:pStyle w:val="37"/>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exact"/>
        <w:ind w:right="0" w:firstLine="440" w:firstLineChars="200"/>
        <w:jc w:val="left"/>
        <w:textAlignment w:val="auto"/>
        <w:rPr>
          <w:rFonts w:hint="default" w:ascii="宋体" w:hAnsi="宋体" w:eastAsia="宋体" w:cs="宋体"/>
          <w:kern w:val="0"/>
          <w:sz w:val="22"/>
          <w:szCs w:val="22"/>
          <w:lang w:val="en-US" w:eastAsia="zh-CN"/>
        </w:rPr>
      </w:pPr>
      <w:r>
        <w:rPr>
          <w:rFonts w:hint="eastAsia" w:ascii="宋体" w:hAnsi="宋体" w:eastAsia="宋体" w:cs="宋体"/>
          <w:i w:val="0"/>
          <w:iCs w:val="0"/>
          <w:caps w:val="0"/>
          <w:color w:val="auto"/>
          <w:spacing w:val="0"/>
          <w:sz w:val="22"/>
          <w:szCs w:val="22"/>
          <w:shd w:val="clear" w:color="auto" w:fill="FFFFFF"/>
        </w:rPr>
        <w:t>为保障学校食堂食品安全、稳定供应与规范管理，满足师生日常就餐需求，现就深圳市第七高级中学食堂主副食配送服务项目</w:t>
      </w:r>
      <w:r>
        <w:rPr>
          <w:rFonts w:hint="eastAsia" w:ascii="宋体" w:hAnsi="宋体" w:eastAsia="宋体" w:cs="宋体"/>
          <w:i w:val="0"/>
          <w:iCs w:val="0"/>
          <w:caps w:val="0"/>
          <w:color w:val="auto"/>
          <w:spacing w:val="0"/>
          <w:sz w:val="22"/>
          <w:szCs w:val="22"/>
          <w:shd w:val="clear" w:color="auto" w:fill="FFFFFF"/>
          <w:lang w:val="en-US" w:eastAsia="zh-CN"/>
        </w:rPr>
        <w:t>组织招标采购</w:t>
      </w:r>
      <w:r>
        <w:rPr>
          <w:rFonts w:hint="eastAsia" w:ascii="宋体" w:hAnsi="宋体" w:eastAsia="宋体" w:cs="宋体"/>
          <w:i w:val="0"/>
          <w:iCs w:val="0"/>
          <w:caps w:val="0"/>
          <w:color w:val="auto"/>
          <w:spacing w:val="0"/>
          <w:sz w:val="22"/>
          <w:szCs w:val="22"/>
          <w:shd w:val="clear" w:color="auto" w:fill="FFFFFF"/>
        </w:rPr>
        <w:t>。本次</w:t>
      </w:r>
      <w:r>
        <w:rPr>
          <w:rFonts w:hint="eastAsia" w:ascii="宋体" w:hAnsi="宋体" w:eastAsia="宋体" w:cs="宋体"/>
          <w:i w:val="0"/>
          <w:iCs w:val="0"/>
          <w:caps w:val="0"/>
          <w:color w:val="auto"/>
          <w:spacing w:val="0"/>
          <w:sz w:val="22"/>
          <w:szCs w:val="22"/>
          <w:shd w:val="clear" w:color="auto" w:fill="FFFFFF"/>
          <w:lang w:val="en-US" w:eastAsia="zh-CN"/>
        </w:rPr>
        <w:t>中标</w:t>
      </w:r>
      <w:r>
        <w:rPr>
          <w:rFonts w:hint="eastAsia" w:ascii="宋体" w:hAnsi="宋体" w:eastAsia="宋体" w:cs="宋体"/>
          <w:i w:val="0"/>
          <w:iCs w:val="0"/>
          <w:caps w:val="0"/>
          <w:color w:val="auto"/>
          <w:spacing w:val="0"/>
          <w:sz w:val="22"/>
          <w:szCs w:val="22"/>
          <w:shd w:val="clear" w:color="auto" w:fill="FFFFFF"/>
        </w:rPr>
        <w:t>供应商，负责学校食堂所需米面粮油、肉蛋瓜果蔬菜、水产干货、调味辅料等全品类食材的日常配送服务。</w:t>
      </w:r>
    </w:p>
    <w:p w14:paraId="6B58830B">
      <w:pPr>
        <w:rPr>
          <w:rFonts w:ascii="宋体" w:hAnsi="宋体"/>
          <w:b/>
          <w:color w:val="FF0000"/>
          <w:szCs w:val="21"/>
        </w:rPr>
      </w:pPr>
    </w:p>
    <w:p w14:paraId="2DCBE5D1">
      <w:pPr>
        <w:pStyle w:val="3"/>
        <w:spacing w:before="120" w:beforeLines="50" w:after="120" w:afterLines="50"/>
        <w:rPr>
          <w:szCs w:val="24"/>
        </w:rPr>
      </w:pPr>
      <w:r>
        <w:rPr>
          <w:rFonts w:hint="eastAsia"/>
          <w:szCs w:val="24"/>
        </w:rPr>
        <w:t>三、</w:t>
      </w:r>
      <w:bookmarkStart w:id="30" w:name="_Hlk72073432"/>
      <w:r>
        <w:rPr>
          <w:rFonts w:hint="eastAsia"/>
          <w:szCs w:val="24"/>
        </w:rPr>
        <w:t>服务需求明细</w:t>
      </w:r>
      <w:bookmarkEnd w:id="30"/>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576"/>
        <w:gridCol w:w="2816"/>
        <w:gridCol w:w="426"/>
        <w:gridCol w:w="426"/>
        <w:gridCol w:w="427"/>
        <w:gridCol w:w="427"/>
      </w:tblGrid>
      <w:tr w14:paraId="204F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9" w:type="pct"/>
            <w:vAlign w:val="center"/>
          </w:tcPr>
          <w:p w14:paraId="1E601AFA">
            <w:pPr>
              <w:jc w:val="center"/>
              <w:rPr>
                <w:bCs/>
                <w:szCs w:val="21"/>
              </w:rPr>
            </w:pPr>
            <w:r>
              <w:rPr>
                <w:rFonts w:hint="eastAsia"/>
                <w:bCs/>
                <w:szCs w:val="21"/>
              </w:rPr>
              <w:t>序号</w:t>
            </w:r>
          </w:p>
        </w:tc>
        <w:tc>
          <w:tcPr>
            <w:tcW w:w="690" w:type="pct"/>
            <w:vAlign w:val="center"/>
          </w:tcPr>
          <w:p w14:paraId="4FA4824A">
            <w:pPr>
              <w:jc w:val="center"/>
              <w:rPr>
                <w:bCs/>
                <w:szCs w:val="21"/>
              </w:rPr>
            </w:pPr>
            <w:r>
              <w:rPr>
                <w:rFonts w:hint="eastAsia"/>
                <w:szCs w:val="21"/>
              </w:rPr>
              <w:t>采购计划编号</w:t>
            </w:r>
          </w:p>
        </w:tc>
        <w:tc>
          <w:tcPr>
            <w:tcW w:w="2448" w:type="pct"/>
            <w:vAlign w:val="center"/>
          </w:tcPr>
          <w:p w14:paraId="4A7B1DC0">
            <w:pPr>
              <w:jc w:val="center"/>
              <w:rPr>
                <w:bCs/>
                <w:szCs w:val="21"/>
              </w:rPr>
            </w:pPr>
            <w:r>
              <w:rPr>
                <w:rFonts w:hint="eastAsia"/>
                <w:bCs/>
                <w:szCs w:val="21"/>
              </w:rPr>
              <w:t>服务需求名称（标的名称）</w:t>
            </w:r>
          </w:p>
        </w:tc>
        <w:tc>
          <w:tcPr>
            <w:tcW w:w="289" w:type="pct"/>
            <w:vAlign w:val="center"/>
          </w:tcPr>
          <w:p w14:paraId="3B77A730">
            <w:pPr>
              <w:jc w:val="center"/>
              <w:rPr>
                <w:bCs/>
                <w:szCs w:val="21"/>
              </w:rPr>
            </w:pPr>
            <w:r>
              <w:rPr>
                <w:rFonts w:hint="eastAsia"/>
                <w:bCs/>
                <w:szCs w:val="21"/>
              </w:rPr>
              <w:t>数量</w:t>
            </w:r>
          </w:p>
        </w:tc>
        <w:tc>
          <w:tcPr>
            <w:tcW w:w="249" w:type="pct"/>
            <w:vAlign w:val="center"/>
          </w:tcPr>
          <w:p w14:paraId="1EE9DC13">
            <w:pPr>
              <w:jc w:val="center"/>
              <w:rPr>
                <w:bCs/>
                <w:szCs w:val="21"/>
              </w:rPr>
            </w:pPr>
            <w:r>
              <w:rPr>
                <w:rFonts w:hint="eastAsia"/>
                <w:bCs/>
                <w:szCs w:val="21"/>
              </w:rPr>
              <w:t>单位</w:t>
            </w:r>
          </w:p>
        </w:tc>
        <w:tc>
          <w:tcPr>
            <w:tcW w:w="578" w:type="pct"/>
            <w:vAlign w:val="center"/>
          </w:tcPr>
          <w:p w14:paraId="3ADE2A96">
            <w:pPr>
              <w:jc w:val="center"/>
              <w:rPr>
                <w:bCs/>
                <w:szCs w:val="21"/>
              </w:rPr>
            </w:pPr>
            <w:r>
              <w:rPr>
                <w:rFonts w:hint="eastAsia"/>
                <w:b/>
                <w:bCs/>
                <w:color w:val="FF0000"/>
                <w:szCs w:val="21"/>
              </w:rPr>
              <w:t>是否专门面向中小企业</w:t>
            </w:r>
          </w:p>
        </w:tc>
        <w:tc>
          <w:tcPr>
            <w:tcW w:w="493" w:type="pct"/>
            <w:vAlign w:val="center"/>
          </w:tcPr>
          <w:p w14:paraId="0EE981A5">
            <w:pPr>
              <w:jc w:val="center"/>
              <w:rPr>
                <w:b/>
                <w:bCs/>
                <w:color w:val="FF0000"/>
                <w:szCs w:val="21"/>
              </w:rPr>
            </w:pPr>
            <w:r>
              <w:rPr>
                <w:rFonts w:hint="eastAsia"/>
                <w:b/>
                <w:bCs/>
                <w:color w:val="FF0000"/>
                <w:szCs w:val="21"/>
              </w:rPr>
              <w:t>标的所属行业</w:t>
            </w:r>
          </w:p>
        </w:tc>
      </w:tr>
      <w:tr w14:paraId="0B91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249" w:type="pct"/>
            <w:vAlign w:val="center"/>
          </w:tcPr>
          <w:p w14:paraId="448F7617">
            <w:pPr>
              <w:jc w:val="center"/>
              <w:rPr>
                <w:bCs/>
                <w:szCs w:val="21"/>
              </w:rPr>
            </w:pPr>
            <w:r>
              <w:rPr>
                <w:rFonts w:hint="eastAsia"/>
                <w:bCs/>
                <w:szCs w:val="21"/>
              </w:rPr>
              <w:t>1</w:t>
            </w:r>
          </w:p>
        </w:tc>
        <w:tc>
          <w:tcPr>
            <w:tcW w:w="690" w:type="pct"/>
            <w:shd w:val="clear" w:color="auto" w:fill="auto"/>
            <w:vAlign w:val="center"/>
          </w:tcPr>
          <w:p w14:paraId="17A3204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PLAN-2026-440300000-103023-09812</w:t>
            </w:r>
          </w:p>
        </w:tc>
        <w:tc>
          <w:tcPr>
            <w:tcW w:w="2448" w:type="pct"/>
            <w:vAlign w:val="center"/>
          </w:tcPr>
          <w:p w14:paraId="31CA4D16">
            <w:pPr>
              <w:jc w:val="center"/>
              <w:rPr>
                <w:rFonts w:hint="eastAsia" w:eastAsia="宋体"/>
                <w:bCs/>
                <w:szCs w:val="21"/>
                <w:lang w:eastAsia="zh-CN"/>
              </w:rPr>
            </w:pPr>
            <w:r>
              <w:rPr>
                <w:rFonts w:hint="eastAsia"/>
                <w:bCs/>
                <w:szCs w:val="21"/>
                <w:lang w:eastAsia="zh-CN"/>
              </w:rPr>
              <w:t>深圳市第七高级中学食堂主副食配送服务</w:t>
            </w:r>
          </w:p>
        </w:tc>
        <w:tc>
          <w:tcPr>
            <w:tcW w:w="289" w:type="pct"/>
            <w:vAlign w:val="center"/>
          </w:tcPr>
          <w:p w14:paraId="224FBC88">
            <w:pPr>
              <w:jc w:val="center"/>
              <w:rPr>
                <w:bCs/>
                <w:szCs w:val="21"/>
              </w:rPr>
            </w:pPr>
            <w:r>
              <w:rPr>
                <w:rFonts w:hint="eastAsia"/>
                <w:lang w:val="en-US" w:eastAsia="zh-CN"/>
              </w:rPr>
              <w:t>1</w:t>
            </w:r>
          </w:p>
        </w:tc>
        <w:tc>
          <w:tcPr>
            <w:tcW w:w="249" w:type="pct"/>
            <w:vAlign w:val="center"/>
          </w:tcPr>
          <w:p w14:paraId="6A928096">
            <w:pPr>
              <w:jc w:val="center"/>
              <w:rPr>
                <w:bCs/>
                <w:szCs w:val="21"/>
              </w:rPr>
            </w:pPr>
            <w:r>
              <w:rPr>
                <w:rFonts w:hint="eastAsia"/>
                <w:bCs/>
                <w:szCs w:val="21"/>
                <w:lang w:val="en-US" w:eastAsia="zh-CN"/>
              </w:rPr>
              <w:t>项</w:t>
            </w:r>
          </w:p>
        </w:tc>
        <w:tc>
          <w:tcPr>
            <w:tcW w:w="578" w:type="pct"/>
            <w:vAlign w:val="center"/>
          </w:tcPr>
          <w:p w14:paraId="60A2A0CC">
            <w:pPr>
              <w:jc w:val="center"/>
              <w:rPr>
                <w:bCs/>
                <w:szCs w:val="21"/>
              </w:rPr>
            </w:pPr>
            <w:r>
              <w:rPr>
                <w:rFonts w:hint="eastAsia"/>
                <w:bCs/>
                <w:szCs w:val="21"/>
                <w:lang w:val="en-US" w:eastAsia="zh-CN"/>
              </w:rPr>
              <w:t>否</w:t>
            </w:r>
          </w:p>
        </w:tc>
        <w:tc>
          <w:tcPr>
            <w:tcW w:w="493" w:type="pct"/>
            <w:vAlign w:val="center"/>
          </w:tcPr>
          <w:p w14:paraId="3EF1E8FD">
            <w:pPr>
              <w:jc w:val="center"/>
              <w:rPr>
                <w:bCs/>
                <w:szCs w:val="21"/>
              </w:rPr>
            </w:pPr>
            <w:r>
              <w:rPr>
                <w:rFonts w:hint="eastAsia" w:eastAsia="宋体"/>
                <w:b/>
                <w:bCs/>
                <w:color w:val="FF0000"/>
                <w:szCs w:val="21"/>
              </w:rPr>
              <w:t>批发    业</w:t>
            </w:r>
          </w:p>
        </w:tc>
      </w:tr>
    </w:tbl>
    <w:p w14:paraId="41047D2D">
      <w:pPr>
        <w:rPr>
          <w:rFonts w:ascii="宋体" w:hAnsi="宋体"/>
          <w:b/>
          <w:color w:val="FF0000"/>
          <w:szCs w:val="21"/>
        </w:rPr>
      </w:pPr>
    </w:p>
    <w:p w14:paraId="6C1BB82D">
      <w:pPr>
        <w:pStyle w:val="3"/>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42E9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6A35467A">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3B7C55D8">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6183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3DBC7B21">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tcPr>
          <w:p w14:paraId="5E990F5E">
            <w:pPr>
              <w:rPr>
                <w:rFonts w:hAnsi="宋体" w:eastAsiaTheme="minorEastAsia"/>
                <w:kern w:val="0"/>
                <w:szCs w:val="21"/>
              </w:rPr>
            </w:pPr>
            <w:r>
              <w:rPr>
                <w:rFonts w:hint="eastAsia" w:hAnsi="宋体" w:eastAsiaTheme="minorEastAsia"/>
                <w:kern w:val="0"/>
                <w:szCs w:val="21"/>
              </w:rPr>
              <w:t>具体以采购文件第三章 用户需求书中带“★”的需求项为准。</w:t>
            </w:r>
          </w:p>
        </w:tc>
      </w:tr>
      <w:tr w14:paraId="12F0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0744399A">
            <w:pPr>
              <w:adjustRightInd w:val="0"/>
              <w:snapToGrid w:val="0"/>
              <w:spacing w:line="360" w:lineRule="auto"/>
              <w:rPr>
                <w:rFonts w:hint="eastAsia" w:ascii="宋体" w:hAnsi="宋体" w:eastAsia="宋体"/>
                <w:kern w:val="0"/>
                <w:szCs w:val="21"/>
                <w:lang w:val="en-US" w:eastAsia="zh-CN"/>
              </w:rPr>
            </w:pPr>
            <w:r>
              <w:rPr>
                <w:rFonts w:hint="eastAsia" w:ascii="宋体" w:hAnsi="宋体"/>
                <w:kern w:val="0"/>
                <w:szCs w:val="21"/>
                <w:lang w:val="en-US" w:eastAsia="zh-CN"/>
              </w:rPr>
              <w:t>2</w:t>
            </w:r>
          </w:p>
        </w:tc>
        <w:tc>
          <w:tcPr>
            <w:tcW w:w="7795" w:type="dxa"/>
          </w:tcPr>
          <w:p w14:paraId="66368DE5">
            <w:pPr>
              <w:ind w:left="0" w:leftChars="0" w:firstLine="0" w:firstLineChars="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rPr>
              <w:t>★供应商承诺包括但不限于：</w:t>
            </w:r>
          </w:p>
          <w:p w14:paraId="5DAF8241">
            <w:pPr>
              <w:ind w:firstLine="422" w:firstLineChars="20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1</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我单位承诺：如我单位中标，保证中标后10个工作日内提供评分细则中所有证明文件原件，供</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审核。</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2</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随时对我单位的场所及我单位服务的其他食材配送项目进行实地考察，如发现我单位有存在提供虚假证明材料、重大食品安全问题、严重违反合同约定或其他违法违规情形的，我单位将无条件放弃中标资格，并承担由此产生的一切法律责任及赔偿责任。同时，</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有权终止合同，并按照相关规定追究我单位责任。</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3</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我单位承诺：我单位已充分知悉项目的服务内容、范围等要求，并合理预估自身的服务能力参与本项目投标。中标后不得出现因服务能力不足、非不可抗力等因素提出放弃中标资格或向</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主动提出解除合同的。</w:t>
            </w:r>
          </w:p>
          <w:p w14:paraId="09AF14B1">
            <w:pPr>
              <w:ind w:firstLine="422" w:firstLineChars="200"/>
              <w:rPr>
                <w:rFonts w:hint="eastAsia" w:asciiTheme="minorEastAsia" w:hAnsiTheme="minorEastAsia" w:eastAsiaTheme="minorEastAsia" w:cstheme="minorEastAsia"/>
                <w:b/>
                <w:bCs/>
                <w:color w:val="FF0000"/>
                <w:szCs w:val="21"/>
              </w:rPr>
            </w:pPr>
            <w:r>
              <w:rPr>
                <w:rFonts w:hint="eastAsia" w:asciiTheme="minorEastAsia" w:hAnsiTheme="minorEastAsia" w:eastAsiaTheme="minorEastAsia" w:cstheme="minorEastAsia"/>
                <w:b/>
                <w:bCs/>
                <w:color w:val="FF0000"/>
                <w:szCs w:val="21"/>
                <w:highlight w:val="none"/>
              </w:rPr>
              <w:t>供应商如违反上述承诺，</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将有权报主管部门进行处罚。</w:t>
            </w:r>
          </w:p>
          <w:p w14:paraId="502EC5AC">
            <w:pPr>
              <w:ind w:firstLine="422" w:firstLineChars="200"/>
              <w:rPr>
                <w:rFonts w:hint="eastAsia" w:asciiTheme="minorEastAsia" w:hAnsiTheme="minorEastAsia" w:eastAsiaTheme="minorEastAsia" w:cstheme="minorEastAsia"/>
                <w:b/>
                <w:bCs/>
                <w:color w:val="FF0000"/>
                <w:sz w:val="21"/>
                <w:szCs w:val="21"/>
                <w:lang w:val="en-US" w:eastAsia="zh-CN"/>
              </w:rPr>
            </w:pPr>
            <w:r>
              <w:rPr>
                <w:rFonts w:hint="eastAsia" w:asciiTheme="minorEastAsia" w:hAnsiTheme="minorEastAsia" w:eastAsiaTheme="minorEastAsia" w:cstheme="minorEastAsia"/>
                <w:b/>
                <w:bCs/>
                <w:color w:val="FF0000"/>
                <w:sz w:val="21"/>
                <w:szCs w:val="21"/>
                <w:lang w:val="en-US" w:eastAsia="zh-CN"/>
              </w:rPr>
              <w:t>（投标人提供承诺函，格式自拟）</w:t>
            </w:r>
          </w:p>
          <w:p w14:paraId="7E63C55D">
            <w:pPr>
              <w:rPr>
                <w:rFonts w:hint="eastAsia" w:hAnsi="宋体" w:eastAsiaTheme="minorEastAsia"/>
                <w:kern w:val="0"/>
                <w:szCs w:val="21"/>
              </w:rPr>
            </w:pPr>
          </w:p>
        </w:tc>
      </w:tr>
    </w:tbl>
    <w:p w14:paraId="6B24F2F4">
      <w:pPr>
        <w:pStyle w:val="5"/>
        <w:tabs>
          <w:tab w:val="left" w:pos="765"/>
        </w:tabs>
        <w:rPr>
          <w:rFonts w:ascii="黑体"/>
          <w:b w:val="0"/>
          <w:kern w:val="0"/>
          <w:sz w:val="24"/>
          <w:szCs w:val="24"/>
        </w:rPr>
      </w:pPr>
      <w:r>
        <w:rPr>
          <w:rFonts w:hint="eastAsia" w:ascii="黑体"/>
          <w:b w:val="0"/>
          <w:kern w:val="0"/>
          <w:sz w:val="24"/>
          <w:szCs w:val="24"/>
        </w:rPr>
        <w:t>注：上表所列内容为不可负偏离条款，负偏离将视为未实质性满足招标文件要求作投标无效处理。</w:t>
      </w:r>
      <w:bookmarkEnd w:id="29"/>
    </w:p>
    <w:p w14:paraId="5603475F">
      <w:pPr>
        <w:rPr>
          <w:b/>
          <w:bCs/>
          <w:sz w:val="24"/>
        </w:rPr>
      </w:pPr>
    </w:p>
    <w:p w14:paraId="1A7F9445">
      <w:pPr>
        <w:pStyle w:val="3"/>
        <w:spacing w:before="120" w:beforeLines="50" w:after="120" w:afterLines="50"/>
        <w:rPr>
          <w:rFonts w:hint="eastAsia"/>
          <w:szCs w:val="24"/>
        </w:rPr>
      </w:pPr>
      <w:r>
        <w:rPr>
          <w:rFonts w:hint="eastAsia"/>
          <w:szCs w:val="24"/>
        </w:rPr>
        <w:t>五、技术要求</w:t>
      </w:r>
    </w:p>
    <w:p w14:paraId="5DF62495">
      <w:pPr>
        <w:ind w:firstLine="420" w:firstLineChars="200"/>
        <w:rPr>
          <w:rFonts w:hint="eastAsia" w:asciiTheme="minorEastAsia" w:hAnsiTheme="minorEastAsia" w:eastAsiaTheme="minorEastAsia" w:cstheme="minorEastAsia"/>
          <w:b w:val="0"/>
          <w:bCs w:val="0"/>
          <w:szCs w:val="21"/>
          <w:lang w:eastAsia="zh-CN"/>
        </w:rPr>
      </w:pPr>
      <w:r>
        <w:rPr>
          <w:rFonts w:hint="eastAsia" w:asciiTheme="minorEastAsia" w:hAnsiTheme="minorEastAsia" w:eastAsiaTheme="minorEastAsia" w:cstheme="minorEastAsia"/>
          <w:b w:val="0"/>
          <w:bCs w:val="0"/>
          <w:szCs w:val="21"/>
          <w:lang w:val="en-US" w:eastAsia="zh-CN"/>
        </w:rPr>
        <w:t>（一）</w:t>
      </w:r>
      <w:r>
        <w:rPr>
          <w:rFonts w:hint="eastAsia" w:asciiTheme="minorEastAsia" w:hAnsiTheme="minorEastAsia" w:eastAsiaTheme="minorEastAsia" w:cstheme="minorEastAsia"/>
          <w:b w:val="0"/>
          <w:bCs w:val="0"/>
          <w:szCs w:val="21"/>
        </w:rPr>
        <w:t>本次食堂食材配送货物的品类、质量、服务、技术、安全、人员、验收、监管及承诺方面的要求</w:t>
      </w:r>
    </w:p>
    <w:p w14:paraId="598C2B1E">
      <w:pPr>
        <w:widowControl/>
        <w:shd w:val="clear" w:color="auto" w:fill="FFFFFF"/>
        <w:spacing w:line="240" w:lineRule="auto"/>
        <w:ind w:firstLine="42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21"/>
          <w:szCs w:val="21"/>
        </w:rPr>
        <w:t>1</w:t>
      </w:r>
      <w:r>
        <w:rPr>
          <w:rFonts w:hint="eastAsia" w:asciiTheme="minorEastAsia" w:hAnsiTheme="minorEastAsia" w:eastAsiaTheme="minorEastAsia" w:cstheme="minorEastAsia"/>
          <w:b/>
          <w:sz w:val="21"/>
          <w:szCs w:val="21"/>
          <w:lang w:eastAsia="zh-CN"/>
        </w:rPr>
        <w:t>.</w:t>
      </w:r>
      <w:r>
        <w:rPr>
          <w:rFonts w:hint="eastAsia" w:asciiTheme="minorEastAsia" w:hAnsiTheme="minorEastAsia" w:eastAsiaTheme="minorEastAsia" w:cstheme="minorEastAsia"/>
          <w:b/>
          <w:sz w:val="21"/>
          <w:szCs w:val="21"/>
        </w:rPr>
        <w:t>本次食堂食材配送货物的品类。主要包括</w:t>
      </w:r>
      <w:r>
        <w:rPr>
          <w:rFonts w:hint="eastAsia" w:asciiTheme="minorEastAsia" w:hAnsiTheme="minorEastAsia" w:eastAsiaTheme="minorEastAsia" w:cstheme="minorEastAsia"/>
          <w:b/>
          <w:sz w:val="21"/>
          <w:szCs w:val="21"/>
          <w:lang w:val="en-US" w:eastAsia="zh-CN"/>
        </w:rPr>
        <w:t>但不限于</w:t>
      </w:r>
      <w:r>
        <w:rPr>
          <w:rFonts w:hint="eastAsia" w:asciiTheme="minorEastAsia" w:hAnsiTheme="minorEastAsia" w:eastAsiaTheme="minorEastAsia" w:cstheme="minorEastAsia"/>
          <w:b/>
          <w:sz w:val="21"/>
          <w:szCs w:val="21"/>
        </w:rPr>
        <w:t>：</w:t>
      </w:r>
    </w:p>
    <w:p w14:paraId="39CDA64F">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（1）鲜肉类；</w:t>
      </w:r>
    </w:p>
    <w:p w14:paraId="7F2173CD">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（2）水产类；</w:t>
      </w:r>
    </w:p>
    <w:p w14:paraId="05ACBC05">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（3）蔬菜类；</w:t>
      </w:r>
    </w:p>
    <w:p w14:paraId="5CFB4C81">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（4）冻品类；</w:t>
      </w:r>
    </w:p>
    <w:p w14:paraId="3D04F6F1">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（5）蛋类；</w:t>
      </w:r>
    </w:p>
    <w:p w14:paraId="70C8ED3C">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（6）食用油类；</w:t>
      </w:r>
    </w:p>
    <w:p w14:paraId="7C1F9665">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（7）禽类；</w:t>
      </w:r>
    </w:p>
    <w:p w14:paraId="780B03E2">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（8）奶制品；</w:t>
      </w:r>
    </w:p>
    <w:p w14:paraId="05D411E0">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（9）大米类；</w:t>
      </w:r>
    </w:p>
    <w:p w14:paraId="23B35968">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（10）调味品类；</w:t>
      </w:r>
    </w:p>
    <w:p w14:paraId="4C3CAAD4">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（11）小麦粉或者面粉类；</w:t>
      </w:r>
    </w:p>
    <w:p w14:paraId="1789B485">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（12）水果类；</w:t>
      </w:r>
    </w:p>
    <w:p w14:paraId="1645F6EE">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（13）熟食类；</w:t>
      </w:r>
    </w:p>
    <w:p w14:paraId="10906D06">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（14）豆制品类；</w:t>
      </w:r>
    </w:p>
    <w:p w14:paraId="38C96E50">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（15）干货类。</w:t>
      </w:r>
    </w:p>
    <w:p w14:paraId="45A67644">
      <w:pPr>
        <w:ind w:firstLine="420" w:firstLineChars="200"/>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val="0"/>
          <w:bCs w:val="0"/>
          <w:szCs w:val="21"/>
          <w:lang w:val="en-US" w:eastAsia="zh-CN"/>
        </w:rPr>
        <w:t>具体以学校实际订单为准</w:t>
      </w:r>
      <w:r>
        <w:rPr>
          <w:rFonts w:hint="eastAsia" w:asciiTheme="minorEastAsia" w:hAnsiTheme="minorEastAsia" w:eastAsiaTheme="minorEastAsia" w:cstheme="minorEastAsia"/>
          <w:b/>
          <w:bCs/>
          <w:szCs w:val="21"/>
          <w:lang w:val="en-US" w:eastAsia="zh-CN"/>
        </w:rPr>
        <w:t>，</w:t>
      </w:r>
      <w:r>
        <w:rPr>
          <w:rFonts w:hint="eastAsia" w:asciiTheme="minorEastAsia" w:hAnsiTheme="minorEastAsia" w:eastAsiaTheme="minorEastAsia" w:cstheme="minorEastAsia"/>
          <w:snapToGrid w:val="0"/>
          <w:color w:val="000000"/>
          <w:kern w:val="0"/>
          <w:szCs w:val="21"/>
          <w:highlight w:val="none"/>
        </w:rPr>
        <w:t>学校可引进有资质的食品安全第三方监管单位对供应商配送的所有物资进行现场验收并进行相关项目检测，中标供应商必须无条件接受第三方监管单位的验收、检测等监管并认可第三方的检测结果。</w:t>
      </w:r>
    </w:p>
    <w:p w14:paraId="14AD5984">
      <w:pPr>
        <w:rPr>
          <w:rFonts w:hint="eastAsia"/>
          <w:b w:val="0"/>
          <w:bCs w:val="0"/>
        </w:rPr>
      </w:pPr>
    </w:p>
    <w:p w14:paraId="0D0A4BD2">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项目所依据及参考的标准</w:t>
      </w:r>
    </w:p>
    <w:p w14:paraId="09B82A65">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（1）《食品安全国家标准》；</w:t>
      </w:r>
    </w:p>
    <w:p w14:paraId="0A7B69FF">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（2）《中华人民共和国食品安全法》；</w:t>
      </w:r>
    </w:p>
    <w:p w14:paraId="199B013C">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（3）《动物检疫管理办法》；</w:t>
      </w:r>
    </w:p>
    <w:p w14:paraId="1047C8F6">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（4）《深圳市学校食堂食材采购验收参考标准》；</w:t>
      </w:r>
    </w:p>
    <w:p w14:paraId="0513F05B">
      <w:pPr>
        <w:ind w:firstLine="420" w:firstLineChars="200"/>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）《中华人民共和国农业农村部公告 第176号》</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p>
    <w:p w14:paraId="4F40C830">
      <w:pPr>
        <w:ind w:firstLine="420" w:firstLineChars="200"/>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）《中华人民共和国农业农村部公告 第235号》</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p>
    <w:p w14:paraId="3182CB26">
      <w:pPr>
        <w:ind w:firstLine="420" w:firstLineChars="200"/>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7</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）《中华人民共和国农业农村部公告 第250号》</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p>
    <w:p w14:paraId="6237195D">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8</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豆制品》（GB2712）最新版；</w:t>
      </w:r>
    </w:p>
    <w:p w14:paraId="17B38FBF">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9</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粮食》（GB2715）最新版；</w:t>
      </w:r>
    </w:p>
    <w:p w14:paraId="2320C985">
      <w:pPr>
        <w:ind w:firstLine="420" w:firstLineChars="200"/>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10）《食品安全国家标准 植物油》(GB 2716）最新版；</w:t>
      </w:r>
    </w:p>
    <w:p w14:paraId="262A33E3">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11</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酱油》(GB 2717）最新版；</w:t>
      </w:r>
    </w:p>
    <w:p w14:paraId="5334794F">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12</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食醋》（GB2719）最新版；</w:t>
      </w:r>
    </w:p>
    <w:p w14:paraId="4C2E916D">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13</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食用盐》（GB2721）最新版；</w:t>
      </w:r>
    </w:p>
    <w:p w14:paraId="1AFCF641">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14</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腌腊肉制品》（GB2730）最新版；</w:t>
      </w:r>
    </w:p>
    <w:p w14:paraId="18BD5FBF">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15</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）《食品安全国家标准 鲜、冻动物性水产品》（GB 2733）最新版；</w:t>
      </w:r>
    </w:p>
    <w:p w14:paraId="21BD7670">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（1</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食用菌及其制品》（GB7096）最新版；</w:t>
      </w:r>
    </w:p>
    <w:p w14:paraId="70F1ADD5">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（1</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7</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动物性水产制品》（GB10136）最新版；</w:t>
      </w:r>
    </w:p>
    <w:p w14:paraId="042C587D">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（1</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8</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藻类及其制品》（GB19643）最新版；</w:t>
      </w:r>
    </w:p>
    <w:p w14:paraId="4CC43902">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19</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食品添加剂使用标准》（GB2760）最新版；</w:t>
      </w:r>
    </w:p>
    <w:p w14:paraId="57807EEE">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20</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食品中真菌毒素限量》（GB2761）最新版；</w:t>
      </w:r>
    </w:p>
    <w:p w14:paraId="1EBA0D14">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21</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食品中污染物限量》（GB 2762）最新版；</w:t>
      </w:r>
    </w:p>
    <w:p w14:paraId="3C8EC480">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22</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食品中农药最大残留限量》（GB2763）最新版；</w:t>
      </w:r>
    </w:p>
    <w:p w14:paraId="2020B96E">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23</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食品中污染物限量》（GB2742）最新版；</w:t>
      </w:r>
    </w:p>
    <w:p w14:paraId="7963EC0A">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24</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蛋与蛋制品》（GB2749）最新版</w:t>
      </w:r>
    </w:p>
    <w:p w14:paraId="2667E85B">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5）《食品安全国家标准 鲜、冻禽产品》（GB 16869）最新版；</w:t>
      </w:r>
    </w:p>
    <w:p w14:paraId="1D6DADF5">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26</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）《食品安全国家标准 巴氏杀菌乳》（GB 19645—2010）；</w:t>
      </w:r>
    </w:p>
    <w:p w14:paraId="3C7920FB">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27</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）《食品安全国家标准 食品中兽药最大残留限量》（GB 31650-2019）及《食品安全国家标准 食品中41种兽药最大残留限量》（GB 31650.1-2022）；</w:t>
      </w:r>
    </w:p>
    <w:p w14:paraId="3F6465C2">
      <w:pPr>
        <w:ind w:firstLine="420" w:firstLineChars="200"/>
        <w:rPr>
          <w:rFonts w:hint="eastAsia" w:asciiTheme="minorEastAsia" w:hAnsiTheme="minorEastAsia" w:eastAsiaTheme="minorEastAsia" w:cstheme="minorEastAsia"/>
          <w:snapToGrid w:val="0"/>
          <w:color w:val="000000" w:themeColor="text1"/>
          <w:kern w:val="0"/>
          <w:szCs w:val="21"/>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28</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）其他与食品质量安全有关的法律法规及标准。</w:t>
      </w:r>
    </w:p>
    <w:p w14:paraId="4CFD7DD0">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二</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本次食堂食材配送货物的</w:t>
      </w:r>
      <w:r>
        <w:rPr>
          <w:rFonts w:hint="eastAsia" w:asciiTheme="minorEastAsia" w:hAnsiTheme="minorEastAsia" w:eastAsiaTheme="minorEastAsia" w:cstheme="minorEastAsia"/>
          <w:b/>
          <w:bCs/>
          <w:sz w:val="21"/>
          <w:szCs w:val="21"/>
          <w:lang w:val="en-US" w:eastAsia="zh-CN"/>
        </w:rPr>
        <w:t>服务地点</w:t>
      </w:r>
      <w:r>
        <w:rPr>
          <w:rFonts w:hint="eastAsia" w:asciiTheme="minorEastAsia" w:hAnsiTheme="minorEastAsia" w:eastAsiaTheme="minorEastAsia" w:cstheme="minorEastAsia"/>
          <w:b/>
          <w:bCs/>
          <w:sz w:val="21"/>
          <w:szCs w:val="21"/>
        </w:rPr>
        <w:t>：</w:t>
      </w:r>
    </w:p>
    <w:p w14:paraId="05BB84FB">
      <w:pPr>
        <w:autoSpaceDE w:val="0"/>
        <w:ind w:firstLine="420" w:firstLineChars="200"/>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深圳市宝安区沙井街道民主大道33号</w:t>
      </w:r>
    </w:p>
    <w:p w14:paraId="16A8070C">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三</w:t>
      </w:r>
      <w:r>
        <w:rPr>
          <w:rFonts w:hint="eastAsia" w:asciiTheme="minorEastAsia" w:hAnsiTheme="minorEastAsia" w:eastAsiaTheme="minorEastAsia" w:cstheme="minorEastAsia"/>
          <w:b/>
          <w:bCs/>
          <w:sz w:val="21"/>
          <w:szCs w:val="21"/>
          <w:lang w:eastAsia="zh-CN"/>
        </w:rPr>
        <w:t>）</w:t>
      </w:r>
      <w:r>
        <w:rPr>
          <w:rFonts w:hint="eastAsia"/>
          <w:lang w:val="en-US" w:eastAsia="zh-CN"/>
        </w:rPr>
        <w:t>★</w:t>
      </w:r>
      <w:r>
        <w:rPr>
          <w:rFonts w:hint="eastAsia" w:asciiTheme="minorEastAsia" w:hAnsiTheme="minorEastAsia" w:eastAsiaTheme="minorEastAsia" w:cstheme="minorEastAsia"/>
          <w:b/>
          <w:bCs/>
          <w:sz w:val="21"/>
          <w:szCs w:val="21"/>
        </w:rPr>
        <w:t>本次食堂食材配送货物的食品</w:t>
      </w:r>
      <w:r>
        <w:rPr>
          <w:rFonts w:hint="eastAsia" w:asciiTheme="minorEastAsia" w:hAnsiTheme="minorEastAsia" w:eastAsiaTheme="minorEastAsia" w:cstheme="minorEastAsia"/>
          <w:b/>
          <w:bCs/>
          <w:sz w:val="21"/>
          <w:szCs w:val="21"/>
          <w:lang w:val="en-US" w:eastAsia="zh-CN"/>
        </w:rPr>
        <w:t>质量</w:t>
      </w:r>
      <w:r>
        <w:rPr>
          <w:rFonts w:hint="eastAsia" w:asciiTheme="minorEastAsia" w:hAnsiTheme="minorEastAsia" w:eastAsiaTheme="minorEastAsia" w:cstheme="minorEastAsia"/>
          <w:b/>
          <w:bCs/>
          <w:sz w:val="21"/>
          <w:szCs w:val="21"/>
        </w:rPr>
        <w:t>要求：</w:t>
      </w:r>
    </w:p>
    <w:p w14:paraId="7D743FCC">
      <w:pPr>
        <w:keepNext/>
        <w:keepLines/>
        <w:spacing w:line="240" w:lineRule="auto"/>
        <w:ind w:firstLine="422" w:firstLineChars="200"/>
        <w:outlineLvl w:val="4"/>
        <w:rPr>
          <w:rFonts w:hint="eastAsia" w:asciiTheme="minorEastAsia" w:hAnsiTheme="minorEastAsia" w:eastAsiaTheme="minorEastAsia" w:cstheme="minorEastAsia"/>
          <w:b/>
          <w:color w:val="auto"/>
          <w:szCs w:val="21"/>
        </w:rPr>
      </w:pPr>
      <w:bookmarkStart w:id="31" w:name="_Toc751842250"/>
      <w:r>
        <w:rPr>
          <w:rFonts w:hint="eastAsia" w:asciiTheme="minorEastAsia" w:hAnsiTheme="minorEastAsia" w:eastAsiaTheme="minorEastAsia" w:cstheme="minorEastAsia"/>
          <w:b/>
          <w:color w:val="auto"/>
          <w:szCs w:val="21"/>
        </w:rPr>
        <w:t>1.鲜肉类、水产类</w:t>
      </w:r>
    </w:p>
    <w:p w14:paraId="244021EA">
      <w:pPr>
        <w:autoSpaceDE w:val="0"/>
        <w:spacing w:line="240" w:lineRule="auto"/>
        <w:ind w:firstLine="420" w:firstLineChars="200"/>
        <w:rPr>
          <w:rFonts w:hint="eastAsia" w:asciiTheme="minorEastAsia" w:hAnsiTheme="minorEastAsia" w:eastAsiaTheme="minorEastAsia" w:cstheme="minorEastAsia"/>
          <w:b/>
          <w:szCs w:val="21"/>
        </w:rPr>
      </w:pPr>
      <w:r>
        <w:rPr>
          <w:rFonts w:hint="eastAsia"/>
          <w:lang w:val="en-US" w:eastAsia="zh-CN"/>
        </w:rPr>
        <w:t>★</w:t>
      </w:r>
      <w:r>
        <w:rPr>
          <w:rFonts w:hint="eastAsia" w:asciiTheme="minorEastAsia" w:hAnsiTheme="minorEastAsia" w:eastAsiaTheme="minorEastAsia" w:cstheme="minorEastAsia"/>
          <w:b/>
          <w:szCs w:val="21"/>
        </w:rPr>
        <w:t>供应产品质量要求:</w:t>
      </w:r>
    </w:p>
    <w:p w14:paraId="6D1C659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所供货物应保持较好的外观和质量等级，符合国家食品部门的有关标准，保证无异味、无霉烂变质，肉类保证来源于深圳市正规肉屠宰场，供货时须提交屠宰场的验收单及当批次有效的动物检疫合格证复印件，新鲜肉确保每日新鲜，为当天深圳市正规屠宰场宰杀的新鲜肉；冷冻肉要求肉体冻实而坚硬，无化冻现象，肉质紧密而有弹性，色泽均匀，不粘手，交货时干净、新鲜、无异味；冷冻鱼类要求鱼眼睛清亮，角膜透明，鳞片上覆有冻结的透明黏液层，皮肤天然色泽明显。</w:t>
      </w:r>
    </w:p>
    <w:p w14:paraId="58C7C026">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（2）所有货物规格符合采购人提交的日采购计划中明确的具体需求。</w:t>
      </w:r>
    </w:p>
    <w:p w14:paraId="08465A8B">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（3）供应产品须符合相关执行标准，包括但不限于：（如有最新的标准，按最新的标准执行）</w:t>
      </w:r>
    </w:p>
    <w:p w14:paraId="7B7DE9B1">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鲜、冻猪肉及猪副产品：GB/T 9959.1-2019</w:t>
      </w:r>
    </w:p>
    <w:p w14:paraId="209745E9">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鲜、冻禽产品：GB 16869-2005</w:t>
      </w:r>
    </w:p>
    <w:p w14:paraId="3406C2F5">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冻鱼：GB/T 18109-2024</w:t>
      </w:r>
    </w:p>
    <w:p w14:paraId="0E2702D7">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冻银鱼：GB/T 35375-2024</w:t>
      </w:r>
    </w:p>
    <w:p w14:paraId="3481F8C8">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大黄鱼：GB/T 32755-2026</w:t>
      </w:r>
    </w:p>
    <w:p w14:paraId="461F8136">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梭鱼：GB/T 19162-2011</w:t>
      </w:r>
    </w:p>
    <w:p w14:paraId="685C5836">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（4）所有冷冻食品要求清晰列出产品品牌、规格、类型、包装方式、包装净重、含冰量等相关参数。</w:t>
      </w:r>
    </w:p>
    <w:p w14:paraId="0EC1B689">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（5）各中标人提供猪、牛、羊等肉类、家禽类及肉制品应有《卫生检疫报告》、《产品合格证》资质证明。</w:t>
      </w:r>
    </w:p>
    <w:p w14:paraId="49E4D5A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（6）产品配送要求：</w:t>
      </w:r>
    </w:p>
    <w:p w14:paraId="271487D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食品运输必须采用符合卫生要求的外包装和运载工具，并且要保持清洁和定期消毒。运输车厢的内仓，包括地面、墙面和顶，应为抗腐蚀、防潮，防虫、防鼠的设计，车厢内无不良气味、异味。</w:t>
      </w:r>
    </w:p>
    <w:p w14:paraId="0B76F058">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冷藏、冷冻食品必须用专用冷藏、冷冻载具运输，应当有必要的保温设备并在整个运输过程中保持安全的冷藏、冷冻温度。特别是对于长途运输的食品，保证食品在运输全过程处于合适的温度范围。</w:t>
      </w:r>
    </w:p>
    <w:p w14:paraId="2709EE5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整个运输过程应科学合理，运输车辆应定期清洁，保持性能稳定，符合规定的温度要求，使运输食品处于恒定的环境中。</w:t>
      </w:r>
    </w:p>
    <w:p w14:paraId="0370C95E">
      <w:pPr>
        <w:autoSpaceDE w:val="0"/>
        <w:spacing w:line="24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送货车辆实行1小时配送圈运作，在1小时内的用保温车配送，1小时以外的用制冷车配送，保证肉类中心温度控制在-2-7℃的范围之内，保证运输过程冷链不中断。商品到达目的地时外包装箱干爽,无软化现象</w:t>
      </w:r>
      <w:r>
        <w:rPr>
          <w:rFonts w:hint="eastAsia" w:asciiTheme="minorEastAsia" w:hAnsiTheme="minorEastAsia" w:eastAsiaTheme="minorEastAsia" w:cstheme="minorEastAsia"/>
          <w:color w:val="000000" w:themeColor="text1"/>
          <w:szCs w:val="21"/>
          <w14:textFill>
            <w14:solidFill>
              <w14:schemeClr w14:val="tx1"/>
            </w14:solidFill>
          </w14:textFill>
        </w:rPr>
        <w:t>。</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冷藏食材表面温度与标签标识的温度要求不得超过+3℃，冷冻食材表面温度不宜高于-9℃。</w:t>
      </w:r>
    </w:p>
    <w:p w14:paraId="36C4DDE0">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（7）卸货要求：</w:t>
      </w:r>
    </w:p>
    <w:p w14:paraId="28735C2B">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送货车辆应保持清洁；食品堆放科学合理，避免造成食品的交叉污染；如对温度有要求的食品应确定食品的温度，记录送货车辆温度，并记录存档。</w:t>
      </w:r>
    </w:p>
    <w:p w14:paraId="0793920C">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在本环节中应保证冷藏食品脱离冷链时间不得超过20分钟，冷冻食品脱离冷链时间不得超过30分钟。</w:t>
      </w:r>
    </w:p>
    <w:p w14:paraId="048573A7">
      <w:pPr>
        <w:numPr>
          <w:ilvl w:val="0"/>
          <w:numId w:val="8"/>
        </w:num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冻肉质量的基本检查：</w:t>
      </w:r>
    </w:p>
    <w:p w14:paraId="32F36363">
      <w:pPr>
        <w:pStyle w:val="18"/>
        <w:numPr>
          <w:ilvl w:val="255"/>
          <w:numId w:val="0"/>
        </w:numPr>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8.1 采购的冻肉必须符合食品卫生要求及国家有关标准和行业规范。采购生产、经营证明文件齐备，明确来源，并具有检验合格证明。严禁含有毒有害物质、虫及混有异物，严禁有腐烂变质、酸败、霉变情况，禁止采购超过保质期限的冻肉类食品。</w:t>
      </w:r>
    </w:p>
    <w:p w14:paraId="6B52CDD1">
      <w:pPr>
        <w:pStyle w:val="18"/>
        <w:numPr>
          <w:ilvl w:val="255"/>
          <w:numId w:val="0"/>
        </w:numPr>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8.2 冻肉类食品包装必须符合国家规范，采购的食品不得存放在有毒、有害的容器和承载物内。食品包装上必须使用原产地标识，应注明：制造商名称和厂址、食品名称和重（容）量、生产日期和保质期限以及食品生产许可证编号等。</w:t>
      </w:r>
    </w:p>
    <w:p w14:paraId="4EAB8477">
      <w:pPr>
        <w:pStyle w:val="18"/>
        <w:numPr>
          <w:ilvl w:val="255"/>
          <w:numId w:val="0"/>
        </w:numPr>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8.3 对不符合采购要求的冻肉类食品由验收人员提出清退，如双方对质量争议的退货前应实行留</w:t>
      </w:r>
      <w:r>
        <w:rPr>
          <w:rFonts w:hint="eastAsia" w:asciiTheme="minorEastAsia" w:hAnsiTheme="minorEastAsia" w:eastAsiaTheme="minorEastAsia" w:cstheme="minorEastAsia"/>
          <w:b w:val="0"/>
          <w:bCs w:val="0"/>
          <w:sz w:val="21"/>
          <w:szCs w:val="21"/>
          <w:lang w:val="en-US" w:eastAsia="zh-CN"/>
        </w:rPr>
        <w:t>样</w:t>
      </w:r>
      <w:r>
        <w:rPr>
          <w:rFonts w:hint="eastAsia" w:asciiTheme="minorEastAsia" w:hAnsiTheme="minorEastAsia" w:eastAsiaTheme="minorEastAsia" w:cstheme="minorEastAsia"/>
          <w:b w:val="0"/>
          <w:bCs w:val="0"/>
          <w:sz w:val="21"/>
          <w:szCs w:val="21"/>
        </w:rPr>
        <w:t>备案，可送深圳市或用户所在地地级市以上质监部门检测，对缺斤短两（或含冰量超标）的应按实际重量扣减。</w:t>
      </w:r>
    </w:p>
    <w:p w14:paraId="781A3562">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（9）冻肉类食品验收发现问题时的处理办法：</w:t>
      </w:r>
    </w:p>
    <w:p w14:paraId="4DF18FE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9.1 按产品质量描述对货物质量进行抽查。</w:t>
      </w:r>
    </w:p>
    <w:p w14:paraId="2344E901">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9.2 抽查发现食品安全质量问题的处理：</w:t>
      </w:r>
    </w:p>
    <w:p w14:paraId="0E10894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对危及人身安全的食品质量问题采取零容忍措施，一经发现，当日所送同批次产品全部退货，同时有权依法解除合同。如水产品中发现河豚鱼，发现腐败变质肉类等。</w:t>
      </w:r>
    </w:p>
    <w:p w14:paraId="652C096B">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若抽查未发现问题，而在加工食用前发现部分产品质量问题，应立即通知物资验收小组及中标人，将问题产品退货，并作扣分处理。</w:t>
      </w:r>
    </w:p>
    <w:p w14:paraId="21469FD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9.3 抽查发现资质证照不全问题的处理：</w:t>
      </w:r>
    </w:p>
    <w:p w14:paraId="125B44CC">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对于无政府部门出具的动植物检疫合格证明的、无产品合格证的、肉制品无疾病控制或质量技术监督部门出具的同类产品半年内有效检验报告的全部退货，并作扣分处理。</w:t>
      </w:r>
    </w:p>
    <w:p w14:paraId="170069E2">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（10）货物重量验收：</w:t>
      </w:r>
    </w:p>
    <w:p w14:paraId="75DD90C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10.1 冻肉类：双方各随机抽取每品种货物一箱，去包装，在流动的10-25℃清水中浸泡解冻至表面冰层融化，个体能够分离为止，充分摊开货物沥水三分钟后称重，取双方抽取样本均值为该产品本批次种货物的验收重量。</w:t>
      </w:r>
    </w:p>
    <w:p w14:paraId="2B15E276">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10.2 水产类：双方各随机抽取每品种货物两箱，去包装，在流动的10-25℃清水中浸泡解冻至表面冰层融化，个体能够分离为止，充分摊开货物沥水三分钟后称重，取双方抽取样本均值为该产品本批次种货物的验收重量。</w:t>
      </w:r>
    </w:p>
    <w:p w14:paraId="5482830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10.3 新鲜肉类、丸类、火腿、腊肠类等不含冰货物直接称重验收。</w:t>
      </w:r>
    </w:p>
    <w:bookmarkEnd w:id="31"/>
    <w:p w14:paraId="15C4A9F6">
      <w:pPr>
        <w:bidi w:val="0"/>
        <w:ind w:firstLine="422" w:firstLineChars="200"/>
        <w:rPr>
          <w:rFonts w:hint="eastAsia" w:asciiTheme="minorEastAsia" w:hAnsiTheme="minorEastAsia" w:eastAsiaTheme="minorEastAsia" w:cstheme="minorEastAsia"/>
          <w:b/>
          <w:bCs/>
          <w:szCs w:val="21"/>
        </w:rPr>
      </w:pPr>
      <w:bookmarkStart w:id="32" w:name="_Toc418916802"/>
      <w:r>
        <w:rPr>
          <w:rFonts w:hint="eastAsia" w:asciiTheme="minorEastAsia" w:hAnsiTheme="minorEastAsia" w:eastAsiaTheme="minorEastAsia" w:cstheme="minorEastAsia"/>
          <w:b/>
          <w:bCs/>
          <w:szCs w:val="21"/>
        </w:rPr>
        <w:t>2.蔬菜类</w:t>
      </w:r>
      <w:bookmarkEnd w:id="32"/>
    </w:p>
    <w:p w14:paraId="78F6798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中标人每天的供应按</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提出的品种要求和计划数量进行供应。</w:t>
      </w:r>
    </w:p>
    <w:p w14:paraId="4C593FA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属季节问题，若出现品种不能满足</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需求的情况，可与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协商调换相应类别的品种（按叶菜、瓜菜等进行分类）。</w:t>
      </w:r>
    </w:p>
    <w:p w14:paraId="38C6D57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（1）货物质量要求：</w:t>
      </w:r>
    </w:p>
    <w:p w14:paraId="5322DA0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从蔬菜色泽看，各种蔬菜都应具有本品种固有的颜色，大多数有发亮的光泽，以此显示蔬菜的成熟度及鲜嫩程度；</w:t>
      </w:r>
    </w:p>
    <w:p w14:paraId="364AC0E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从蔬菜气味看，多数蔬菜具有清馨、甘辛香、甜酸香等气味，可凭嗅觉识别不同品种的质量，不允许有腐烂变质的亚硝酸盐味和其他异常气味；</w:t>
      </w:r>
    </w:p>
    <w:p w14:paraId="32ED9EE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从蔬菜滋味看，因品种不同而各异，多数蔬菜滋味甘淡、甜酸、清爽鲜美，少数具有辛酸、苦涩等特殊风味以刺激食欲，如失去本品种原有的滋味即为异常；</w:t>
      </w:r>
    </w:p>
    <w:p w14:paraId="7AAA72B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从蔬菜形态看，应尽量避免由于客观因素而造成的各种非正常、不新鲜的蔬菜，例如萎蔫、枯塌、损伤、病变、虫害侵蚀等引起的形态异常等。</w:t>
      </w:r>
    </w:p>
    <w:p w14:paraId="615908B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（2）供应和管理要求</w:t>
      </w:r>
    </w:p>
    <w:p w14:paraId="3ED165C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2.1蔬菜供应的品种安排（分主菜和配菜）。</w:t>
      </w:r>
    </w:p>
    <w:p w14:paraId="597F8D2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 配菜品种按</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计划和要求的品种供应；</w:t>
      </w:r>
    </w:p>
    <w:p w14:paraId="2D81A18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2.1.2主菜品种由供求双方根据季节安排，但要确保每周有5个品种以上，每个品种不少于2次，6-9月叶菜类不少于30％，其余时间叶菜类不少于50％。</w:t>
      </w:r>
    </w:p>
    <w:p w14:paraId="657B1FF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蔬菜包装与标志要求：包装。容器(框、箱、袋)要求清洁、干燥、牢固、透气，无污染、无异味、无霉变现象。标志。每件包装必须按《农产品包装和标识管理办法》贴标签，并标明产地、品种、净含量、生产单位及地址和采收日期。</w:t>
      </w:r>
    </w:p>
    <w:p w14:paraId="4D9D2AB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2.3食品供应链要求：所有食品的来源必须清晰。蔬菜来源须为深圳市范围内的自有基地、商品菜基地或蔬菜专业流通市场，严禁收购散户农民的蔬菜供应。</w:t>
      </w:r>
    </w:p>
    <w:p w14:paraId="797FBB9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存档。</w:t>
      </w:r>
    </w:p>
    <w:p w14:paraId="79C3777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2.5管理要求：菜地设有固定的农资存放场所，配有专用的农药喷洒用具及其他农用器具，施用农药有详尽记录，规定施药间隔期后采收；蔬菜采收后需用清洁、无污染的运输工具运抵加工地点。</w:t>
      </w:r>
    </w:p>
    <w:p w14:paraId="06DC823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2.6环境要求：菜地周围需设有隔离网、隔离带或其他有效的隔离措施，确保不受临近农田施肥和用药污染；菜地周围无养殖场、化工厂、垃圾处理场、医院以及污水排放管道等污染源。</w:t>
      </w:r>
    </w:p>
    <w:p w14:paraId="4C14C11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2.7水源要求：菜地应有清洁无污染的灌溉水源；灌溉水井设有防护设施。灌溉水源需经检测验证符合规定要求，并一年内在蔬菜种植过程对水源进行2次监测。</w:t>
      </w:r>
    </w:p>
    <w:p w14:paraId="24A4928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2.8农药要求：种植使用的农药必须符合食品安全管理部门的规定，严禁使用违禁药物；农药的采购、保管、发放、使用必须建立记录；蔬菜生产使用农药的间隔期必须符合行业规定，并且采收前中标人应从种植地取样检测农残项目，合格后方可供应。</w:t>
      </w:r>
    </w:p>
    <w:p w14:paraId="0267940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（3）蔬菜验收时发现问题的处理方法：</w:t>
      </w:r>
    </w:p>
    <w:p w14:paraId="12C584F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3.1按后附产品质量描述对货物质量进行抽查。</w:t>
      </w:r>
    </w:p>
    <w:p w14:paraId="540FC3B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3.2抽查发现食品安全质量问题的处理：</w:t>
      </w:r>
    </w:p>
    <w:p w14:paraId="0135C68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对危及人身安全的食品质量问题采取零容忍措施，一经发现，当日所送同批次产品全部退货，同时有权依法解除合同。如水产品中发现农药残留超标，发现腐败变质蔬菜等。</w:t>
      </w:r>
    </w:p>
    <w:p w14:paraId="7588F1B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若抽查未发现问题，而在加工食用前发现部分产品质量问题，应立即通知物资验收小组及中标人，将问题产品退货处理。</w:t>
      </w:r>
    </w:p>
    <w:p w14:paraId="47F42E63">
      <w:pPr>
        <w:autoSpaceDE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3.</w:t>
      </w:r>
      <w:r>
        <w:rPr>
          <w:rFonts w:hint="eastAsia" w:asciiTheme="minorEastAsia" w:hAnsiTheme="minorEastAsia" w:eastAsiaTheme="minorEastAsia" w:cstheme="minorEastAsia"/>
          <w:b/>
          <w:bCs/>
          <w:szCs w:val="21"/>
        </w:rPr>
        <w:t>冻品类</w:t>
      </w:r>
    </w:p>
    <w:p w14:paraId="79A2768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所供货物应保持较好的外观和质量等级，符合国家食品部门的有关标准，保证无异味、无霉烂变质，肉类保证来源于深圳市正规肉屠宰场，供货时须提交屠宰场的验收单及当批次有效的动物检疫合格证复印件（原件备查），新鲜肉确保每日新鲜，为当天深圳市正规屠宰场宰杀的新鲜肉；冷冻肉要求肉体冻实而坚硬，无化冻现象，肉质紧密而有弹性，色泽均匀，不粘手，交货时干净、新鲜、无异味；冷冻鱼类要求鱼眼睛清亮，角膜透明，鳞片上覆有冻结的透明黏液层，皮肤天然色泽明显。</w:t>
      </w:r>
    </w:p>
    <w:p w14:paraId="6038274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（2）所有货物规格符合采购人提交的日采购计划中明确的具体需求。</w:t>
      </w:r>
    </w:p>
    <w:p w14:paraId="158293A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（3）供应产品须符合相关执行标准，包括但不限于：（如有最新的标准，按最新的标准执行）</w:t>
      </w:r>
    </w:p>
    <w:p w14:paraId="0190A16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鲜、冻猪肉及猪副产品：GB/T 9959.1-2019</w:t>
      </w:r>
    </w:p>
    <w:p w14:paraId="12F59B3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鲜、冻禽产品：GB 16869-2005</w:t>
      </w:r>
    </w:p>
    <w:p w14:paraId="000B97C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冻鱼： GB/T 18109-2024</w:t>
      </w:r>
    </w:p>
    <w:p w14:paraId="6800E30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冻银鱼：GB/T 35375-2024</w:t>
      </w:r>
    </w:p>
    <w:p w14:paraId="6A0E504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（4）所有冷冻食品要求清晰列出产品品牌、规格、类型、包装方式、包装净重、含冰量等相关参数。</w:t>
      </w:r>
    </w:p>
    <w:p w14:paraId="3DE9BE8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（5）各中标人提供猪、牛、羊等肉类、家禽类及肉制品应有《卫生检疫报告》、《产品合格证》资质证明。</w:t>
      </w:r>
    </w:p>
    <w:p w14:paraId="5DA0962B">
      <w:pPr>
        <w:autoSpaceDE w:val="0"/>
        <w:spacing w:line="240" w:lineRule="auto"/>
        <w:ind w:firstLine="422" w:firstLineChars="200"/>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蛋类</w:t>
      </w:r>
    </w:p>
    <w:p w14:paraId="2F1BC770">
      <w:pPr>
        <w:spacing w:line="24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鲜蛋蛋壳清洁完整，无裂纹，无霉斑，灯光透视时整个蛋呈微红色，蛋内无黑点及异物。蛋黄不见或略见阴影，打开后蛋黄凸起完整并带有韧性，蛋白澄清透明，稀稠分明。食材质量等级指标不低于该产品标准的中位数水平，如质量或规格等级划分为1、2、3、4、5或大（L）、中（M）、小（S）的，应选择1、2或大（L）、中（M）等级。</w:t>
      </w:r>
    </w:p>
    <w:p w14:paraId="29693EC1">
      <w:pPr>
        <w:pStyle w:val="59"/>
        <w:spacing w:line="24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593593B5">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5.</w:t>
      </w:r>
      <w:r>
        <w:rPr>
          <w:rFonts w:hint="eastAsia" w:asciiTheme="minorEastAsia" w:hAnsiTheme="minorEastAsia" w:eastAsiaTheme="minorEastAsia" w:cstheme="minorEastAsia"/>
          <w:b/>
          <w:bCs/>
          <w:szCs w:val="21"/>
        </w:rPr>
        <w:t>食用油</w:t>
      </w:r>
    </w:p>
    <w:p w14:paraId="36AB69C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（1）必须符合卫生，不得有腐烂、变质、油脂酸败、霉变、生虫、污秽不结、混有异物或者其他感官性状异常，并可能对人体健康有害的物质。</w:t>
      </w:r>
    </w:p>
    <w:p w14:paraId="4B2FFEC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（2）要提供食品生产许可证编号、国家机关发出的产品检验合格证书。包装箱完整，同时包装箱要印有注册商标、生产厂家名称、厂址、出厂日期、产品合格证、保质期限、产品成份、厂家电话号码。</w:t>
      </w:r>
    </w:p>
    <w:p w14:paraId="6D57D46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中标人在供应过程中，如果发生出现质量问题或造成食物中毒，如变质等情况，经查实后确属供、方责任，中标人应承担全部责任，主要包括食物中毒人员医疗费、误工费、事故处理费等，直至追究刑事责任。</w:t>
      </w:r>
    </w:p>
    <w:p w14:paraId="2449FDB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（4）供应产品须符合相关执行标准，包括但不限于：（如有最新的标准，按最新的标准执行）</w:t>
      </w:r>
    </w:p>
    <w:p w14:paraId="7861451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4.1通用标准：符合食品安全国家标准：GB 2761-2017、GB2762‑2025、GB 2760-2024、GB 5009.271-2016；包装应符合GB/T 17374‑2024 食用植物油销售包装、Q/7645776C-0.1-2017 食品包装瓶；</w:t>
      </w:r>
    </w:p>
    <w:p w14:paraId="6A275CC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4.2不同种类食用油标准：</w:t>
      </w:r>
    </w:p>
    <w:p w14:paraId="5CF3BD0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大豆油：GB/T1535‑2026；</w:t>
      </w:r>
    </w:p>
    <w:p w14:paraId="020D208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花生油：GB/T1534‑2026；</w:t>
      </w:r>
    </w:p>
    <w:p w14:paraId="66030EB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葵花籽油：GB/T 10464-2017；</w:t>
      </w:r>
    </w:p>
    <w:p w14:paraId="5A49E65B">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菜籽油</w:t>
      </w:r>
      <w:r>
        <w:rPr>
          <w:rFonts w:hint="eastAsia" w:asciiTheme="minorEastAsia" w:hAnsiTheme="minorEastAsia" w:eastAsiaTheme="minorEastAsia" w:cstheme="minorEastAsia"/>
          <w:szCs w:val="21"/>
          <w:lang w:val="de-DE"/>
        </w:rPr>
        <w:t>：GB/T 1536—2021；</w:t>
      </w:r>
    </w:p>
    <w:p w14:paraId="3EFEB14A">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棉籽油</w:t>
      </w:r>
      <w:r>
        <w:rPr>
          <w:rFonts w:hint="eastAsia" w:asciiTheme="minorEastAsia" w:hAnsiTheme="minorEastAsia" w:eastAsiaTheme="minorEastAsia" w:cstheme="minorEastAsia"/>
          <w:szCs w:val="21"/>
          <w:lang w:val="de-DE"/>
        </w:rPr>
        <w:t>：GB/T 1537-2019；</w:t>
      </w:r>
    </w:p>
    <w:p w14:paraId="2DDFB8CF">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油茶籽油</w:t>
      </w:r>
      <w:r>
        <w:rPr>
          <w:rFonts w:hint="eastAsia" w:asciiTheme="minorEastAsia" w:hAnsiTheme="minorEastAsia" w:eastAsiaTheme="minorEastAsia" w:cstheme="minorEastAsia"/>
          <w:szCs w:val="21"/>
          <w:lang w:val="de-DE"/>
        </w:rPr>
        <w:t>：GB/T 11765-2018；</w:t>
      </w:r>
    </w:p>
    <w:p w14:paraId="6B2A6986">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玉米油</w:t>
      </w:r>
      <w:r>
        <w:rPr>
          <w:rFonts w:hint="eastAsia" w:asciiTheme="minorEastAsia" w:hAnsiTheme="minorEastAsia" w:eastAsiaTheme="minorEastAsia" w:cstheme="minorEastAsia"/>
          <w:szCs w:val="21"/>
          <w:lang w:val="de-DE"/>
        </w:rPr>
        <w:t>：GB/T 19111-2017；</w:t>
      </w:r>
    </w:p>
    <w:p w14:paraId="246CD8A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.3油类质量要求：</w:t>
      </w:r>
    </w:p>
    <w:p w14:paraId="257B11D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每个食用油品种必须色泽好，透明度高，无浑浊，无沉淀和悬浮物，粘度小，无分层现象，气味正常，无酸臭异味。</w:t>
      </w:r>
    </w:p>
    <w:p w14:paraId="02394ED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严格执行国家相关质量标准及卫生安全标准，色泽、气味、霉变、真菌毒素、重金属污染物、农药等严格控制在国家标准范围内（原粮及成品粮色泽、气味必须正常。霉变粒不得超过2％。真菌毒素：黄曲霉毒素B1 （5μg/kg～20μg/kg）、脱氧雪腐镰刀菌烯醇（≤1000μg/kg）、玉米赤霉烯酮（≤60μg/kg）、赭曲霉毒素A（5μg/kg）。重金属污染物：铅（≤0.2mg/kg）、镉(0.1 mg/kg～0.2 mg/kg)、汞（0.02 mg/kg）、无机砷（0.1 mg/kg～0.2 mg/kg）。农药：对磷化物、马拉硫磷等140余种农药规定了最大残留限量）。并根据用户需求的食用油等级保质保量完成供货。</w:t>
      </w:r>
    </w:p>
    <w:p w14:paraId="6A4FBA7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要求提供的食用油生产厂家信誉良好，有明确的商品标签，有生产日期、保质期、质量等级，并标明初制油的加工工艺(即用浸出法生产，还是用压榨法生产的)和是否用转基因油料生产，不许以次充好、以假充真。如将毛油当一级或二级油进行销售，将低价位的植物油掺人高价位植物油中进行销售，牟取暴利，一经查处，中标人将承担全部责任。</w:t>
      </w:r>
    </w:p>
    <w:p w14:paraId="7EB02587">
      <w:pPr>
        <w:numPr>
          <w:ilvl w:val="-1"/>
          <w:numId w:val="0"/>
        </w:numPr>
        <w:autoSpaceDE w:val="0"/>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6.</w:t>
      </w:r>
      <w:r>
        <w:rPr>
          <w:rFonts w:hint="eastAsia" w:asciiTheme="minorEastAsia" w:hAnsiTheme="minorEastAsia" w:eastAsiaTheme="minorEastAsia" w:cstheme="minorEastAsia"/>
          <w:b/>
          <w:bCs/>
          <w:szCs w:val="21"/>
        </w:rPr>
        <w:t>禽类</w:t>
      </w:r>
    </w:p>
    <w:p w14:paraId="7F0A18A8">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肉应肉质新鲜，肌肉色泽鲜红或深红，有光泽；脂肪呈乳白色或粉白色，指压后的凹陷立即恢复，肉质紧密，有坚实感，不得有肉眼可见异物；具有动物检验检疫合格证明；各种食材的感官性状无异常，无明显腐败变质、油脂酸败、发霉生虫、污秽不洁、混有异物、掺假掺杂等情况。食材质量等级指标不低于该产品标准的中位数水平，如质量或规格等级划分为1、2、3、4、5或大（L）、中（M）、小（S）的，应选择1、2或大（L）、中（M）等级。</w:t>
      </w:r>
    </w:p>
    <w:p w14:paraId="5A2297E6">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744DD4C0">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7.奶</w:t>
      </w:r>
      <w:r>
        <w:rPr>
          <w:rFonts w:hint="eastAsia" w:asciiTheme="minorEastAsia" w:hAnsiTheme="minorEastAsia" w:eastAsiaTheme="minorEastAsia" w:cstheme="minorEastAsia"/>
          <w:b/>
          <w:bCs/>
          <w:szCs w:val="21"/>
        </w:rPr>
        <w:t>制品</w:t>
      </w:r>
    </w:p>
    <w:p w14:paraId="5E8B036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提供最近日期生产出品的鲜奶和酸奶；外包装完整无损，有详细的生产日期、保质期、生产厂家等信息。</w:t>
      </w:r>
    </w:p>
    <w:p w14:paraId="414F6952">
      <w:pPr>
        <w:autoSpaceDE w:val="0"/>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b w:val="0"/>
          <w:bCs w:val="0"/>
          <w:szCs w:val="21"/>
        </w:rPr>
        <w:t>鲜奶要求：</w:t>
      </w:r>
    </w:p>
    <w:p w14:paraId="67C0959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1.1</w:t>
      </w:r>
      <w:r>
        <w:rPr>
          <w:rFonts w:hint="eastAsia" w:asciiTheme="minorEastAsia" w:hAnsiTheme="minorEastAsia" w:eastAsiaTheme="minorEastAsia" w:cstheme="minorEastAsia"/>
          <w:szCs w:val="21"/>
        </w:rPr>
        <w:t>颜色：色泽为乳白色或稍带微黄色。</w:t>
      </w:r>
    </w:p>
    <w:p w14:paraId="1A89BB3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1.2组织状态：呈均匀的流体，无沉淀、凝块和机械杂质，无粘稠和浓厚现象。</w:t>
      </w:r>
    </w:p>
    <w:p w14:paraId="21F1E64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1.3气味: 具有乳特有的乳香味，无其他任何异味。不能发出显著的酸味、苦味、臭味、霉味、涩味、腥味等异常气味。</w:t>
      </w:r>
    </w:p>
    <w:p w14:paraId="7E2BECB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1.4味道：具有鲜乳独具的纯香味，滋味可口而稍甜，无其他任何异常滋味。不能有有酸味、咸味、苦味等。</w:t>
      </w:r>
    </w:p>
    <w:p w14:paraId="2F2C272A">
      <w:pPr>
        <w:autoSpaceDE w:val="0"/>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2</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酸奶要求：</w:t>
      </w:r>
    </w:p>
    <w:p w14:paraId="1A66613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2.1颜色：色泽均匀一致，呈乳白色或稍带微黄色。不得出现色泽不匀、灰暗或出现其他异常颜色。</w:t>
      </w:r>
    </w:p>
    <w:p w14:paraId="27AFE28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2.2组织状态：凝乳均匀细腻，无气泡，允许有少量黄色脂膜和少量乳清。不能出现气泡、霉斑或乳清析出严重、乳清分离等异常状态。</w:t>
      </w:r>
    </w:p>
    <w:p w14:paraId="2C7518C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2.3气味：有清香、纯正的酸奶味。不能有腐败味，霉变味、酒精发酵及其他不良气味。</w:t>
      </w:r>
    </w:p>
    <w:p w14:paraId="1A5B605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2.4味道：有纯正的酸牛奶味，酸甜适口。不能酸味过度、有苦味、涩味或其他不良滋味。</w:t>
      </w:r>
    </w:p>
    <w:p w14:paraId="4E2AA942">
      <w:pPr>
        <w:bidi w:val="0"/>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8.</w:t>
      </w:r>
      <w:r>
        <w:rPr>
          <w:rFonts w:hint="eastAsia" w:asciiTheme="minorEastAsia" w:hAnsiTheme="minorEastAsia" w:eastAsiaTheme="minorEastAsia" w:cstheme="minorEastAsia"/>
          <w:b/>
          <w:bCs/>
          <w:szCs w:val="21"/>
        </w:rPr>
        <w:t>大米</w:t>
      </w:r>
      <w:r>
        <w:rPr>
          <w:rFonts w:hint="eastAsia" w:asciiTheme="minorEastAsia" w:hAnsiTheme="minorEastAsia" w:eastAsiaTheme="minorEastAsia" w:cstheme="minorEastAsia"/>
          <w:b/>
          <w:bCs/>
          <w:szCs w:val="21"/>
          <w:lang w:val="en-US" w:eastAsia="zh-CN"/>
        </w:rPr>
        <w:t>类</w:t>
      </w:r>
    </w:p>
    <w:p w14:paraId="382E6C2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大米</w:t>
      </w:r>
      <w:r>
        <w:rPr>
          <w:rFonts w:hint="eastAsia" w:asciiTheme="minorEastAsia" w:hAnsiTheme="minorEastAsia" w:eastAsiaTheme="minorEastAsia" w:cstheme="minorEastAsia"/>
          <w:szCs w:val="21"/>
        </w:rPr>
        <w:t>须为一年内新米；</w:t>
      </w:r>
    </w:p>
    <w:p w14:paraId="75651B2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（2）供应产品须达到国家质量标准，包括但不限于：GB/T 1354-2018 三级以上（含三级）籼米，其中铬、镉、无机砷、黄曲霉毒素B1 等项目应符合相应的食品安全国家标准要求；</w:t>
      </w:r>
    </w:p>
    <w:p w14:paraId="615C059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（3）包装要求：用纤维袋或塑料袋定量包装。包装上有生产许可证的编号，包装标识清楚，如印有重量、生产日期、保质期、生产厂家、电话等；</w:t>
      </w:r>
    </w:p>
    <w:p w14:paraId="1998AF9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（4）大米色泽呈透明玉色状，“米眼睛”（胚芽部）的颜色呈乳白色，有自然清香味，脂肪酸值[（mg/100g)≤30]符合GB/T20569-2006《稻谷储存品质判定规则》；</w:t>
      </w:r>
    </w:p>
    <w:p w14:paraId="5902200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en-US" w:eastAsia="zh-CN"/>
        </w:rPr>
        <w:t>中标后</w:t>
      </w:r>
      <w:r>
        <w:rPr>
          <w:rFonts w:hint="eastAsia" w:asciiTheme="minorEastAsia" w:hAnsiTheme="minorEastAsia" w:eastAsiaTheme="minorEastAsia" w:cstheme="minorEastAsia"/>
          <w:szCs w:val="21"/>
        </w:rPr>
        <w:t>需提供生产加工方国家认可的质量检测部门出具的检测报告（GB/T 1354-2018），每季度提供生产加工方所在地质量检测部门的检测报告。</w:t>
      </w:r>
    </w:p>
    <w:p w14:paraId="6EC235D7">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9.</w:t>
      </w:r>
      <w:r>
        <w:rPr>
          <w:rFonts w:hint="eastAsia" w:asciiTheme="minorEastAsia" w:hAnsiTheme="minorEastAsia" w:eastAsiaTheme="minorEastAsia" w:cstheme="minorEastAsia"/>
          <w:b/>
          <w:bCs/>
          <w:szCs w:val="21"/>
        </w:rPr>
        <w:t>调味品</w:t>
      </w:r>
    </w:p>
    <w:p w14:paraId="1401863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（1）总体要求</w:t>
      </w:r>
    </w:p>
    <w:p w14:paraId="4CA1036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产品外包装上明确标准产品名称、规格、生产日期、保质期、生产厂家、生产地点、食品生产许可证编号等，符合《食品安全法》的基本要求。</w:t>
      </w:r>
    </w:p>
    <w:p w14:paraId="52C6157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（2）几种主要调味品的质量标准：</w:t>
      </w:r>
    </w:p>
    <w:p w14:paraId="1CA711E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酱油：氨基酸态氮含量要求每百毫升≥0.55；澄清，浓厚，稀稠适度，挂壁，无沉淀。</w:t>
      </w:r>
    </w:p>
    <w:p w14:paraId="739205B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醋： 颜色黑紫、过夏不霉、过冬不冻，气味甘甜异酸；食醋的总酸含量要≥3.5g/100ml；具有琥珀色或红棕色，有光泽者为佳品。体态澄清、浓度适当，无悬浮物、沉淀。</w:t>
      </w:r>
    </w:p>
    <w:p w14:paraId="6CAF6C9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味精：味精颗粒形状一致，色洁白有光泽，颗粒间呈散粒状态；味精溶液透明无色，无泡沫，无杂质。</w:t>
      </w:r>
    </w:p>
    <w:p w14:paraId="2FE47C1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鸡精：谷氨酸钠，g/100g≥35.0 氯化物g/100g≤40.0，呈味核苷酸二钠g/100g≥1.10，干燥失重g/100g≤3.0，总氮g/100g≥3.00，其他氮g/100g≥0.20。</w:t>
      </w:r>
    </w:p>
    <w:p w14:paraId="38B8BB7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豆瓣酱：色泽：红褐色、油润光亮；香气：无不良气味；滋味：鲜美、咸淡可口；体态：松散、质地柔软。</w:t>
      </w:r>
    </w:p>
    <w:p w14:paraId="2FC4736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白砂糖：结晶体、质地均匀、甜味纯正；干燥松散、洁白、有光泽、无明显黑点。</w:t>
      </w:r>
    </w:p>
    <w:p w14:paraId="6937AC5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料酒：酒精含量在15 度以下；由小米或糯米酿造而成。</w:t>
      </w:r>
    </w:p>
    <w:p w14:paraId="04236C45">
      <w:pPr>
        <w:numPr>
          <w:ilvl w:val="0"/>
          <w:numId w:val="9"/>
        </w:numPr>
        <w:autoSpaceDE w:val="0"/>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小麦粉或者面粉类</w:t>
      </w:r>
    </w:p>
    <w:p w14:paraId="3A479F2C">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各种食材的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3EA8946B">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2FB9B2C9">
      <w:pPr>
        <w:widowControl/>
        <w:autoSpaceDE/>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小麦粉（面粉）的质量指标符合食品安全国家标准（GB 2761、GB 2762等）及产品标签明示执行标准的要求，其中通用小麦粉质量等级应达到或超过国家标准GB/T 1355中质量等级为“特制二等”的要求（2023年1月1日起生产的小麦粉应达到GB/T 1355-2021“标准粉”及以上的要求）。</w:t>
      </w:r>
    </w:p>
    <w:p w14:paraId="4320FA79">
      <w:pPr>
        <w:bidi w:val="0"/>
        <w:ind w:firstLine="422" w:firstLineChars="200"/>
        <w:rPr>
          <w:rFonts w:hint="eastAsia" w:asciiTheme="minorEastAsia" w:hAnsiTheme="minorEastAsia" w:eastAsiaTheme="minorEastAsia" w:cstheme="minorEastAsia"/>
          <w:b/>
          <w:bCs/>
          <w:szCs w:val="21"/>
        </w:rPr>
      </w:pPr>
      <w:bookmarkStart w:id="33" w:name="_Toc1283296348"/>
      <w:r>
        <w:rPr>
          <w:rFonts w:hint="eastAsia" w:asciiTheme="minorEastAsia" w:hAnsiTheme="minorEastAsia" w:eastAsiaTheme="minorEastAsia" w:cstheme="minorEastAsia"/>
          <w:b/>
          <w:bCs/>
          <w:szCs w:val="21"/>
          <w:lang w:val="en-US" w:eastAsia="zh-CN"/>
        </w:rPr>
        <w:t>11</w:t>
      </w:r>
      <w:r>
        <w:rPr>
          <w:rFonts w:hint="eastAsia" w:asciiTheme="minorEastAsia" w:hAnsiTheme="minorEastAsia" w:eastAsiaTheme="minorEastAsia" w:cstheme="minorEastAsia"/>
          <w:b/>
          <w:bCs/>
          <w:szCs w:val="21"/>
        </w:rPr>
        <w:t>.水果类</w:t>
      </w:r>
      <w:bookmarkEnd w:id="33"/>
    </w:p>
    <w:p w14:paraId="20A1A65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（1）总体要求</w:t>
      </w:r>
    </w:p>
    <w:p w14:paraId="6FBF216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1.1色泽：具有该品种成熟果品应有的色泽及形态特征；颜色鲜艳、外型端正、细腻光滑、富有光泽的水果质量一般较好；</w:t>
      </w:r>
    </w:p>
    <w:p w14:paraId="7782D6C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1.2外形：果型端正，个头大小基本一致；果品表面清洁新鲜，无腐烂变质、病虫害和机械损伤等。</w:t>
      </w:r>
    </w:p>
    <w:p w14:paraId="356262F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1.3气味：多数成熟的果品有较浓郁的芳香；</w:t>
      </w:r>
    </w:p>
    <w:p w14:paraId="56D05DA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1.4口感：具有较好的甜度和口感。</w:t>
      </w:r>
    </w:p>
    <w:p w14:paraId="705E73D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（2）几种常见水果的质量标准</w:t>
      </w:r>
    </w:p>
    <w:p w14:paraId="6C30539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苹果：色泽均匀而鲜艳，表面洁净光亮，红者艳如珊瑚、玛瑙，青者黄里透出微红；气味清香；肉质香甜鲜脆，美味可口。</w:t>
      </w:r>
    </w:p>
    <w:p w14:paraId="02D60CC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梨：果实新鲜饱满，果形端正，因各品种不同而呈青、黄、月白等颜色，成熟适度，肉质细，质地脆而鲜嫩，石细胞少，汁多，味甜或酸甜，无霉烂、冻伤、病灾害和机械伤。</w:t>
      </w:r>
    </w:p>
    <w:p w14:paraId="2533FB8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柑橘类：果形中等，呈圆形或呈长圆形，皮稍厚而光滑润泽，果心无实，核与种均呈白色，果肉汁多，瓤瓣界限不分明，味酸甜适口。</w:t>
      </w:r>
    </w:p>
    <w:p w14:paraId="7E7A1A6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香蕉：体形大而均匀；色泽新鲜、光亮。果皮呈鲜黄或青黄色；果面光滑，无病斑，无虫疤，无霉菌，无创伤；果皮易剥离，果肉稍硬而不摊浆；果肉柔软糯滑，香甜适口，不涩口，无怪味，不软烂。</w:t>
      </w:r>
    </w:p>
    <w:p w14:paraId="428B548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西瓜：基本端正，具有本品种的基本形状和特征；表面光亮清晰，条纹清晰。无机械伤，无病虫害和干疤；果肉结构松紧适度，呈均匀一致的鲜红色；有清香爽的滋味，无异味。</w:t>
      </w:r>
    </w:p>
    <w:p w14:paraId="46FC3DA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葡萄：新鲜并且成熟适度的葡萄，果粒饱满，大小均匀，果粒牢固，落子较少，果浆多而浓，味甜。</w:t>
      </w:r>
    </w:p>
    <w:p w14:paraId="2C49C5E6">
      <w:pPr>
        <w:numPr>
          <w:ilvl w:val="-1"/>
          <w:numId w:val="0"/>
        </w:numPr>
        <w:autoSpaceDE w:val="0"/>
        <w:spacing w:line="240" w:lineRule="auto"/>
        <w:ind w:firstLine="42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val="en-US" w:eastAsia="zh-CN"/>
        </w:rPr>
        <w:t>12.</w:t>
      </w:r>
      <w:r>
        <w:rPr>
          <w:rFonts w:hint="eastAsia" w:asciiTheme="minorEastAsia" w:hAnsiTheme="minorEastAsia" w:eastAsiaTheme="minorEastAsia" w:cstheme="minorEastAsia"/>
          <w:b/>
          <w:bCs/>
          <w:szCs w:val="21"/>
        </w:rPr>
        <w:t>熟食类</w:t>
      </w:r>
    </w:p>
    <w:p w14:paraId="676203FB">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（1）所供货物应符合以下要求：</w:t>
      </w:r>
    </w:p>
    <w:p w14:paraId="2D8B97AC">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采购的熟食原料必须符合国家食品安全标准，不得采购来源不明、未经检验或检验不合格的原料。</w:t>
      </w:r>
    </w:p>
    <w:p w14:paraId="187E5BF9">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采购时应索取供应商资质证明、产品检验报告等相关文件，并做好采购记录。</w:t>
      </w:r>
    </w:p>
    <w:p w14:paraId="45A2671F">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（2）供应产品须符合相关执行标准，包括但不限于：《食品安全国家标准食品添加剂使用标准》（GB 2760）、《熟肉制品卫生标准》（GB 2726）</w:t>
      </w:r>
    </w:p>
    <w:p w14:paraId="7516F34D">
      <w:pPr>
        <w:pStyle w:val="59"/>
        <w:spacing w:line="240" w:lineRule="auto"/>
        <w:ind w:firstLine="420" w:firstLineChars="200"/>
        <w:rPr>
          <w:rFonts w:hint="eastAsia" w:asciiTheme="minorEastAsia" w:hAnsiTheme="minorEastAsia" w:eastAsiaTheme="minorEastAsia" w:cstheme="minorEastAsia"/>
          <w:szCs w:val="21"/>
        </w:rPr>
      </w:pPr>
      <w:r>
        <w:rPr>
          <w:rFonts w:hint="eastAsia"/>
          <w:lang w:val="en-US" w:eastAsia="zh-CN"/>
        </w:rPr>
        <w:t>★</w:t>
      </w:r>
      <w:r>
        <w:rPr>
          <w:rFonts w:hint="eastAsia" w:asciiTheme="minorEastAsia" w:hAnsiTheme="minorEastAsia" w:eastAsiaTheme="minorEastAsia" w:cstheme="minorEastAsia"/>
          <w:szCs w:val="21"/>
        </w:rPr>
        <w:t>（3）验收要求：</w:t>
      </w:r>
    </w:p>
    <w:p w14:paraId="10AC1AA7">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对原料的外观、色泽、气味、口感等进行检查，确保符合要求。</w:t>
      </w:r>
    </w:p>
    <w:p w14:paraId="1E0DBD46">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卤制品表面应呈现自然酱色，无异常斑点。切片观察横截面，肌肉纤维纹理清晰，脂肪层呈乳白色。使用标准比色卡对照，色差值ΔE≤3.0。</w:t>
      </w:r>
    </w:p>
    <w:p w14:paraId="13691BCF">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拆包后静置3分钟，距鼻端20cm处嗅闻。合格品应具有原料固有香味，禁止出现哈喇味、酸腐味或消毒水残留气味。</w:t>
      </w:r>
    </w:p>
    <w:p w14:paraId="476D731C">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亚硝酸盐残留量：肉制品≤30mg/kg（GB 2760-2024） 过氧化值：速冻调理肉制品≤0.25g/100g（GB 19295-2021），菌落总数≤10^4 CFU/g ，大肠菌群≤10 MPN/g阳性样本需进行沙门氏菌、金黄色葡萄球菌等致病菌复检。</w:t>
      </w:r>
    </w:p>
    <w:p w14:paraId="5CC77014">
      <w:pPr>
        <w:numPr>
          <w:ilvl w:val="-1"/>
          <w:numId w:val="0"/>
        </w:numPr>
        <w:autoSpaceDE w:val="0"/>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13.</w:t>
      </w:r>
      <w:r>
        <w:rPr>
          <w:rFonts w:hint="eastAsia" w:asciiTheme="minorEastAsia" w:hAnsiTheme="minorEastAsia" w:eastAsiaTheme="minorEastAsia" w:cstheme="minorEastAsia"/>
          <w:b/>
          <w:bCs/>
          <w:szCs w:val="21"/>
        </w:rPr>
        <w:t>豆制品类</w:t>
      </w:r>
    </w:p>
    <w:p w14:paraId="0BBD07E1">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质量符合食品安全国家标准 GB 2712 的要求。</w:t>
      </w:r>
    </w:p>
    <w:p w14:paraId="6D7D2CA9">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7B84BCC0">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2113BAA7">
      <w:pPr>
        <w:bidi w:val="0"/>
        <w:ind w:firstLine="422" w:firstLineChars="200"/>
        <w:rPr>
          <w:rFonts w:hint="eastAsia" w:asciiTheme="minorEastAsia" w:hAnsiTheme="minorEastAsia" w:eastAsiaTheme="minorEastAsia" w:cstheme="minorEastAsia"/>
          <w:b/>
          <w:bCs/>
          <w:szCs w:val="21"/>
        </w:rPr>
      </w:pPr>
      <w:bookmarkStart w:id="34" w:name="_Toc1183454015"/>
      <w:r>
        <w:rPr>
          <w:rFonts w:hint="eastAsia" w:asciiTheme="minorEastAsia" w:hAnsiTheme="minorEastAsia" w:eastAsiaTheme="minorEastAsia" w:cstheme="minorEastAsia"/>
          <w:b/>
          <w:bCs/>
          <w:szCs w:val="21"/>
          <w:lang w:val="en-US" w:eastAsia="zh-CN"/>
        </w:rPr>
        <w:t>1</w:t>
      </w:r>
      <w:r>
        <w:rPr>
          <w:rFonts w:hint="eastAsia" w:asciiTheme="minorEastAsia" w:hAnsiTheme="minorEastAsia" w:eastAsiaTheme="minorEastAsia" w:cstheme="minorEastAsia"/>
          <w:b/>
          <w:bCs/>
          <w:szCs w:val="21"/>
        </w:rPr>
        <w:t>4.干货类</w:t>
      </w:r>
      <w:bookmarkEnd w:id="34"/>
    </w:p>
    <w:p w14:paraId="14CBE23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（1）供应产品质量要求：</w:t>
      </w:r>
    </w:p>
    <w:p w14:paraId="022D575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1.1中标人所提供产品质量必须要符合行业标准要求，不得有掺假、变质、变味、过期等现象出现，严禁伪劣、假冒、无证不合格物品进入仓库。</w:t>
      </w:r>
    </w:p>
    <w:p w14:paraId="1AF33AD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1.2中标人所提供产品必须价格合理，不得虚高报价，否则</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有权不用。</w:t>
      </w:r>
    </w:p>
    <w:p w14:paraId="012FC46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中标人在供应过程中，如果发生出现质量问题或造成食物中毒,如变质等情况，经查实后确属供货方责任，中标人应承担全部责任，主要包括食物中毒人员医疗费、误工费、事故处理费等，直至追究刑事责任。同时依法解除合同。</w:t>
      </w:r>
    </w:p>
    <w:p w14:paraId="1D6654E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（2）干货类质量要求：</w:t>
      </w:r>
    </w:p>
    <w:p w14:paraId="653A800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可根据实际情况对需要的干货制品进行品质抽检，对质量未达到国家标准的干货制品</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有权拒绝接受。</w:t>
      </w:r>
    </w:p>
    <w:p w14:paraId="3C608D0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2.2几种主要干货制品的质量标准：</w:t>
      </w:r>
    </w:p>
    <w:p w14:paraId="72B9F08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肉皮：作为干肉皮，无论什么部位，体表洁净无毛，白亮无残余肥膘，无虫蛀，干爽，敲击时响声清脆，质量均匀为好，反之则为次之，如已发霉，并有哈喇味，即已变质。</w:t>
      </w:r>
    </w:p>
    <w:p w14:paraId="213273A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玉兰片：玉兰片以色泽黄白、洁净、肉厚、纤维少、节较密、体长不超过 10~17cm 的为最好，肉薄节疏、纤维多而粗老的质量较差。</w:t>
      </w:r>
    </w:p>
    <w:p w14:paraId="2ABD80A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黄花菜：又名金针菜，干燥、有清香味，菜色黄亮、身条长而粗壮、条杆粗细均匀者为佳。</w:t>
      </w:r>
    </w:p>
    <w:p w14:paraId="7F9748E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黑木耳：黑木耳的质量一般以条形大而完整，耳瓣舒展少卷曲，内厚黑，富于光泽，体干不霉，无杂质和碎者为优，反之则差。</w:t>
      </w:r>
    </w:p>
    <w:p w14:paraId="36A6118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银耳：银耳又称白木耳，以朵大、色洁白、有光泽、无杂质，根小、干度足，完整者为佳品， 朵小、色黄、根大、无光泽，散碎者次之；黄黑色者质量最次，依上述标准可将银耳分为上中下三等。质量好的银耳，根部易稣烂，食之柔软，质量次则根部大而发硬。</w:t>
      </w:r>
    </w:p>
    <w:p w14:paraId="0C4EB63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香菇：根据采收季节和形状不同，香菇又分为花菇、厚菇、薄菇和菇丁四类，其中以花菇质量 最好，厚菇次之，薄菇更差，菇丁质量最差。</w:t>
      </w:r>
    </w:p>
    <w:p w14:paraId="3E53756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A、花菇：朵小柄短，呈半球状，菇伞顶面有似菊花似的白色裂纹，肉厚、菌盖色泽淡黑，菇底 褶，通过加工呈淡黄色，身干、质嫩、有芳香气味者为质好好香菇。 </w:t>
      </w:r>
    </w:p>
    <w:p w14:paraId="3C906D3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B、厚菇：形状如伞，顶面无花纹，呈黑色并略有光泽，质嫩、肉厚、朵稍大，质量稍次。 </w:t>
      </w:r>
    </w:p>
    <w:p w14:paraId="4A630D2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C、薄菇：形状扁平、开伞、朵大、肉薄、菌盖表面浅褐色，菌褐白色，菌柄稍高，浅咖啡色， 基部稍带红色或红褐色，质量比花菇厚，菇差，味淡。 </w:t>
      </w:r>
    </w:p>
    <w:p w14:paraId="304B319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D、菇丁：是指未充分发育的香菇，个小，直径在2cm以下，味淡质差。</w:t>
      </w:r>
    </w:p>
    <w:p w14:paraId="4901752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腐竹：腐竹又名豆腐皮和油皮，有一、二、三级品之分。一级品：色泽黄亮、干燥筋韧、耐贮、无碎块。二级品：颜色较一极品灰黄、干燥无碎块。三级品：颜色更灰黄、无光泽、易碎、筋韧性差。</w:t>
      </w:r>
    </w:p>
    <w:p w14:paraId="522DD7C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粉丝：质量好的粉丝，粉条细长、白净、晶莹透明、丝条均匀、整齐、干燥，不易折断，无斑点、黑迹，无霉变，有粉丝特有的光泽。</w:t>
      </w:r>
    </w:p>
    <w:p w14:paraId="08FC163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蹄筋：猪蹄筋的质量首先从蹄筋抽取的部位区别，后蹄筋体长而圆、粗状、光滑的品质好。前蹄筋体短而扁细、品质较差、保管完好的蹄筋应呈白色、无杂质，干、硬度高。</w:t>
      </w:r>
    </w:p>
    <w:p w14:paraId="43D59AA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干贝：上等干贝粒大完整、黄亮干燥、肉质饱满，肉丝清晰、粗且有特殊香气。粒小、碎破、色淡无光泽者较次。破碎、发黑发霉的为变质品。</w:t>
      </w:r>
    </w:p>
    <w:p w14:paraId="2201857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鱿鱼：市场上常见的鱿鱼有椭圆形和长方形，选购时应注意：体干、体形完整、光亮洁净、淡粉红色、片大头小、肉厚者为优。体形部分卷曲，尾部和背部红中透暗，两侧有微红点、体小而宽、肉薄者为次品。</w:t>
      </w:r>
    </w:p>
    <w:p w14:paraId="1567002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海蛰：海蛰是由水母加工制成，选购时应注意色泽，以乳白色或淡黄色、气味清新、质厚均匀、个体完整、块大、无血黑（体肉红皮）有光泽的为上品，带有膜状血衣的为次品。</w:t>
      </w:r>
    </w:p>
    <w:p w14:paraId="3534648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紫菜：属海产红藻类植物，因鲜紫菜叶较宽大，经干制成长方块形，散片状卷筒，其中以卷筒形柔嫩微脆、叶薄、色紫清香鲜美的为品质优。</w:t>
      </w:r>
    </w:p>
    <w:p w14:paraId="7FF1FC78">
      <w:pPr>
        <w:widowControl/>
        <w:autoSpaceDE w:val="0"/>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发菜：发菜是陆生褐色藻类，以藻体细长、绿黑色、柔软爽滑、干燥、无杂质的质量为优，反之则劣。</w:t>
      </w:r>
    </w:p>
    <w:p w14:paraId="2CB83CEC">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四</w:t>
      </w:r>
      <w:r>
        <w:rPr>
          <w:rFonts w:hint="eastAsia" w:asciiTheme="minorEastAsia" w:hAnsiTheme="minorEastAsia" w:eastAsiaTheme="minorEastAsia" w:cstheme="minorEastAsia"/>
          <w:b/>
          <w:bCs/>
          <w:sz w:val="21"/>
          <w:szCs w:val="21"/>
          <w:lang w:eastAsia="zh-CN"/>
        </w:rPr>
        <w:t>）</w:t>
      </w:r>
      <w:r>
        <w:rPr>
          <w:rFonts w:hint="eastAsia"/>
          <w:lang w:val="en-US" w:eastAsia="zh-CN"/>
        </w:rPr>
        <w:t>★</w:t>
      </w:r>
      <w:r>
        <w:rPr>
          <w:rFonts w:hint="eastAsia" w:asciiTheme="minorEastAsia" w:hAnsiTheme="minorEastAsia" w:eastAsiaTheme="minorEastAsia" w:cstheme="minorEastAsia"/>
          <w:b/>
          <w:bCs/>
          <w:sz w:val="21"/>
          <w:szCs w:val="21"/>
        </w:rPr>
        <w:t>本次食堂食材配送货物的验</w:t>
      </w:r>
      <w:r>
        <w:rPr>
          <w:rFonts w:hint="eastAsia" w:asciiTheme="minorEastAsia" w:hAnsiTheme="minorEastAsia" w:eastAsiaTheme="minorEastAsia" w:cstheme="minorEastAsia"/>
          <w:b/>
          <w:bCs/>
          <w:sz w:val="21"/>
          <w:szCs w:val="21"/>
          <w:lang w:val="en-US" w:eastAsia="zh-CN"/>
        </w:rPr>
        <w:t>收</w:t>
      </w:r>
      <w:r>
        <w:rPr>
          <w:rFonts w:hint="eastAsia" w:asciiTheme="minorEastAsia" w:hAnsiTheme="minorEastAsia" w:eastAsiaTheme="minorEastAsia" w:cstheme="minorEastAsia"/>
          <w:b/>
          <w:bCs/>
          <w:sz w:val="21"/>
          <w:szCs w:val="21"/>
        </w:rPr>
        <w:t>要求：</w:t>
      </w:r>
    </w:p>
    <w:p w14:paraId="754E4F84">
      <w:p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1.蔬菜水果类</w:t>
      </w:r>
    </w:p>
    <w:p w14:paraId="23C74510">
      <w:pPr>
        <w:widowControl/>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Cs w:val="21"/>
        </w:rPr>
        <w:t>新鲜蔬菜和瓜果</w:t>
      </w:r>
      <w:r>
        <w:rPr>
          <w:rFonts w:hint="eastAsia" w:asciiTheme="minorEastAsia" w:hAnsiTheme="minorEastAsia" w:eastAsiaTheme="minorEastAsia" w:cstheme="minorEastAsia"/>
          <w:b w:val="0"/>
          <w:bCs w:val="0"/>
          <w:sz w:val="21"/>
          <w:szCs w:val="21"/>
        </w:rPr>
        <w:t>各种食材的感官性状无异常，无明显腐败变质、油脂酸败、发霉生虫、污秽不洁、混有异物、掺假掺杂等情况。农副产品外观新鲜，无明显萎蔫、腐烂、发芽、畸形等异常情况；蔬菜类需保证无黄叶、枯死叶、无虫、无杂质；水果及其制品需保证成熟、新鲜、无腐烂变质。食材质量等级指标不低于该产品标准的中位数水平，如质量或规格等级划分为1、2、3、4、5或大（L）、中（M）、小（S）的，应选择1、2或大（L）、中（M）等级。</w:t>
      </w:r>
    </w:p>
    <w:p w14:paraId="178139B9">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外包装（筐、箱、袋、盒等）整洁、牢固、标签清晰，无明显破损、发霉等现象；非预包装食品的包装需标注名称、生产/加工日期、保质期、供应商/生产者的名称等基本信息；未包装的农产品，需采取附加标签、标识牌、标识带、说明书、合格证、电子秤标签等形式标明农产品的品名、生产地、生产者或者销售者名称等内容（具体符合《农产品包装和标识管理办法》的要求）。</w:t>
      </w:r>
    </w:p>
    <w:p w14:paraId="2F3BAE5E">
      <w:pPr>
        <w:widowControl/>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验收技术要求：</w:t>
      </w:r>
    </w:p>
    <w:p w14:paraId="28A55FEC">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新鲜蔬菜：蔬菜新鲜，无明显黄叶、萎蔫、腐烂、发芽、畸形、虫蛀等异常情况，其中，叶菜类、豆类（荚不可食类除外）和净菜的整体利用率不得低于 95%；蔬菜类感官基本要求如下：</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3591"/>
        <w:gridCol w:w="4011"/>
      </w:tblGrid>
      <w:tr w14:paraId="7B4C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D47B117">
            <w:pPr>
              <w:widowControl/>
              <w:ind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类别</w:t>
            </w:r>
          </w:p>
        </w:tc>
        <w:tc>
          <w:tcPr>
            <w:tcW w:w="3591" w:type="dxa"/>
            <w:vAlign w:val="center"/>
          </w:tcPr>
          <w:p w14:paraId="0736809A">
            <w:pPr>
              <w:widowControl/>
              <w:ind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常见品种</w:t>
            </w:r>
          </w:p>
        </w:tc>
        <w:tc>
          <w:tcPr>
            <w:tcW w:w="4011" w:type="dxa"/>
            <w:vAlign w:val="center"/>
          </w:tcPr>
          <w:p w14:paraId="17343125">
            <w:pPr>
              <w:widowControl/>
              <w:ind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感官要求</w:t>
            </w:r>
          </w:p>
        </w:tc>
      </w:tr>
      <w:tr w14:paraId="4985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6262ADBC">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叶菜类</w:t>
            </w:r>
          </w:p>
        </w:tc>
        <w:tc>
          <w:tcPr>
            <w:tcW w:w="3591" w:type="dxa"/>
            <w:vAlign w:val="center"/>
          </w:tcPr>
          <w:p w14:paraId="514FE218">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大白菜、小白菜、菜心、生菜、油菜、菠菜等</w:t>
            </w:r>
          </w:p>
        </w:tc>
        <w:tc>
          <w:tcPr>
            <w:tcW w:w="4011" w:type="dxa"/>
            <w:vAlign w:val="center"/>
          </w:tcPr>
          <w:p w14:paraId="2B353AE4">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色泽鲜亮、切口不变色，叶片挺而不萎蔫，无明显黄叶、腐烂叶；质地脆嫩。</w:t>
            </w:r>
          </w:p>
        </w:tc>
      </w:tr>
      <w:tr w14:paraId="33DE6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7B0B5E26">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根茎类</w:t>
            </w:r>
          </w:p>
        </w:tc>
        <w:tc>
          <w:tcPr>
            <w:tcW w:w="3591" w:type="dxa"/>
            <w:vAlign w:val="center"/>
          </w:tcPr>
          <w:p w14:paraId="4AACD95A">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萝卜、土豆、红薯、芋头、莲藕、淮山等</w:t>
            </w:r>
          </w:p>
        </w:tc>
        <w:tc>
          <w:tcPr>
            <w:tcW w:w="4011" w:type="dxa"/>
            <w:vAlign w:val="center"/>
          </w:tcPr>
          <w:p w14:paraId="79391BA4">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个体均匀，无发芽、变色等现象。</w:t>
            </w:r>
          </w:p>
        </w:tc>
      </w:tr>
      <w:tr w14:paraId="0022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1E29BCDE">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瓜</w:t>
            </w:r>
            <w:r>
              <w:rPr>
                <w:rFonts w:hint="eastAsia" w:asciiTheme="minorEastAsia" w:hAnsiTheme="minorEastAsia" w:eastAsiaTheme="minorEastAsia" w:cstheme="minorEastAsia"/>
                <w:sz w:val="21"/>
                <w:szCs w:val="21"/>
              </w:rPr>
              <w:t>果类</w:t>
            </w:r>
          </w:p>
        </w:tc>
        <w:tc>
          <w:tcPr>
            <w:tcW w:w="3591" w:type="dxa"/>
            <w:vAlign w:val="center"/>
          </w:tcPr>
          <w:p w14:paraId="0FA7EEC1">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南瓜、黄瓜、苦瓜、茄子、西红柿等</w:t>
            </w:r>
          </w:p>
        </w:tc>
        <w:tc>
          <w:tcPr>
            <w:tcW w:w="4011" w:type="dxa"/>
            <w:vAlign w:val="center"/>
          </w:tcPr>
          <w:p w14:paraId="5FA029D4">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无明显斑点、畸形、过熟；表皮无明显损伤、变色、生虫等现象。</w:t>
            </w:r>
          </w:p>
        </w:tc>
      </w:tr>
      <w:tr w14:paraId="31FD9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3B7BA162">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豆类</w:t>
            </w:r>
          </w:p>
        </w:tc>
        <w:tc>
          <w:tcPr>
            <w:tcW w:w="3591" w:type="dxa"/>
            <w:vAlign w:val="center"/>
          </w:tcPr>
          <w:p w14:paraId="7BC0B7D9">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豌豆、扁豆、荷兰豆等</w:t>
            </w:r>
          </w:p>
        </w:tc>
        <w:tc>
          <w:tcPr>
            <w:tcW w:w="4011" w:type="dxa"/>
            <w:vAlign w:val="center"/>
          </w:tcPr>
          <w:p w14:paraId="059B5B90">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色泽鲜绿，豆荚肉厚，无明显褐斑、畸形、生虫等现象。</w:t>
            </w:r>
          </w:p>
        </w:tc>
      </w:tr>
      <w:tr w14:paraId="5952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14:paraId="47BA6429">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食用菌类</w:t>
            </w:r>
          </w:p>
        </w:tc>
        <w:tc>
          <w:tcPr>
            <w:tcW w:w="3591" w:type="dxa"/>
            <w:vAlign w:val="center"/>
          </w:tcPr>
          <w:p w14:paraId="6EC20866">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香菇、木耳、金针菇等</w:t>
            </w:r>
          </w:p>
        </w:tc>
        <w:tc>
          <w:tcPr>
            <w:tcW w:w="4011" w:type="dxa"/>
            <w:vAlign w:val="center"/>
          </w:tcPr>
          <w:p w14:paraId="3367353A">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外形饱满、无明显失水、腐烂、发霉或变色等现象。</w:t>
            </w:r>
          </w:p>
        </w:tc>
      </w:tr>
    </w:tbl>
    <w:p w14:paraId="40150EE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新鲜瓜果：色泽正常；成熟度适中，无明显过生或过熟现象；果形均匀、无畸形果；表皮无明显异常斑点、虫蛀、损伤等现象；口感较好，具有该品种水果特有的风味，无异味。</w:t>
      </w:r>
    </w:p>
    <w:p w14:paraId="3B921566">
      <w:pPr>
        <w:widowControl/>
        <w:ind w:firstLine="422" w:firstLineChars="200"/>
        <w:rPr>
          <w:rFonts w:hint="eastAsia" w:asciiTheme="minorEastAsia" w:hAnsiTheme="minorEastAsia" w:eastAsiaTheme="minorEastAsia" w:cstheme="minorEastAsia"/>
          <w:b/>
          <w:bCs/>
          <w:szCs w:val="21"/>
          <w:highlight w:val="none"/>
          <w:lang w:eastAsia="zh-CN"/>
        </w:rPr>
      </w:pPr>
      <w:r>
        <w:rPr>
          <w:rFonts w:hint="eastAsia" w:asciiTheme="minorEastAsia" w:hAnsiTheme="minorEastAsia" w:eastAsiaTheme="minorEastAsia" w:cstheme="minorEastAsia"/>
          <w:b/>
          <w:bCs/>
          <w:szCs w:val="21"/>
          <w:lang w:val="en-US" w:eastAsia="zh-CN"/>
        </w:rPr>
        <w:t>2.</w:t>
      </w:r>
      <w:r>
        <w:rPr>
          <w:rFonts w:hint="eastAsia" w:asciiTheme="minorEastAsia" w:hAnsiTheme="minorEastAsia" w:eastAsiaTheme="minorEastAsia" w:cstheme="minorEastAsia"/>
          <w:b/>
          <w:bCs/>
          <w:szCs w:val="21"/>
          <w:highlight w:val="none"/>
        </w:rPr>
        <w:t>鲜</w:t>
      </w:r>
      <w:r>
        <w:rPr>
          <w:rFonts w:hint="eastAsia" w:asciiTheme="minorEastAsia" w:hAnsiTheme="minorEastAsia" w:eastAsiaTheme="minorEastAsia" w:cstheme="minorEastAsia"/>
          <w:b/>
          <w:bCs/>
          <w:szCs w:val="21"/>
          <w:highlight w:val="none"/>
          <w:lang w:val="en-US" w:eastAsia="zh-CN"/>
        </w:rPr>
        <w:t>肉</w:t>
      </w:r>
      <w:r>
        <w:rPr>
          <w:rFonts w:hint="eastAsia" w:asciiTheme="minorEastAsia" w:hAnsiTheme="minorEastAsia" w:eastAsiaTheme="minorEastAsia" w:cstheme="minorEastAsia"/>
          <w:b/>
          <w:bCs/>
          <w:szCs w:val="21"/>
          <w:highlight w:val="none"/>
          <w:lang w:eastAsia="zh-CN"/>
        </w:rPr>
        <w:t>、</w:t>
      </w:r>
      <w:r>
        <w:rPr>
          <w:rFonts w:hint="eastAsia" w:asciiTheme="minorEastAsia" w:hAnsiTheme="minorEastAsia" w:eastAsiaTheme="minorEastAsia" w:cstheme="minorEastAsia"/>
          <w:b/>
          <w:bCs/>
          <w:szCs w:val="21"/>
          <w:highlight w:val="none"/>
        </w:rPr>
        <w:t>禽</w:t>
      </w:r>
      <w:r>
        <w:rPr>
          <w:rFonts w:hint="eastAsia" w:asciiTheme="minorEastAsia" w:hAnsiTheme="minorEastAsia" w:eastAsiaTheme="minorEastAsia" w:cstheme="minorEastAsia"/>
          <w:b/>
          <w:bCs/>
          <w:szCs w:val="21"/>
          <w:highlight w:val="none"/>
          <w:lang w:val="en-US" w:eastAsia="zh-CN"/>
        </w:rPr>
        <w:t>类</w:t>
      </w:r>
    </w:p>
    <w:p w14:paraId="5CF6DE50">
      <w:pPr>
        <w:widowControl/>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鲜肉应肉质新鲜，肌肉色泽鲜红或深红，有光泽；脂肪呈乳白色或粉白色，指压后的凹陷立即恢复，肉质紧密，有坚实感，不得有肉眼可见异物；具有动物检验检疫合格证明；各种食材的感官性状无异常，无明显腐败变质、油脂酸败、发霉生虫、污秽不洁、混有异物、掺假掺杂等情况。食材质量等级指标不低于该产品标准的中位数水平，如质量或规格等级划分为1、2、3、4、5或大（L）、中（M）、小（S）的，应选择1、2或大（L）、中（M）等级。</w:t>
      </w:r>
    </w:p>
    <w:p w14:paraId="16A023F1">
      <w:pPr>
        <w:widowControl/>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5BDD2420">
      <w:pPr>
        <w:widowControl/>
        <w:ind w:firstLine="422"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验收技术要求：</w:t>
      </w:r>
      <w:r>
        <w:rPr>
          <w:rFonts w:hint="eastAsia" w:asciiTheme="minorEastAsia" w:hAnsiTheme="minorEastAsia" w:eastAsiaTheme="minorEastAsia" w:cstheme="minorEastAsia"/>
          <w:szCs w:val="21"/>
          <w:highlight w:val="none"/>
        </w:rPr>
        <w:t>生鲜肉的食品安全指标应符合、GB 16869（或最新标准）的规定。国家有定点屠宰、检验检疫要求的品种，应来自于定点屠宰厂出品、有国家规定的动物产品检疫合格证明及验讫印章（猪肉还需有肉品品质检验合格证明及验讫印章）。其中：猪肉的质量指标应符合GB2707、GB/T 9959.1、GB/T9959.2（或最新标准）的相应技术要求；牛肉的质量指标应符合GB2707、GB/T 17238（或最新标准）的相应技术要求；羊肉的质量指标应符合GB2707、GB/T 9961（或最新标准）的相应技术要求。</w:t>
      </w:r>
    </w:p>
    <w:p w14:paraId="3642DD26">
      <w:p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3.蛋类</w:t>
      </w:r>
    </w:p>
    <w:p w14:paraId="42777999">
      <w:pPr>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鲜蛋蛋壳清洁完整，无裂纹，无霉斑，灯光透视时整个蛋呈微红色，蛋内无黑点及异物。蛋黄不见或略见阴影，打开后蛋黄凸起完整并带有韧性，蛋白澄清透明，稀稠分明。食材质量等级指标不低于该产品标准的中位数水平，如质量或规格等级划分为1、2、3、4、5或大（L）、中（M）、小（S）的，应选择1、2或大（L）、中（M）等级。</w:t>
      </w:r>
    </w:p>
    <w:p w14:paraId="069B1AED">
      <w:pPr>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5EA56EAA">
      <w:pPr>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验收技术要求：鲜蛋的食品安全指标应符合食品安全国家标准（GB 31650、GB 2762、GB 2749）（或最新标准）的规定及产品标签明示执行标准的要求。产品标签内容清晰，明确标注产品的品名、商标、生产日期、保质期、产地、储存条件等相关信息，并与合同文件及供（送）货单内容一致；包装应采用符合国家卫生标准要求的包装材料。</w:t>
      </w:r>
    </w:p>
    <w:p w14:paraId="440102B5">
      <w:pPr>
        <w:numPr>
          <w:ilvl w:val="0"/>
          <w:numId w:val="0"/>
        </w:num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kern w:val="2"/>
          <w:sz w:val="21"/>
          <w:szCs w:val="21"/>
          <w:lang w:val="en-US" w:eastAsia="zh-CN" w:bidi="ar-SA"/>
        </w:rPr>
        <w:t>4.</w:t>
      </w:r>
      <w:r>
        <w:rPr>
          <w:rFonts w:hint="eastAsia" w:asciiTheme="minorEastAsia" w:hAnsiTheme="minorEastAsia" w:eastAsiaTheme="minorEastAsia" w:cstheme="minorEastAsia"/>
          <w:b/>
          <w:bCs/>
          <w:szCs w:val="21"/>
          <w:lang w:val="en-US" w:eastAsia="zh-CN"/>
        </w:rPr>
        <w:t>冻品类</w:t>
      </w:r>
    </w:p>
    <w:p w14:paraId="082342DC">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冻畜禽肉：①冻鲜畜禽肉的食品安全指标应符合 GB 2707、GB 16869的要求。国家有定点屠宰、检验检疫要求的品种，应来自于定点屠宰厂出品、有国家规定的动物产品检疫合格证明及验讫印章（猪肉还需有肉品品质检验合格证明及验讫印章）。②肉体冻结坚硬，无变质、无化冻现象；需有相关检验、检疫及相关合格证明；并清晰列出产品品牌、规格、类型、包装方式、包装净重等相关参数；冷冻肉类食品解冻后净重不少于95 %，冷冻禽类食品解冻后净重不少于 94 %;解冻时间为4小时以内(室温 20℃)。③冻畜禽肉解冻后的感官及关键指标符合《深圳市学校食堂食材采购验收参考标准》的相关要求。</w:t>
      </w:r>
    </w:p>
    <w:p w14:paraId="1C57B5EC">
      <w:pPr>
        <w:widowControl/>
        <w:ind w:firstLine="420" w:firstLineChars="200"/>
        <w:rPr>
          <w:rFonts w:hint="eastAsia" w:asciiTheme="minorEastAsia" w:hAnsiTheme="minorEastAsia" w:eastAsiaTheme="minorEastAsia" w:cstheme="minorEastAsia"/>
          <w:color w:val="auto"/>
          <w:szCs w:val="21"/>
          <w:highlight w:val="none"/>
          <w:lang w:val="zh-TW"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冷冻水产品（鱼、虾、蟹和贝类）：①冷冻水产品冻结结实，大小规格基本一致，无变质、无化冻现象；解冻后感官状态正常，无腐败变质气味，冻水产类食品解冻后净重不少于85% ，解冻时间为4小时以内(室温20℃)。②产品质量符合食品安全国家标准 GB 2733 及产品明示质量标准的要求</w:t>
      </w:r>
      <w:r>
        <w:rPr>
          <w:rFonts w:hint="eastAsia" w:asciiTheme="minorEastAsia" w:hAnsiTheme="minorEastAsia" w:eastAsiaTheme="minorEastAsia" w:cstheme="minorEastAsia"/>
          <w:color w:val="auto"/>
          <w:szCs w:val="21"/>
          <w:highlight w:val="none"/>
          <w:lang w:val="zh-TW" w:eastAsia="zh-CN"/>
        </w:rPr>
        <w:t>。</w:t>
      </w:r>
    </w:p>
    <w:p w14:paraId="19F920CC">
      <w:pPr>
        <w:widowControl/>
        <w:ind w:firstLine="422" w:firstLineChars="200"/>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5.水产类</w:t>
      </w:r>
    </w:p>
    <w:p w14:paraId="03F20B68">
      <w:pPr>
        <w:widowControl/>
        <w:ind w:firstLine="420" w:firstLineChars="200"/>
        <w:rPr>
          <w:rFonts w:hint="eastAsia" w:asciiTheme="minorEastAsia" w:hAnsiTheme="minorEastAsia" w:eastAsiaTheme="minorEastAsia" w:cstheme="minorEastAsia"/>
          <w:color w:val="auto"/>
          <w:szCs w:val="21"/>
          <w:highlight w:val="none"/>
          <w:lang w:val="zh-TW"/>
        </w:rPr>
      </w:pPr>
      <w:r>
        <w:rPr>
          <w:rFonts w:hint="eastAsia" w:asciiTheme="minorEastAsia" w:hAnsiTheme="minorEastAsia" w:eastAsiaTheme="minorEastAsia" w:cstheme="minorEastAsia"/>
          <w:color w:val="auto"/>
          <w:szCs w:val="21"/>
          <w:highlight w:val="none"/>
        </w:rPr>
        <w:t>鲜活水产品（鱼、虾、蟹和贝类）：鲜活、大小规格基本一致，体表无明显碰撞伤，质量符合食品安全国家标准 GB 2733、GB 31650 及产品明示质量标准的要求</w:t>
      </w:r>
      <w:r>
        <w:rPr>
          <w:rFonts w:hint="eastAsia" w:asciiTheme="minorEastAsia" w:hAnsiTheme="minorEastAsia" w:eastAsiaTheme="minorEastAsia" w:cstheme="minorEastAsia"/>
          <w:color w:val="auto"/>
          <w:szCs w:val="21"/>
          <w:highlight w:val="none"/>
          <w:lang w:val="zh-TW"/>
        </w:rPr>
        <w:t>，其中关键指标见</w:t>
      </w:r>
      <w:r>
        <w:rPr>
          <w:rFonts w:hint="eastAsia" w:asciiTheme="minorEastAsia" w:hAnsiTheme="minorEastAsia" w:eastAsiaTheme="minorEastAsia" w:cstheme="minorEastAsia"/>
          <w:color w:val="auto"/>
          <w:szCs w:val="21"/>
          <w:highlight w:val="none"/>
        </w:rPr>
        <w:t>下</w:t>
      </w:r>
      <w:r>
        <w:rPr>
          <w:rFonts w:hint="eastAsia" w:asciiTheme="minorEastAsia" w:hAnsiTheme="minorEastAsia" w:eastAsiaTheme="minorEastAsia" w:cstheme="minorEastAsia"/>
          <w:color w:val="auto"/>
          <w:szCs w:val="21"/>
          <w:highlight w:val="none"/>
          <w:lang w:val="zh-TW"/>
        </w:rPr>
        <w:t>表：</w:t>
      </w:r>
    </w:p>
    <w:tbl>
      <w:tblPr>
        <w:tblStyle w:val="42"/>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997"/>
        <w:gridCol w:w="4755"/>
      </w:tblGrid>
      <w:tr w14:paraId="2691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75" w:type="dxa"/>
            <w:vAlign w:val="center"/>
          </w:tcPr>
          <w:p w14:paraId="08879379">
            <w:pPr>
              <w:widowControl/>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序号</w:t>
            </w:r>
          </w:p>
        </w:tc>
        <w:tc>
          <w:tcPr>
            <w:tcW w:w="2997" w:type="dxa"/>
            <w:vAlign w:val="center"/>
          </w:tcPr>
          <w:p w14:paraId="7E0A1071">
            <w:pPr>
              <w:widowControl/>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项目</w:t>
            </w:r>
          </w:p>
        </w:tc>
        <w:tc>
          <w:tcPr>
            <w:tcW w:w="4755" w:type="dxa"/>
            <w:vAlign w:val="center"/>
          </w:tcPr>
          <w:p w14:paraId="1F6E1758">
            <w:pPr>
              <w:widowControl/>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关键指标</w:t>
            </w:r>
          </w:p>
        </w:tc>
      </w:tr>
      <w:tr w14:paraId="1933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jc w:val="center"/>
        </w:trPr>
        <w:tc>
          <w:tcPr>
            <w:tcW w:w="775" w:type="dxa"/>
            <w:vAlign w:val="center"/>
          </w:tcPr>
          <w:p w14:paraId="263FD099">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2997" w:type="dxa"/>
            <w:vAlign w:val="center"/>
          </w:tcPr>
          <w:p w14:paraId="3563C1CB">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挥发性盐基氮（mg/100 g）≤</w:t>
            </w:r>
          </w:p>
        </w:tc>
        <w:tc>
          <w:tcPr>
            <w:tcW w:w="4755" w:type="dxa"/>
            <w:vAlign w:val="center"/>
          </w:tcPr>
          <w:p w14:paraId="296A5FB9">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30（海水鱼、虾）</w:t>
            </w:r>
          </w:p>
          <w:p w14:paraId="57A17DAC">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25（海蟹）</w:t>
            </w:r>
          </w:p>
          <w:p w14:paraId="3971050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20（淡水鱼、虾）</w:t>
            </w:r>
          </w:p>
          <w:p w14:paraId="7FB97EB8">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15（冷冻贝类）</w:t>
            </w:r>
          </w:p>
        </w:tc>
      </w:tr>
      <w:tr w14:paraId="3186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75" w:type="dxa"/>
            <w:vAlign w:val="center"/>
          </w:tcPr>
          <w:p w14:paraId="710F7B17">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2997" w:type="dxa"/>
            <w:vAlign w:val="center"/>
          </w:tcPr>
          <w:p w14:paraId="759992D7">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组胺（mg/100 g）≤</w:t>
            </w:r>
          </w:p>
        </w:tc>
        <w:tc>
          <w:tcPr>
            <w:tcW w:w="4755" w:type="dxa"/>
            <w:vAlign w:val="center"/>
          </w:tcPr>
          <w:p w14:paraId="19FCB7CA">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40（高组胺鱼类）</w:t>
            </w:r>
          </w:p>
          <w:p w14:paraId="118DC7A3">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20（其他海水鱼类）</w:t>
            </w:r>
          </w:p>
        </w:tc>
      </w:tr>
      <w:tr w14:paraId="172E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775" w:type="dxa"/>
            <w:vAlign w:val="center"/>
          </w:tcPr>
          <w:p w14:paraId="67E7169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2997" w:type="dxa"/>
            <w:vAlign w:val="center"/>
          </w:tcPr>
          <w:p w14:paraId="506F7885">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镉（mg/kg）≤</w:t>
            </w:r>
          </w:p>
        </w:tc>
        <w:tc>
          <w:tcPr>
            <w:tcW w:w="4755" w:type="dxa"/>
            <w:vAlign w:val="center"/>
          </w:tcPr>
          <w:p w14:paraId="18D31B47">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0.1（鱼类）</w:t>
            </w:r>
          </w:p>
          <w:p w14:paraId="718C003D">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0.5（甲壳类）</w:t>
            </w:r>
          </w:p>
          <w:p w14:paraId="6F702A30">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2.0（双壳类、腹足类、头足类、棘皮类）</w:t>
            </w:r>
          </w:p>
        </w:tc>
      </w:tr>
      <w:tr w14:paraId="4F45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75" w:type="dxa"/>
            <w:vAlign w:val="center"/>
          </w:tcPr>
          <w:p w14:paraId="5D1CFCF7">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2997" w:type="dxa"/>
            <w:vAlign w:val="center"/>
          </w:tcPr>
          <w:p w14:paraId="0F7A9619">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无机砷（mg/kg）≤    </w:t>
            </w:r>
          </w:p>
        </w:tc>
        <w:tc>
          <w:tcPr>
            <w:tcW w:w="4755" w:type="dxa"/>
            <w:vAlign w:val="center"/>
          </w:tcPr>
          <w:p w14:paraId="5980A15D">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0.1（鱼类）</w:t>
            </w:r>
          </w:p>
          <w:p w14:paraId="7014B6A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0.5（其他）</w:t>
            </w:r>
          </w:p>
        </w:tc>
      </w:tr>
      <w:tr w14:paraId="2BF9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75" w:type="dxa"/>
            <w:vAlign w:val="center"/>
          </w:tcPr>
          <w:p w14:paraId="5B3231E0">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2997" w:type="dxa"/>
            <w:vAlign w:val="center"/>
          </w:tcPr>
          <w:p w14:paraId="52450C80">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甲基汞（mg/kg）≤</w:t>
            </w:r>
          </w:p>
        </w:tc>
        <w:tc>
          <w:tcPr>
            <w:tcW w:w="4755" w:type="dxa"/>
            <w:vAlign w:val="center"/>
          </w:tcPr>
          <w:p w14:paraId="457BF6B6">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1.0（肉食性鱼类）</w:t>
            </w:r>
          </w:p>
          <w:p w14:paraId="7BF63EFE">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0.5（其他）</w:t>
            </w:r>
          </w:p>
        </w:tc>
      </w:tr>
      <w:tr w14:paraId="242EB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75" w:type="dxa"/>
            <w:vAlign w:val="center"/>
          </w:tcPr>
          <w:p w14:paraId="3C0F9749">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w:t>
            </w:r>
          </w:p>
        </w:tc>
        <w:tc>
          <w:tcPr>
            <w:tcW w:w="2997" w:type="dxa"/>
            <w:vAlign w:val="center"/>
          </w:tcPr>
          <w:p w14:paraId="51EEB543">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麻痹性贝类毒素（MU/g） ≤</w:t>
            </w:r>
          </w:p>
        </w:tc>
        <w:tc>
          <w:tcPr>
            <w:tcW w:w="4755" w:type="dxa"/>
            <w:vAlign w:val="center"/>
          </w:tcPr>
          <w:p w14:paraId="55C9686C">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4（贝类）</w:t>
            </w:r>
          </w:p>
        </w:tc>
      </w:tr>
      <w:tr w14:paraId="23628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775" w:type="dxa"/>
            <w:vAlign w:val="center"/>
          </w:tcPr>
          <w:p w14:paraId="4352FA5E">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w:t>
            </w:r>
          </w:p>
        </w:tc>
        <w:tc>
          <w:tcPr>
            <w:tcW w:w="2997" w:type="dxa"/>
            <w:vAlign w:val="center"/>
          </w:tcPr>
          <w:p w14:paraId="4261DCF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腹泻性贝类毒素（MU/g）≤</w:t>
            </w:r>
          </w:p>
        </w:tc>
        <w:tc>
          <w:tcPr>
            <w:tcW w:w="4755" w:type="dxa"/>
            <w:vAlign w:val="center"/>
          </w:tcPr>
          <w:p w14:paraId="57853600">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0.05（贝类）</w:t>
            </w:r>
          </w:p>
        </w:tc>
      </w:tr>
    </w:tbl>
    <w:p w14:paraId="62ACCC51">
      <w:pPr>
        <w:numPr>
          <w:ilvl w:val="0"/>
          <w:numId w:val="0"/>
        </w:numPr>
        <w:ind w:firstLine="422" w:firstLineChars="200"/>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6.调味品、豆制品、干货类</w:t>
      </w:r>
    </w:p>
    <w:p w14:paraId="0EFB16BB">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各种食材的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7067246A">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495F9927">
      <w:pPr>
        <w:widowControl/>
        <w:ind w:firstLine="420" w:firstLineChars="200"/>
        <w:rPr>
          <w:rFonts w:hint="eastAsia" w:asciiTheme="minorEastAsia" w:hAnsiTheme="minorEastAsia" w:eastAsiaTheme="minorEastAsia" w:cstheme="minorEastAsia"/>
          <w:b/>
          <w:bCs/>
          <w:szCs w:val="21"/>
        </w:rPr>
      </w:pPr>
      <w:r>
        <w:rPr>
          <w:rFonts w:hint="eastAsia"/>
          <w:lang w:val="en-US" w:eastAsia="zh-CN"/>
        </w:rPr>
        <w:t>★</w:t>
      </w:r>
      <w:r>
        <w:rPr>
          <w:rFonts w:hint="eastAsia" w:asciiTheme="minorEastAsia" w:hAnsiTheme="minorEastAsia" w:eastAsiaTheme="minorEastAsia" w:cstheme="minorEastAsia"/>
          <w:b/>
          <w:bCs/>
          <w:szCs w:val="21"/>
        </w:rPr>
        <w:t>验收技术要求：</w:t>
      </w:r>
    </w:p>
    <w:p w14:paraId="6D539F6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①调味品</w:t>
      </w:r>
    </w:p>
    <w:p w14:paraId="072B2385">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食盐应为预包装产品，符合产品明示执行标准、明示指标及食品安全国家标准 GB 2721 的要求，产品包装完好，标签内容清晰明确，明确标注食盐含量、碘含量（无碘盐除外）；食盐颜色洁白、颗粒大小均匀一致，无结块现象。</w:t>
      </w:r>
    </w:p>
    <w:p w14:paraId="1ACD321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酱油应为预包装产品，符合产品明示执行标准、明示指标及食品安全国家标准 GB 2717 的要求，质量指标不低于 GB/T18186 的二级酱油技术要求，特征指标（氨基酸态氮）≥0.7 g/100mL。  </w:t>
      </w:r>
    </w:p>
    <w:p w14:paraId="5ED7321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酱油为红褐色或棕褐色液体，有光泽，酱香较浓郁，无不良气味。</w:t>
      </w:r>
    </w:p>
    <w:p w14:paraId="4D030DC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食醋应为预包装产品，符合产品明示执行标准、明示指标及食品安全国家标准 GB 2719 的要求，特征指标（总酸）≥3.5g/100 mL。具有食醋应有的滋气味，味道纯正；不浑浊，可有少量沉淀，无异物。</w:t>
      </w:r>
    </w:p>
    <w:p w14:paraId="2E284342">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香辛料符合该产品应有的形态和特征，颜色、气味正常，无杂物，发霉、结块等异常状况。</w:t>
      </w:r>
    </w:p>
    <w:p w14:paraId="3AD3DD9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②干货(包括蔬菜干制品、干制食用菌、水产干制品等)</w:t>
      </w:r>
    </w:p>
    <w:p w14:paraId="512FBEE4">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预包装产品包装完整，无破损；散装产品应有简易包装且能避免潮湿。产品规格大小整齐、均匀、完整，无虫蛀，无杂质，保持应有的色泽；整体干爽、无霉烂、无异常气味。干制食用菌应符合 GB 7096 的要求；水产干制品应符合GB 10136 的要求；藻类干制品（例如紫菜、干海带）应符合 GB19643 的要求，关键指标见下表：</w:t>
      </w:r>
    </w:p>
    <w:tbl>
      <w:tblPr>
        <w:tblStyle w:val="42"/>
        <w:tblW w:w="8859" w:type="dxa"/>
        <w:tblInd w:w="98" w:type="dxa"/>
        <w:tblLayout w:type="fixed"/>
        <w:tblCellMar>
          <w:top w:w="0" w:type="dxa"/>
          <w:left w:w="108" w:type="dxa"/>
          <w:bottom w:w="0" w:type="dxa"/>
          <w:right w:w="108" w:type="dxa"/>
        </w:tblCellMar>
      </w:tblPr>
      <w:tblGrid>
        <w:gridCol w:w="690"/>
        <w:gridCol w:w="2680"/>
        <w:gridCol w:w="5489"/>
      </w:tblGrid>
      <w:tr w14:paraId="5EBB63C2">
        <w:tblPrEx>
          <w:tblCellMar>
            <w:top w:w="0" w:type="dxa"/>
            <w:left w:w="108" w:type="dxa"/>
            <w:bottom w:w="0" w:type="dxa"/>
            <w:right w:w="108" w:type="dxa"/>
          </w:tblCellMar>
        </w:tblPrEx>
        <w:trPr>
          <w:trHeight w:val="117"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7D23E">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序号</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4885C">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项目</w:t>
            </w: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4B6EC">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要求</w:t>
            </w:r>
          </w:p>
        </w:tc>
      </w:tr>
      <w:tr w14:paraId="55EE7C80">
        <w:tblPrEx>
          <w:tblCellMar>
            <w:top w:w="0" w:type="dxa"/>
            <w:left w:w="108" w:type="dxa"/>
            <w:bottom w:w="0" w:type="dxa"/>
            <w:right w:w="108" w:type="dxa"/>
          </w:tblCellMar>
        </w:tblPrEx>
        <w:trPr>
          <w:trHeight w:val="246"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D4353">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w:t>
            </w:r>
          </w:p>
        </w:tc>
        <w:tc>
          <w:tcPr>
            <w:tcW w:w="26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88FA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水分</w:t>
            </w:r>
            <w:r>
              <w:rPr>
                <w:rStyle w:val="209"/>
                <w:rFonts w:hint="eastAsia" w:asciiTheme="minorEastAsia" w:hAnsiTheme="minorEastAsia" w:eastAsiaTheme="minorEastAsia" w:cstheme="minorEastAsia"/>
                <w:sz w:val="21"/>
                <w:szCs w:val="21"/>
              </w:rPr>
              <w:t>（g/100g）≤</w:t>
            </w: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CFE4B">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13（香菇干制品</w:t>
            </w:r>
            <w:r>
              <w:rPr>
                <w:rStyle w:val="209"/>
                <w:rFonts w:hint="eastAsia" w:asciiTheme="minorEastAsia" w:hAnsiTheme="minorEastAsia" w:eastAsiaTheme="minorEastAsia" w:cstheme="minorEastAsia"/>
                <w:sz w:val="21"/>
                <w:szCs w:val="21"/>
              </w:rPr>
              <w:t>）</w:t>
            </w:r>
          </w:p>
        </w:tc>
      </w:tr>
      <w:tr w14:paraId="4B12F953">
        <w:tblPrEx>
          <w:tblCellMar>
            <w:top w:w="0" w:type="dxa"/>
            <w:left w:w="108" w:type="dxa"/>
            <w:bottom w:w="0" w:type="dxa"/>
            <w:right w:w="108" w:type="dxa"/>
          </w:tblCellMar>
        </w:tblPrEx>
        <w:trPr>
          <w:trHeight w:val="364"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9F4FD">
            <w:pPr>
              <w:widowControl/>
              <w:ind w:firstLine="0" w:firstLineChars="0"/>
              <w:jc w:val="center"/>
              <w:rPr>
                <w:rFonts w:hint="eastAsia" w:asciiTheme="minorEastAsia" w:hAnsiTheme="minorEastAsia" w:eastAsiaTheme="minorEastAsia" w:cstheme="minorEastAsia"/>
                <w:color w:val="000000"/>
                <w:sz w:val="21"/>
                <w:szCs w:val="21"/>
              </w:rPr>
            </w:pPr>
          </w:p>
        </w:tc>
        <w:tc>
          <w:tcPr>
            <w:tcW w:w="26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E83BD">
            <w:pPr>
              <w:widowControl/>
              <w:ind w:firstLine="0" w:firstLineChars="0"/>
              <w:jc w:val="center"/>
              <w:rPr>
                <w:rFonts w:hint="eastAsia" w:asciiTheme="minorEastAsia" w:hAnsiTheme="minorEastAsia" w:eastAsiaTheme="minorEastAsia" w:cstheme="minorEastAsia"/>
                <w:color w:val="000000"/>
                <w:sz w:val="21"/>
                <w:szCs w:val="21"/>
              </w:rPr>
            </w:pP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2C29">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15（银耳干制品</w:t>
            </w:r>
            <w:r>
              <w:rPr>
                <w:rStyle w:val="209"/>
                <w:rFonts w:hint="eastAsia" w:asciiTheme="minorEastAsia" w:hAnsiTheme="minorEastAsia" w:eastAsiaTheme="minorEastAsia" w:cstheme="minorEastAsia"/>
                <w:sz w:val="21"/>
                <w:szCs w:val="21"/>
              </w:rPr>
              <w:t>）</w:t>
            </w:r>
          </w:p>
        </w:tc>
      </w:tr>
      <w:tr w14:paraId="20E3ED1F">
        <w:tblPrEx>
          <w:tblCellMar>
            <w:top w:w="0" w:type="dxa"/>
            <w:left w:w="108" w:type="dxa"/>
            <w:bottom w:w="0" w:type="dxa"/>
            <w:right w:w="108" w:type="dxa"/>
          </w:tblCellMar>
        </w:tblPrEx>
        <w:trPr>
          <w:trHeight w:val="364"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D5C5">
            <w:pPr>
              <w:widowControl/>
              <w:ind w:firstLine="0" w:firstLineChars="0"/>
              <w:jc w:val="center"/>
              <w:rPr>
                <w:rFonts w:hint="eastAsia" w:asciiTheme="minorEastAsia" w:hAnsiTheme="minorEastAsia" w:eastAsiaTheme="minorEastAsia" w:cstheme="minorEastAsia"/>
                <w:color w:val="000000"/>
                <w:sz w:val="21"/>
                <w:szCs w:val="21"/>
              </w:rPr>
            </w:pPr>
          </w:p>
        </w:tc>
        <w:tc>
          <w:tcPr>
            <w:tcW w:w="26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CCD8">
            <w:pPr>
              <w:widowControl/>
              <w:ind w:firstLine="0" w:firstLineChars="0"/>
              <w:jc w:val="center"/>
              <w:rPr>
                <w:rFonts w:hint="eastAsia" w:asciiTheme="minorEastAsia" w:hAnsiTheme="minorEastAsia" w:eastAsiaTheme="minorEastAsia" w:cstheme="minorEastAsia"/>
                <w:color w:val="000000"/>
                <w:sz w:val="21"/>
                <w:szCs w:val="21"/>
              </w:rPr>
            </w:pP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6E33C">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12（其他食用菌干制品）</w:t>
            </w:r>
          </w:p>
        </w:tc>
      </w:tr>
      <w:tr w14:paraId="71F8FBFE">
        <w:tblPrEx>
          <w:tblCellMar>
            <w:top w:w="0" w:type="dxa"/>
            <w:left w:w="108" w:type="dxa"/>
            <w:bottom w:w="0" w:type="dxa"/>
            <w:right w:w="108" w:type="dxa"/>
          </w:tblCellMar>
        </w:tblPrEx>
        <w:trPr>
          <w:trHeight w:val="246"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F5FCE">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1121">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米酵菌酸</w:t>
            </w:r>
            <w:r>
              <w:rPr>
                <w:rStyle w:val="209"/>
                <w:rFonts w:hint="eastAsia" w:asciiTheme="minorEastAsia" w:hAnsiTheme="minorEastAsia" w:eastAsiaTheme="minorEastAsia" w:cstheme="minorEastAsia"/>
                <w:sz w:val="21"/>
                <w:szCs w:val="21"/>
              </w:rPr>
              <w:t>（mg/kg）≤</w:t>
            </w: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22B3">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0.25（银耳</w:t>
            </w:r>
            <w:r>
              <w:rPr>
                <w:rStyle w:val="209"/>
                <w:rFonts w:hint="eastAsia" w:asciiTheme="minorEastAsia" w:hAnsiTheme="minorEastAsia" w:eastAsiaTheme="minorEastAsia" w:cstheme="minorEastAsia"/>
                <w:sz w:val="21"/>
                <w:szCs w:val="21"/>
              </w:rPr>
              <w:t>）</w:t>
            </w:r>
          </w:p>
        </w:tc>
      </w:tr>
      <w:tr w14:paraId="50B5B540">
        <w:tblPrEx>
          <w:tblCellMar>
            <w:top w:w="0" w:type="dxa"/>
            <w:left w:w="108" w:type="dxa"/>
            <w:bottom w:w="0" w:type="dxa"/>
            <w:right w:w="108" w:type="dxa"/>
          </w:tblCellMar>
        </w:tblPrEx>
        <w:trPr>
          <w:trHeight w:val="246"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ED41">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C0B35">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过氧化值</w:t>
            </w:r>
            <w:r>
              <w:rPr>
                <w:rStyle w:val="209"/>
                <w:rFonts w:hint="eastAsia" w:asciiTheme="minorEastAsia" w:hAnsiTheme="minorEastAsia" w:eastAsiaTheme="minorEastAsia" w:cstheme="minorEastAsia"/>
                <w:sz w:val="21"/>
                <w:szCs w:val="21"/>
              </w:rPr>
              <w:t>（g/100g）≤</w:t>
            </w: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9A30F">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0.6（水产干制品</w:t>
            </w:r>
            <w:r>
              <w:rPr>
                <w:rStyle w:val="209"/>
                <w:rFonts w:hint="eastAsia" w:asciiTheme="minorEastAsia" w:hAnsiTheme="minorEastAsia" w:eastAsiaTheme="minorEastAsia" w:cstheme="minorEastAsia"/>
                <w:sz w:val="21"/>
                <w:szCs w:val="21"/>
              </w:rPr>
              <w:t>）</w:t>
            </w:r>
          </w:p>
        </w:tc>
      </w:tr>
      <w:tr w14:paraId="22D340A6">
        <w:tblPrEx>
          <w:tblCellMar>
            <w:top w:w="0" w:type="dxa"/>
            <w:left w:w="108" w:type="dxa"/>
            <w:bottom w:w="0" w:type="dxa"/>
            <w:right w:w="108" w:type="dxa"/>
          </w:tblCellMar>
        </w:tblPrEx>
        <w:trPr>
          <w:trHeight w:val="246"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A334">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4</w:t>
            </w:r>
          </w:p>
        </w:tc>
        <w:tc>
          <w:tcPr>
            <w:tcW w:w="26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BF9E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二氧化硫残留量</w:t>
            </w:r>
            <w:r>
              <w:rPr>
                <w:rStyle w:val="209"/>
                <w:rFonts w:hint="eastAsia" w:asciiTheme="minorEastAsia" w:hAnsiTheme="minorEastAsia" w:eastAsiaTheme="minorEastAsia" w:cstheme="minorEastAsia"/>
                <w:sz w:val="21"/>
                <w:szCs w:val="21"/>
              </w:rPr>
              <w:t>（g/kg）≤</w:t>
            </w: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D9D41">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0.2（干制蔬</w:t>
            </w:r>
            <w:r>
              <w:rPr>
                <w:rStyle w:val="209"/>
                <w:rFonts w:hint="eastAsia" w:asciiTheme="minorEastAsia" w:hAnsiTheme="minorEastAsia" w:eastAsiaTheme="minorEastAsia" w:cstheme="minorEastAsia"/>
                <w:sz w:val="21"/>
                <w:szCs w:val="21"/>
              </w:rPr>
              <w:t>菜）</w:t>
            </w:r>
          </w:p>
        </w:tc>
      </w:tr>
      <w:tr w14:paraId="42DE01B7">
        <w:tblPrEx>
          <w:tblCellMar>
            <w:top w:w="0" w:type="dxa"/>
            <w:left w:w="108" w:type="dxa"/>
            <w:bottom w:w="0" w:type="dxa"/>
            <w:right w:w="108" w:type="dxa"/>
          </w:tblCellMar>
        </w:tblPrEx>
        <w:trPr>
          <w:trHeight w:val="254"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1E8B">
            <w:pPr>
              <w:widowControl/>
              <w:ind w:firstLine="0" w:firstLineChars="0"/>
              <w:jc w:val="center"/>
              <w:rPr>
                <w:rFonts w:hint="eastAsia" w:asciiTheme="minorEastAsia" w:hAnsiTheme="minorEastAsia" w:eastAsiaTheme="minorEastAsia" w:cstheme="minorEastAsia"/>
                <w:color w:val="000000"/>
                <w:sz w:val="21"/>
                <w:szCs w:val="21"/>
              </w:rPr>
            </w:pPr>
          </w:p>
        </w:tc>
        <w:tc>
          <w:tcPr>
            <w:tcW w:w="26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15E2">
            <w:pPr>
              <w:widowControl/>
              <w:ind w:firstLine="0" w:firstLineChars="0"/>
              <w:jc w:val="center"/>
              <w:rPr>
                <w:rFonts w:hint="eastAsia" w:asciiTheme="minorEastAsia" w:hAnsiTheme="minorEastAsia" w:eastAsiaTheme="minorEastAsia" w:cstheme="minorEastAsia"/>
                <w:color w:val="000000"/>
                <w:sz w:val="21"/>
                <w:szCs w:val="21"/>
              </w:rPr>
            </w:pPr>
          </w:p>
        </w:tc>
        <w:tc>
          <w:tcPr>
            <w:tcW w:w="5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235A">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0.05（干制食用菌及</w:t>
            </w:r>
            <w:r>
              <w:rPr>
                <w:rStyle w:val="209"/>
                <w:rFonts w:hint="eastAsia" w:asciiTheme="minorEastAsia" w:hAnsiTheme="minorEastAsia" w:eastAsiaTheme="minorEastAsia" w:cstheme="minorEastAsia"/>
                <w:sz w:val="21"/>
                <w:szCs w:val="21"/>
              </w:rPr>
              <w:t>藻类）</w:t>
            </w:r>
          </w:p>
        </w:tc>
      </w:tr>
    </w:tbl>
    <w:p w14:paraId="42B8A6D8">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③豆制品</w:t>
      </w:r>
    </w:p>
    <w:p w14:paraId="593C29BD">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质量符合食品安全国家标准 GB 2712 的要求；具有相应产品固有的色、香、味等状态，无杂质，无其他不良气味。</w:t>
      </w:r>
    </w:p>
    <w:p w14:paraId="3911F552">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④腌腊肉制品</w:t>
      </w:r>
    </w:p>
    <w:p w14:paraId="7A240C50">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应符合食品安全国家标准 GB 2730 及产品明示质量标准的要求，其中关键指标见下表：</w:t>
      </w:r>
    </w:p>
    <w:tbl>
      <w:tblPr>
        <w:tblStyle w:val="42"/>
        <w:tblW w:w="8859" w:type="dxa"/>
        <w:tblInd w:w="98" w:type="dxa"/>
        <w:tblLayout w:type="autofit"/>
        <w:tblCellMar>
          <w:top w:w="0" w:type="dxa"/>
          <w:left w:w="108" w:type="dxa"/>
          <w:bottom w:w="0" w:type="dxa"/>
          <w:right w:w="108" w:type="dxa"/>
        </w:tblCellMar>
      </w:tblPr>
      <w:tblGrid>
        <w:gridCol w:w="851"/>
        <w:gridCol w:w="4004"/>
        <w:gridCol w:w="4004"/>
      </w:tblGrid>
      <w:tr w14:paraId="646EDA6B">
        <w:tblPrEx>
          <w:tblCellMar>
            <w:top w:w="0" w:type="dxa"/>
            <w:left w:w="108" w:type="dxa"/>
            <w:bottom w:w="0" w:type="dxa"/>
            <w:right w:w="108" w:type="dxa"/>
          </w:tblCellMar>
        </w:tblPrEx>
        <w:trPr>
          <w:trHeight w:val="95" w:hRule="atLeast"/>
        </w:trPr>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5152">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序号</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6B1C">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项目</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566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要求</w:t>
            </w:r>
          </w:p>
        </w:tc>
      </w:tr>
      <w:tr w14:paraId="1D262D19">
        <w:tblPrEx>
          <w:tblCellMar>
            <w:top w:w="0" w:type="dxa"/>
            <w:left w:w="108" w:type="dxa"/>
            <w:bottom w:w="0" w:type="dxa"/>
            <w:right w:w="108" w:type="dxa"/>
          </w:tblCellMar>
        </w:tblPrEx>
        <w:trPr>
          <w:trHeight w:val="26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969A6">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C46C">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过氧化值（g/100 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D46BE">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0.5（火腿、腊肉、腊肠）</w:t>
            </w:r>
          </w:p>
        </w:tc>
      </w:tr>
      <w:tr w14:paraId="2F5E8C23">
        <w:tblPrEx>
          <w:tblCellMar>
            <w:top w:w="0" w:type="dxa"/>
            <w:left w:w="108" w:type="dxa"/>
            <w:bottom w:w="0" w:type="dxa"/>
            <w:right w:w="108" w:type="dxa"/>
          </w:tblCellMar>
        </w:tblPrEx>
        <w:trPr>
          <w:trHeight w:val="26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4609">
            <w:pPr>
              <w:widowControl/>
              <w:ind w:firstLine="0" w:firstLineChars="0"/>
              <w:jc w:val="center"/>
              <w:rPr>
                <w:rFonts w:hint="eastAsia" w:asciiTheme="minorEastAsia" w:hAnsiTheme="minorEastAsia" w:eastAsiaTheme="minorEastAsia" w:cstheme="minorEastAsia"/>
                <w:color w:val="000000"/>
                <w:sz w:val="21"/>
                <w:szCs w:val="2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4BBD">
            <w:pPr>
              <w:widowControl/>
              <w:ind w:firstLine="0" w:firstLineChars="0"/>
              <w:jc w:val="center"/>
              <w:rPr>
                <w:rFonts w:hint="eastAsia" w:asciiTheme="minorEastAsia" w:hAnsiTheme="minorEastAsia" w:eastAsiaTheme="minorEastAsia" w:cstheme="minorEastAsia"/>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D06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1.5（腌腊禽制品）</w:t>
            </w:r>
          </w:p>
        </w:tc>
      </w:tr>
      <w:tr w14:paraId="2CE31620">
        <w:tblPrEx>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9B8C">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2B7F">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三甲胺氮（mg/100 g）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7E633">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2.5</w:t>
            </w:r>
          </w:p>
        </w:tc>
      </w:tr>
    </w:tbl>
    <w:p w14:paraId="2565936F">
      <w:pPr>
        <w:numPr>
          <w:ilvl w:val="0"/>
          <w:numId w:val="0"/>
        </w:numPr>
        <w:ind w:firstLine="422" w:firstLineChars="200"/>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7.</w:t>
      </w:r>
      <w:r>
        <w:rPr>
          <w:rFonts w:hint="eastAsia" w:asciiTheme="minorEastAsia" w:hAnsiTheme="minorEastAsia" w:eastAsiaTheme="minorEastAsia" w:cstheme="minorEastAsia"/>
          <w:b/>
          <w:bCs/>
          <w:szCs w:val="21"/>
        </w:rPr>
        <w:t>大米、食用油、小麦粉或者面粉类</w:t>
      </w:r>
    </w:p>
    <w:p w14:paraId="46614D8B">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各种食材的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441C1D53">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323D40F4">
      <w:pPr>
        <w:widowControl/>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验收技术要求：</w:t>
      </w:r>
    </w:p>
    <w:p w14:paraId="7BE0F7AF">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成品粮（大米、小麦粉或面粉）的食品安全指标应符合GB 2715（或最新标准）的规定。其中：大米的质量指标符合食品安全国家标准（GB 2715、GB2762、GB2763等）及产品标签明示执行标准的要求。除此之外，还应符合GB/T 1354普通大米二级（含）或优质大米二级（含）以上的要求，应提供含重金属指标（镉、铅）的产品检验合格证明；小麦粉（面粉）的质量指标符合食品安全国家标准（GB 2761、GB 2762等）及产品标签明示执行标准的要求，其中通用小麦粉质量等级应达到或超过国家标准GB/T 1355中质量等级为“特制二等”的要求（2023年1月1日起生产的小麦粉应达到GB/T 1355-2021“标准粉”及以上的要求）。</w:t>
      </w:r>
    </w:p>
    <w:p w14:paraId="6D3B76B2">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成品食用油应为预包装食用植物油；需使用非转基因植物油；食用油的食品安全指标应符合GB 2716、GB 2761和GB 2762的规定。其中：大豆油应按GB/T 1535的要求选择一级或二级的大豆油；玉米油的质量指标不低于GB/T 19111的二级成品玉米油的技术要求；菜籽油的质量指标不低于GB/T 1536的二级压榨成品菜籽油的技术要求；花生油的质量指标不低于GB/T 1534的二级压榨成品花生油或二级浸出成品花生油的技术要求；米糠油质量不低于GB/T 19112二级的要求；调和油标签或附带说明书应明确列出调和油的原料或配比。</w:t>
      </w:r>
    </w:p>
    <w:p w14:paraId="4F482CB0">
      <w:pPr>
        <w:bidi w:val="0"/>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8.奶</w:t>
      </w:r>
      <w:r>
        <w:rPr>
          <w:rFonts w:hint="eastAsia" w:asciiTheme="minorEastAsia" w:hAnsiTheme="minorEastAsia" w:eastAsiaTheme="minorEastAsia" w:cstheme="minorEastAsia"/>
          <w:b/>
          <w:bCs/>
          <w:szCs w:val="21"/>
        </w:rPr>
        <w:t>制品</w:t>
      </w:r>
      <w:r>
        <w:rPr>
          <w:rFonts w:hint="eastAsia" w:asciiTheme="minorEastAsia" w:hAnsiTheme="minorEastAsia" w:eastAsiaTheme="minorEastAsia" w:cstheme="minorEastAsia"/>
          <w:b/>
          <w:bCs/>
          <w:szCs w:val="21"/>
          <w:lang w:val="en-US" w:eastAsia="zh-CN"/>
        </w:rPr>
        <w:t>类</w:t>
      </w:r>
    </w:p>
    <w:p w14:paraId="2EF6482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提供最近日期生产出品的鲜奶和酸奶；外包装完整无损，有详细的生产日期、保质期、生产厂家等信息。</w:t>
      </w:r>
    </w:p>
    <w:p w14:paraId="287B93AB">
      <w:pPr>
        <w:autoSpaceDE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lang w:val="en-US" w:eastAsia="zh-CN"/>
        </w:rPr>
        <w:t>1</w:t>
      </w: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rPr>
        <w:t>鲜奶要求：</w:t>
      </w:r>
    </w:p>
    <w:p w14:paraId="3753F8B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1.1颜色：色泽为乳白色或稍带微黄色。</w:t>
      </w:r>
    </w:p>
    <w:p w14:paraId="61C1A86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1.2组织状态：呈均匀的流体，无沉淀、凝块和机械杂质，无粘稠和浓厚现象。</w:t>
      </w:r>
    </w:p>
    <w:p w14:paraId="34AB2B2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1.3气味: 具有乳特有的乳香味，无其他任何异味。不能发出显著的酸味、苦味、臭味、霉味、涩味、腥味等异常气味。</w:t>
      </w:r>
    </w:p>
    <w:p w14:paraId="332EED5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1.4味道：具有鲜乳独具的纯香味，滋味可口而稍甜，无其他任何异常滋味。不能有有酸味、咸味、苦味等。</w:t>
      </w:r>
    </w:p>
    <w:p w14:paraId="36066826">
      <w:pPr>
        <w:autoSpaceDE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lang w:val="en-US" w:eastAsia="zh-CN"/>
        </w:rPr>
        <w:t>2</w:t>
      </w: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rPr>
        <w:t>酸奶要求：</w:t>
      </w:r>
    </w:p>
    <w:p w14:paraId="6432830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2.1颜色：色泽均匀一致，呈乳白色或稍带微黄色。不得出现色泽不匀、灰暗或出现其他异常颜色。</w:t>
      </w:r>
    </w:p>
    <w:p w14:paraId="1E8E9F6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2.2组织状态：凝乳均匀细腻，无气泡，允许有少量黄色脂膜和少量乳清。不能出现气泡、霉斑或乳清析出严重、乳清分离等异常状态。</w:t>
      </w:r>
    </w:p>
    <w:p w14:paraId="3D7EA50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2.3气味：有清香、纯正的酸奶味。不能有腐败味，霉变味、酒精发酵及其他不良气味。</w:t>
      </w:r>
    </w:p>
    <w:p w14:paraId="3434ED6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2.4味道：有纯正的酸牛奶味，酸甜适口。不能酸味过度、有苦味、涩味或其他不良滋味。</w:t>
      </w:r>
    </w:p>
    <w:p w14:paraId="4E8B4446">
      <w:pPr>
        <w:autoSpaceDE w:val="0"/>
        <w:ind w:firstLine="420" w:firstLineChars="200"/>
        <w:rPr>
          <w:rFonts w:hint="eastAsia" w:asciiTheme="minorEastAsia" w:hAnsiTheme="minorEastAsia" w:eastAsiaTheme="minorEastAsia" w:cstheme="minorEastAsia"/>
          <w:b/>
          <w:bCs/>
          <w:szCs w:val="21"/>
          <w:lang w:val="en-US" w:eastAsia="zh-CN"/>
        </w:rPr>
      </w:pPr>
      <w:r>
        <w:rPr>
          <w:rFonts w:hint="eastAsia"/>
          <w:lang w:val="en-US" w:eastAsia="zh-CN"/>
        </w:rPr>
        <w:t>★</w:t>
      </w:r>
      <w:r>
        <w:rPr>
          <w:rFonts w:hint="eastAsia" w:asciiTheme="minorEastAsia" w:hAnsiTheme="minorEastAsia" w:eastAsiaTheme="minorEastAsia" w:cstheme="minorEastAsia"/>
          <w:b/>
          <w:bCs/>
          <w:szCs w:val="21"/>
          <w:lang w:val="en-US" w:eastAsia="zh-CN"/>
        </w:rPr>
        <w:t>验收技术要求：</w:t>
      </w:r>
    </w:p>
    <w:p w14:paraId="192B4FFC">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奶制品验收主要看感官、理化、微生物三大指标，确保安全优质。</w:t>
      </w:r>
    </w:p>
    <w:p w14:paraId="20ED6A4A">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‌感官验收‌是基础，看色泽是否乳白或微黄，闻气味应有乳香无异味，组织状态需均匀无凝块、沉淀或杂质。</w:t>
      </w:r>
      <w:r>
        <w:rPr>
          <w:rFonts w:hint="eastAsia" w:asciiTheme="minorEastAsia" w:hAnsiTheme="minorEastAsia" w:eastAsiaTheme="minorEastAsia" w:cstheme="minorEastAsia"/>
          <w:kern w:val="2"/>
          <w:szCs w:val="21"/>
          <w:lang w:eastAsia="zh-CN"/>
        </w:rPr>
        <w:t>正规厂家或其代理商，有商标牌号，注明生产日期、产地、保质期、包装规格。需冷藏保存的牛奶类，需至少保证还剩5/6的期限。</w:t>
      </w:r>
    </w:p>
    <w:p w14:paraId="5A2842C8">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‌理化指标‌是关键，包括：</w:t>
      </w:r>
    </w:p>
    <w:p w14:paraId="4ED24D5B">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‌蛋白质‌：生牛乳一般≥2.9g/100g，含量越高越好。</w:t>
      </w:r>
    </w:p>
    <w:p w14:paraId="521EEBF6">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‌脂肪‌：全脂乳通常≥3.1g/100g，影响香浓口感。</w:t>
      </w:r>
    </w:p>
    <w:p w14:paraId="44275C8C">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‌酸度‌：牛乳正常范围16-18°T，过高可能不新鲜。</w:t>
      </w:r>
    </w:p>
    <w:p w14:paraId="49C4E898">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‌杂质度‌：需极低，保证纯净度。</w:t>
      </w:r>
    </w:p>
    <w:p w14:paraId="2A7EBECA">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‌微生物指标‌是安全底线，菌落总数等需符合国家标准，防止污染。</w:t>
      </w:r>
    </w:p>
    <w:p w14:paraId="070F98D7">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验收时还需注意原料来源、供应商资质，并定期检测抗菌素残留等。巴氏杀菌乳等产品还需符合其特定标准。</w:t>
      </w:r>
    </w:p>
    <w:p w14:paraId="5F7E1C3B">
      <w:pPr>
        <w:pStyle w:val="59"/>
        <w:numPr>
          <w:ilvl w:val="-1"/>
          <w:numId w:val="0"/>
        </w:numPr>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9.</w:t>
      </w:r>
      <w:r>
        <w:rPr>
          <w:rFonts w:hint="eastAsia" w:asciiTheme="minorEastAsia" w:hAnsiTheme="minorEastAsia" w:eastAsiaTheme="minorEastAsia" w:cstheme="minorEastAsia"/>
          <w:b/>
          <w:bCs/>
          <w:szCs w:val="21"/>
        </w:rPr>
        <w:t>熟食类</w:t>
      </w:r>
    </w:p>
    <w:p w14:paraId="0D6E8698">
      <w:pPr>
        <w:pStyle w:val="59"/>
        <w:numPr>
          <w:ilvl w:val="255"/>
          <w:numId w:val="0"/>
        </w:numPr>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（1）对原料的外观、色泽、气味、口感等进行检查，确保符合要求。</w:t>
      </w:r>
    </w:p>
    <w:p w14:paraId="5687A447">
      <w:pPr>
        <w:pStyle w:val="59"/>
        <w:numPr>
          <w:ilvl w:val="255"/>
          <w:numId w:val="0"/>
        </w:numPr>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（2）卤制品表面应呈现自然酱色，无异常斑点。切片观察横截面，肌肉纤维纹理清晰，脂肪层呈乳白色。使用标准比色卡对照，色差值ΔE≤3.0。</w:t>
      </w:r>
    </w:p>
    <w:p w14:paraId="27DC0855">
      <w:pPr>
        <w:pStyle w:val="59"/>
        <w:numPr>
          <w:ilvl w:val="255"/>
          <w:numId w:val="0"/>
        </w:numPr>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（3）拆包后静置3分钟，距鼻端20cm处嗅闻。合格品应具有原料固有香味，禁止出现哈喇味、酸腐味或消毒水残留气味。</w:t>
      </w:r>
    </w:p>
    <w:p w14:paraId="6E2DA79C">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（4）亚硝酸盐残留量：肉制品≤30mg/kg（GB 2760-2024） 过氧化值：速冻调理肉制品≤0.25g/100g（GB 19295-2021），菌落总数≤10^4 CFU/g ，大肠菌群≤10 MPN/g阳性样本需进行沙门氏菌、金黄色葡萄球菌等致病菌复检。</w:t>
      </w:r>
    </w:p>
    <w:p w14:paraId="6FE67529">
      <w:p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10.其他</w:t>
      </w:r>
    </w:p>
    <w:p w14:paraId="033F5DA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《深圳市学校食堂食材采购验收参考标准》规定的其他条件。</w:t>
      </w:r>
    </w:p>
    <w:p w14:paraId="546A19F8">
      <w:pPr>
        <w:widowControl/>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以上所有产品必须符合国家的相关标准与要求，在配送时按要求提供产品所涉及的《全国工业产品生产许可证》、《食品生产许可证》、《食品经营许可证》、《生猪定点屠宰证》和《动物防疫条件合格证》等国家强制规定材料，不得提供转基因食品或利用转基因食品原料加工的成品，国家有出台新的更高标准的，以新的更高标准为准。</w:t>
      </w:r>
    </w:p>
    <w:p w14:paraId="09B8FE06">
      <w:pPr>
        <w:numPr>
          <w:ilvl w:val="0"/>
          <w:numId w:val="0"/>
        </w:num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SA"/>
        </w:rPr>
        <w:t>（五）</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sz w:val="21"/>
          <w:szCs w:val="21"/>
        </w:rPr>
        <w:t>本次食堂食材配送货物的监管要求：</w:t>
      </w:r>
    </w:p>
    <w:p w14:paraId="571E502A">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1.</w:t>
      </w:r>
      <w:r>
        <w:rPr>
          <w:rFonts w:hint="eastAsia" w:asciiTheme="minorEastAsia" w:hAnsiTheme="minorEastAsia" w:eastAsiaTheme="minorEastAsia" w:cstheme="minorEastAsia"/>
          <w:b w:val="0"/>
          <w:bCs w:val="0"/>
          <w:szCs w:val="21"/>
        </w:rPr>
        <w:t>资格审定。要求中标供应商按招标文件及合同要求，提供相关资质文件原件，审原件，留复印件。</w:t>
      </w:r>
    </w:p>
    <w:p w14:paraId="7CE6F2B6">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2.</w:t>
      </w:r>
      <w:r>
        <w:rPr>
          <w:rFonts w:hint="eastAsia" w:asciiTheme="minorEastAsia" w:hAnsiTheme="minorEastAsia" w:eastAsiaTheme="minorEastAsia" w:cstheme="minorEastAsia"/>
          <w:b w:val="0"/>
          <w:bCs w:val="0"/>
          <w:szCs w:val="21"/>
        </w:rPr>
        <w:t>实地调研。组成调研小组，对中标供应商进行调研，包括</w:t>
      </w:r>
      <w:r>
        <w:rPr>
          <w:rFonts w:hint="eastAsia" w:asciiTheme="minorEastAsia" w:hAnsiTheme="minorEastAsia" w:eastAsiaTheme="minorEastAsia" w:cstheme="minorEastAsia"/>
          <w:b w:val="0"/>
          <w:bCs w:val="0"/>
          <w:szCs w:val="21"/>
          <w:lang w:val="en-US" w:eastAsia="zh-CN"/>
        </w:rPr>
        <w:t>但不限于</w:t>
      </w:r>
      <w:r>
        <w:rPr>
          <w:rFonts w:hint="eastAsia" w:asciiTheme="minorEastAsia" w:hAnsiTheme="minorEastAsia" w:eastAsiaTheme="minorEastAsia" w:cstheme="minorEastAsia"/>
          <w:b w:val="0"/>
          <w:bCs w:val="0"/>
          <w:szCs w:val="21"/>
        </w:rPr>
        <w:t>厂房情况、车辆情况、台账情况、历史合同情况等。</w:t>
      </w:r>
    </w:p>
    <w:p w14:paraId="1E7664ED">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3.</w:t>
      </w:r>
      <w:r>
        <w:rPr>
          <w:rFonts w:hint="eastAsia" w:asciiTheme="minorEastAsia" w:hAnsiTheme="minorEastAsia" w:eastAsiaTheme="minorEastAsia" w:cstheme="minorEastAsia"/>
          <w:b w:val="0"/>
          <w:bCs w:val="0"/>
          <w:szCs w:val="21"/>
        </w:rPr>
        <w:t>日常验收。每天组成验收组，对中标供应商送来的货物进行验收，包括数量、质量、品种等。</w:t>
      </w:r>
    </w:p>
    <w:p w14:paraId="3C122996">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4.</w:t>
      </w:r>
      <w:r>
        <w:rPr>
          <w:rFonts w:hint="eastAsia" w:asciiTheme="minorEastAsia" w:hAnsiTheme="minorEastAsia" w:eastAsiaTheme="minorEastAsia" w:cstheme="minorEastAsia"/>
          <w:b w:val="0"/>
          <w:bCs w:val="0"/>
          <w:szCs w:val="21"/>
        </w:rPr>
        <w:t>溯源。对每种商品的来源、检验报告、发票每月溯源一次。上述资料提供不齐的、拒收该商品。</w:t>
      </w:r>
    </w:p>
    <w:p w14:paraId="244CE8EA">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5.</w:t>
      </w:r>
      <w:r>
        <w:rPr>
          <w:rFonts w:hint="eastAsia" w:asciiTheme="minorEastAsia" w:hAnsiTheme="minorEastAsia" w:eastAsiaTheme="minorEastAsia" w:cstheme="minorEastAsia"/>
          <w:b w:val="0"/>
          <w:bCs w:val="0"/>
          <w:szCs w:val="21"/>
        </w:rPr>
        <w:t>服务指导。对中标供应商安排的配送员工，进行精细服务方面的指导，要求所派人员随时能提供健康证、身份证。</w:t>
      </w:r>
    </w:p>
    <w:p w14:paraId="0CE310F5">
      <w:pPr>
        <w:ind w:firstLine="420" w:firstLineChars="200"/>
        <w:rPr>
          <w:rFonts w:hint="eastAsia" w:asciiTheme="minorEastAsia" w:hAnsiTheme="minorEastAsia" w:eastAsiaTheme="minorEastAsia" w:cstheme="minorEastAsia"/>
          <w:b w:val="0"/>
          <w:bCs w:val="0"/>
          <w:color w:val="FF0000"/>
          <w:szCs w:val="21"/>
        </w:rPr>
      </w:pPr>
      <w:r>
        <w:rPr>
          <w:rFonts w:hint="eastAsia" w:asciiTheme="minorEastAsia" w:hAnsiTheme="minorEastAsia" w:eastAsiaTheme="minorEastAsia" w:cstheme="minorEastAsia"/>
          <w:b w:val="0"/>
          <w:bCs w:val="0"/>
          <w:szCs w:val="21"/>
          <w:lang w:val="en-US" w:eastAsia="zh-CN"/>
        </w:rPr>
        <w:t>6.</w:t>
      </w:r>
      <w:r>
        <w:rPr>
          <w:rFonts w:hint="eastAsia" w:asciiTheme="minorEastAsia" w:hAnsiTheme="minorEastAsia" w:eastAsiaTheme="minorEastAsia" w:cstheme="minorEastAsia"/>
          <w:b w:val="0"/>
          <w:bCs w:val="0"/>
          <w:szCs w:val="21"/>
        </w:rPr>
        <w:t>结账。对供应商所送商品进行比对，以合同约定的</w:t>
      </w:r>
      <w:r>
        <w:rPr>
          <w:rFonts w:hint="eastAsia" w:asciiTheme="minorEastAsia" w:hAnsiTheme="minorEastAsia" w:eastAsiaTheme="minorEastAsia" w:cstheme="minorEastAsia"/>
          <w:b w:val="0"/>
          <w:bCs w:val="0"/>
          <w:sz w:val="21"/>
          <w:szCs w:val="21"/>
          <w:lang w:eastAsia="zh-CN"/>
        </w:rPr>
        <w:t>深圳市中农数据有限公司（天天采</w:t>
      </w:r>
      <w:r>
        <w:rPr>
          <w:rFonts w:hint="eastAsia" w:asciiTheme="minorEastAsia" w:hAnsiTheme="minorEastAsia" w:eastAsiaTheme="minorEastAsia" w:cstheme="minorEastAsia"/>
          <w:b w:val="0"/>
          <w:bCs w:val="0"/>
          <w:sz w:val="21"/>
          <w:szCs w:val="21"/>
          <w:lang w:val="en-US" w:eastAsia="zh-CN"/>
        </w:rPr>
        <w:t>配</w:t>
      </w:r>
      <w:r>
        <w:rPr>
          <w:rFonts w:hint="eastAsia" w:asciiTheme="minorEastAsia" w:hAnsiTheme="minorEastAsia" w:eastAsiaTheme="minorEastAsia" w:cstheme="minorEastAsia"/>
          <w:b w:val="0"/>
          <w:bCs w:val="0"/>
          <w:sz w:val="21"/>
          <w:szCs w:val="21"/>
          <w:lang w:eastAsia="zh-CN"/>
        </w:rPr>
        <w:t>平台）每月</w:t>
      </w:r>
      <w:r>
        <w:rPr>
          <w:rFonts w:hint="eastAsia" w:asciiTheme="minorEastAsia" w:hAnsiTheme="minorEastAsia" w:eastAsiaTheme="minorEastAsia" w:cstheme="minorEastAsia"/>
          <w:b w:val="0"/>
          <w:bCs w:val="0"/>
          <w:sz w:val="21"/>
          <w:szCs w:val="21"/>
          <w:lang w:val="en-US" w:eastAsia="zh-CN"/>
        </w:rPr>
        <w:t>5、15、25日</w:t>
      </w:r>
      <w:r>
        <w:rPr>
          <w:rFonts w:hint="eastAsia" w:asciiTheme="minorEastAsia" w:hAnsiTheme="minorEastAsia" w:eastAsiaTheme="minorEastAsia" w:cstheme="minorEastAsia"/>
          <w:b w:val="0"/>
          <w:bCs w:val="0"/>
          <w:sz w:val="21"/>
          <w:szCs w:val="21"/>
          <w:lang w:eastAsia="zh-CN"/>
        </w:rPr>
        <w:t>公布的菜价的平均价作为基准价</w:t>
      </w:r>
      <w:r>
        <w:rPr>
          <w:rFonts w:hint="eastAsia" w:asciiTheme="minorEastAsia" w:hAnsiTheme="minorEastAsia" w:eastAsiaTheme="minorEastAsia" w:cstheme="minorEastAsia"/>
          <w:b w:val="0"/>
          <w:bCs w:val="0"/>
          <w:szCs w:val="21"/>
        </w:rPr>
        <w:t>，按照投标时承诺的折扣率进行结账。</w:t>
      </w:r>
    </w:p>
    <w:p w14:paraId="07D495AE">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7.</w:t>
      </w:r>
      <w:r>
        <w:rPr>
          <w:rFonts w:hint="eastAsia" w:asciiTheme="minorEastAsia" w:hAnsiTheme="minorEastAsia" w:eastAsiaTheme="minorEastAsia" w:cstheme="minorEastAsia"/>
          <w:b w:val="0"/>
          <w:bCs w:val="0"/>
          <w:szCs w:val="21"/>
        </w:rPr>
        <w:t>惩罚。供应商存在以下情况</w:t>
      </w:r>
      <w:r>
        <w:rPr>
          <w:rFonts w:hint="eastAsia" w:asciiTheme="minorEastAsia" w:hAnsiTheme="minorEastAsia" w:eastAsiaTheme="minorEastAsia" w:cstheme="minorEastAsia"/>
          <w:b w:val="0"/>
          <w:bCs w:val="0"/>
          <w:szCs w:val="21"/>
          <w:lang w:val="en-US" w:eastAsia="zh-CN"/>
        </w:rPr>
        <w:t>之一</w:t>
      </w:r>
      <w:r>
        <w:rPr>
          <w:rFonts w:hint="eastAsia" w:asciiTheme="minorEastAsia" w:hAnsiTheme="minorEastAsia" w:eastAsiaTheme="minorEastAsia" w:cstheme="minorEastAsia"/>
          <w:b w:val="0"/>
          <w:bCs w:val="0"/>
          <w:szCs w:val="21"/>
        </w:rPr>
        <w:t>的，经学校调查核实后，可以单方中止其配送合同；如果造成重大社会不良影响或师生人身、财产损失的，学校将追究其法律责任。同时向市、区教育领域食堂管理问题专项整治工作专班予以汇报、备案，根据情节对其实施包括深圳市教育食材配送行业准入限制在内的处罚。</w:t>
      </w:r>
    </w:p>
    <w:p w14:paraId="7A351092">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1</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因食材质量引发食品安全事故；</w:t>
      </w:r>
    </w:p>
    <w:p w14:paraId="5B2304BD">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2</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存在严重安全隐患且整改不力；</w:t>
      </w:r>
    </w:p>
    <w:p w14:paraId="2E57CE72">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3</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学校膳食</w:t>
      </w:r>
      <w:r>
        <w:rPr>
          <w:rFonts w:hint="eastAsia" w:asciiTheme="minorEastAsia" w:hAnsiTheme="minorEastAsia" w:eastAsiaTheme="minorEastAsia" w:cstheme="minorEastAsia"/>
          <w:b w:val="0"/>
          <w:bCs w:val="0"/>
          <w:szCs w:val="21"/>
          <w:lang w:val="en-US" w:eastAsia="zh-CN"/>
        </w:rPr>
        <w:t>管理</w:t>
      </w:r>
      <w:r>
        <w:rPr>
          <w:rFonts w:hint="eastAsia" w:asciiTheme="minorEastAsia" w:hAnsiTheme="minorEastAsia" w:eastAsiaTheme="minorEastAsia" w:cstheme="minorEastAsia"/>
          <w:b w:val="0"/>
          <w:bCs w:val="0"/>
          <w:szCs w:val="21"/>
        </w:rPr>
        <w:t>委员会对</w:t>
      </w:r>
      <w:r>
        <w:rPr>
          <w:rFonts w:hint="eastAsia" w:asciiTheme="minorEastAsia" w:hAnsiTheme="minorEastAsia" w:eastAsiaTheme="minorEastAsia" w:cstheme="minorEastAsia"/>
          <w:b w:val="0"/>
          <w:bCs w:val="0"/>
          <w:szCs w:val="21"/>
          <w:lang w:val="en-US" w:eastAsia="zh-CN"/>
        </w:rPr>
        <w:t>中标</w:t>
      </w:r>
      <w:r>
        <w:rPr>
          <w:rFonts w:hint="eastAsia" w:asciiTheme="minorEastAsia" w:hAnsiTheme="minorEastAsia" w:eastAsiaTheme="minorEastAsia" w:cstheme="minorEastAsia"/>
          <w:b w:val="0"/>
          <w:bCs w:val="0"/>
          <w:szCs w:val="21"/>
        </w:rPr>
        <w:t>供应商</w:t>
      </w:r>
      <w:r>
        <w:rPr>
          <w:rFonts w:hint="eastAsia" w:asciiTheme="minorEastAsia" w:hAnsiTheme="minorEastAsia" w:eastAsiaTheme="minorEastAsia" w:cstheme="minorEastAsia"/>
          <w:b w:val="0"/>
          <w:bCs w:val="0"/>
          <w:szCs w:val="21"/>
          <w:lang w:val="en-US" w:eastAsia="zh-CN"/>
        </w:rPr>
        <w:t>存在</w:t>
      </w:r>
      <w:r>
        <w:rPr>
          <w:rFonts w:hint="eastAsia" w:asciiTheme="minorEastAsia" w:hAnsiTheme="minorEastAsia" w:eastAsiaTheme="minorEastAsia" w:cstheme="minorEastAsia"/>
          <w:b w:val="0"/>
          <w:bCs w:val="0"/>
          <w:szCs w:val="21"/>
        </w:rPr>
        <w:t>1次考核为不合格，且对供应商对</w:t>
      </w:r>
      <w:r>
        <w:rPr>
          <w:rFonts w:hint="eastAsia" w:asciiTheme="minorEastAsia" w:hAnsiTheme="minorEastAsia" w:eastAsiaTheme="minorEastAsia" w:cstheme="minorEastAsia"/>
          <w:b w:val="0"/>
          <w:bCs w:val="0"/>
          <w:szCs w:val="21"/>
          <w:lang w:val="en-US" w:eastAsia="zh-CN"/>
        </w:rPr>
        <w:t>本次</w:t>
      </w:r>
      <w:r>
        <w:rPr>
          <w:rFonts w:hint="eastAsia" w:asciiTheme="minorEastAsia" w:hAnsiTheme="minorEastAsia" w:eastAsiaTheme="minorEastAsia" w:cstheme="minorEastAsia"/>
          <w:b w:val="0"/>
          <w:bCs w:val="0"/>
          <w:szCs w:val="21"/>
        </w:rPr>
        <w:t>考核结果做出的解释不满意；</w:t>
      </w:r>
    </w:p>
    <w:p w14:paraId="33D8B8E2">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4</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学校膳食</w:t>
      </w:r>
      <w:r>
        <w:rPr>
          <w:rFonts w:hint="eastAsia" w:asciiTheme="minorEastAsia" w:hAnsiTheme="minorEastAsia" w:eastAsiaTheme="minorEastAsia" w:cstheme="minorEastAsia"/>
          <w:b w:val="0"/>
          <w:bCs w:val="0"/>
          <w:szCs w:val="21"/>
          <w:lang w:val="en-US" w:eastAsia="zh-CN"/>
        </w:rPr>
        <w:t>管理</w:t>
      </w:r>
      <w:r>
        <w:rPr>
          <w:rFonts w:hint="eastAsia" w:asciiTheme="minorEastAsia" w:hAnsiTheme="minorEastAsia" w:eastAsiaTheme="minorEastAsia" w:cstheme="minorEastAsia"/>
          <w:b w:val="0"/>
          <w:bCs w:val="0"/>
          <w:szCs w:val="21"/>
        </w:rPr>
        <w:t>委员会对</w:t>
      </w:r>
      <w:r>
        <w:rPr>
          <w:rFonts w:hint="eastAsia" w:asciiTheme="minorEastAsia" w:hAnsiTheme="minorEastAsia" w:eastAsiaTheme="minorEastAsia" w:cstheme="minorEastAsia"/>
          <w:b w:val="0"/>
          <w:bCs w:val="0"/>
          <w:szCs w:val="21"/>
          <w:lang w:val="en-US" w:eastAsia="zh-CN"/>
        </w:rPr>
        <w:t>中标</w:t>
      </w:r>
      <w:r>
        <w:rPr>
          <w:rFonts w:hint="eastAsia" w:asciiTheme="minorEastAsia" w:hAnsiTheme="minorEastAsia" w:eastAsiaTheme="minorEastAsia" w:cstheme="minorEastAsia"/>
          <w:b w:val="0"/>
          <w:bCs w:val="0"/>
          <w:szCs w:val="21"/>
        </w:rPr>
        <w:t>供应商</w:t>
      </w:r>
      <w:r>
        <w:rPr>
          <w:rFonts w:hint="eastAsia" w:asciiTheme="minorEastAsia" w:hAnsiTheme="minorEastAsia" w:eastAsiaTheme="minorEastAsia" w:cstheme="minorEastAsia"/>
          <w:b w:val="0"/>
          <w:bCs w:val="0"/>
          <w:szCs w:val="21"/>
          <w:lang w:val="en-US" w:eastAsia="zh-CN"/>
        </w:rPr>
        <w:t>存在</w:t>
      </w:r>
      <w:r>
        <w:rPr>
          <w:rFonts w:hint="eastAsia" w:asciiTheme="minorEastAsia" w:hAnsiTheme="minorEastAsia" w:eastAsiaTheme="minorEastAsia" w:cstheme="minorEastAsia"/>
          <w:b w:val="0"/>
          <w:bCs w:val="0"/>
          <w:szCs w:val="21"/>
        </w:rPr>
        <w:t>2次考核为不合格；</w:t>
      </w:r>
    </w:p>
    <w:p w14:paraId="4063665A">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5</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学校三分之一及以上家长或师生对学校食堂食材品质存在较大意见，强烈要求更换的（满意度调查可由学校自行通过网络问卷调查等多种方式、在服务期内任何时段进行）。</w:t>
      </w:r>
    </w:p>
    <w:p w14:paraId="0CE83DBE">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8.学校</w:t>
      </w:r>
      <w:r>
        <w:rPr>
          <w:rFonts w:hint="eastAsia" w:asciiTheme="minorEastAsia" w:hAnsiTheme="minorEastAsia" w:eastAsiaTheme="minorEastAsia" w:cstheme="minorEastAsia"/>
          <w:b w:val="0"/>
          <w:bCs w:val="0"/>
          <w:szCs w:val="21"/>
        </w:rPr>
        <w:t>可引进有资质的食品安全第三方监管单位对供应商配送的所有物资进行现场取样并进行相关项目检测，投标人必须无条件接受第三方监管单位的取样、检测等监管并认可第三方的检测结果。</w:t>
      </w:r>
    </w:p>
    <w:p w14:paraId="3429B5B6">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sz w:val="21"/>
          <w:szCs w:val="21"/>
        </w:rPr>
        <w:t>本次食堂食材配送货物对供应商的</w:t>
      </w:r>
      <w:r>
        <w:rPr>
          <w:rFonts w:hint="eastAsia" w:asciiTheme="minorEastAsia" w:hAnsiTheme="minorEastAsia" w:eastAsiaTheme="minorEastAsia" w:cstheme="minorEastAsia"/>
          <w:b/>
          <w:bCs/>
          <w:sz w:val="21"/>
          <w:szCs w:val="21"/>
          <w:lang w:val="en-US" w:eastAsia="zh-CN"/>
        </w:rPr>
        <w:t>配送服务及</w:t>
      </w:r>
      <w:r>
        <w:rPr>
          <w:rFonts w:hint="eastAsia" w:asciiTheme="minorEastAsia" w:hAnsiTheme="minorEastAsia" w:eastAsiaTheme="minorEastAsia" w:cstheme="minorEastAsia"/>
          <w:b/>
          <w:bCs/>
          <w:sz w:val="21"/>
          <w:szCs w:val="21"/>
        </w:rPr>
        <w:t>要求。</w:t>
      </w:r>
    </w:p>
    <w:p w14:paraId="13111DCC">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时间地点要求：</w:t>
      </w:r>
      <w:r>
        <w:rPr>
          <w:rFonts w:hint="eastAsia" w:asciiTheme="minorEastAsia" w:hAnsiTheme="minorEastAsia" w:eastAsiaTheme="minorEastAsia" w:cstheme="minorEastAsia"/>
          <w:color w:val="auto"/>
          <w:szCs w:val="21"/>
          <w:highlight w:val="none"/>
          <w:lang w:val="en-US" w:eastAsia="zh-CN"/>
        </w:rPr>
        <w:t>应当</w:t>
      </w:r>
      <w:r>
        <w:rPr>
          <w:rFonts w:hint="eastAsia" w:asciiTheme="minorEastAsia" w:hAnsiTheme="minorEastAsia" w:eastAsiaTheme="minorEastAsia" w:cstheme="minorEastAsia"/>
          <w:color w:val="auto"/>
          <w:szCs w:val="21"/>
          <w:highlight w:val="none"/>
        </w:rPr>
        <w:t>于当天</w:t>
      </w:r>
      <w:r>
        <w:rPr>
          <w:rFonts w:hint="eastAsia" w:asciiTheme="minorEastAsia" w:hAnsiTheme="minorEastAsia" w:eastAsiaTheme="minorEastAsia" w:cstheme="minorEastAsia"/>
          <w:color w:val="auto"/>
          <w:szCs w:val="21"/>
          <w:highlight w:val="none"/>
          <w:lang w:val="en-US" w:eastAsia="zh-CN"/>
        </w:rPr>
        <w:t>早上5时</w:t>
      </w:r>
      <w:r>
        <w:rPr>
          <w:rFonts w:hint="eastAsia" w:asciiTheme="minorEastAsia" w:hAnsiTheme="minorEastAsia" w:eastAsiaTheme="minorEastAsia" w:cstheme="minorEastAsia"/>
          <w:color w:val="auto"/>
          <w:szCs w:val="21"/>
          <w:highlight w:val="none"/>
        </w:rPr>
        <w:t>前将学校所订的货物送至指定地点（如遇特殊情况，学校可以改变送货时间，但应提前通知中标供应商），具体配送时间和地点以学校的实际需求为准。学校在合同履行过程中有权变更送货地点，中标供应商对此无条件配合。食材送达后，按照学校的要求进行分类清点，待食堂工作人员验收核对后送达学校指定位置。</w:t>
      </w:r>
    </w:p>
    <w:p w14:paraId="2C55D8F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具备符合食品安全要求及满足配送需要的仓储（自有或租赁深圳本地的配送场所、冷库及储存空间）、交通运输等设施设备，确保食材的安全储存和安全运输。</w:t>
      </w:r>
    </w:p>
    <w:p w14:paraId="78C1929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★提供的食材原料须为符合国家或行业最新食品质量安全标准的食材。</w:t>
      </w:r>
    </w:p>
    <w:p w14:paraId="1FA0F5F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★车辆要求：</w:t>
      </w:r>
    </w:p>
    <w:p w14:paraId="6A39820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中标人应根据食材的特点及具体运输要求，使用符合卫生要求的运输工具和容器运送食材，运输过程中应注意防尘、防雨、防晒、防污染，保证配送过程中所有的货品不致破损、不受污染以及不发生变质。凡需冷藏储存的食材，从储存环境到配送环节均需保持冷链完整性，配送时必须使用符合温度标准的冷藏车</w:t>
      </w:r>
      <w:r>
        <w:rPr>
          <w:rFonts w:hint="eastAsia" w:asciiTheme="minorEastAsia" w:hAnsiTheme="minorEastAsia" w:eastAsiaTheme="minorEastAsia" w:cstheme="minorEastAsia"/>
          <w:color w:val="auto"/>
          <w:szCs w:val="21"/>
          <w:highlight w:val="none"/>
        </w:rPr>
        <w:t>，冷藏车须为专用封闭式，车辆内部结构应平整、便于清洁，有温度控制设备，具备冷藏功能。</w:t>
      </w:r>
    </w:p>
    <w:p w14:paraId="311BD2EE">
      <w:pPr>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运输配送容器和车辆需安全、无害，应保持清洁卫生，无泥沙、灰尘、铁锈、水渍和油渍等，车厢的卫生条件能满足承运食品要求，车厢内无异物、无异味、无虫害。</w:t>
      </w:r>
      <w:r>
        <w:rPr>
          <w:rFonts w:hint="eastAsia" w:asciiTheme="minorEastAsia" w:hAnsiTheme="minorEastAsia" w:eastAsiaTheme="minorEastAsia" w:cstheme="minorEastAsia"/>
          <w:color w:val="auto"/>
          <w:szCs w:val="21"/>
          <w:highlight w:val="none"/>
        </w:rPr>
        <w:t>运输中防虫害、有害物质等的污染，不得靠近或接触有腐蚀性物质，不得与气味浓郁的物品混运。</w:t>
      </w:r>
    </w:p>
    <w:p w14:paraId="3DB214BE">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应根据食品的类型、特性、季节、运输距离等选择不同的运输车辆和运输路线，同一运输车辆运输不同食品及多点装卸食品时，应根据食品特性，做好分装、分离或分隔，并存放在符合食品贮存温度要求的区域。</w:t>
      </w:r>
    </w:p>
    <w:p w14:paraId="6C6B8F64">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在签订合同后需将投标文件中响应的“拟投入本项目车辆情况”备案至学校，使用备案车辆服务本项目，如有特殊情况需提前报备至配送学校。每日配送时需向学校提交配送车辆登记台账（含车牌号等信息），并经学校签字确认。同时通过信息化平台记录车辆配送轨迹信息，供学校查验。</w:t>
      </w:r>
    </w:p>
    <w:p w14:paraId="3EB04F1C">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凭专用通行证进出学校。</w:t>
      </w:r>
    </w:p>
    <w:p w14:paraId="421F5EEA">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为保障食材的新鲜程度、食品安全，中标供应商不得使用第三方公司配送，一经学校发现并查证，第一次从当月应支付的配送服务费中扣除5000元作为违约金，第二次从当月应支付的配送服务费中扣除10000元作为违约金，第三次</w:t>
      </w:r>
      <w:r>
        <w:rPr>
          <w:rFonts w:hint="eastAsia" w:asciiTheme="minorEastAsia" w:hAnsiTheme="minorEastAsia" w:eastAsiaTheme="minorEastAsia" w:cstheme="minorEastAsia"/>
          <w:color w:val="auto"/>
          <w:szCs w:val="21"/>
          <w:highlight w:val="none"/>
          <w:lang w:val="en-US" w:eastAsia="zh-CN"/>
        </w:rPr>
        <w:t>学校</w:t>
      </w:r>
      <w:r>
        <w:rPr>
          <w:rFonts w:hint="eastAsia" w:asciiTheme="minorEastAsia" w:hAnsiTheme="minorEastAsia" w:eastAsiaTheme="minorEastAsia" w:cstheme="minorEastAsia"/>
          <w:color w:val="auto"/>
          <w:szCs w:val="21"/>
          <w:highlight w:val="none"/>
        </w:rPr>
        <w:t>有权</w:t>
      </w:r>
      <w:r>
        <w:rPr>
          <w:rFonts w:hint="eastAsia" w:asciiTheme="minorEastAsia" w:hAnsiTheme="minorEastAsia" w:eastAsiaTheme="minorEastAsia" w:cstheme="minorEastAsia"/>
          <w:color w:val="auto"/>
          <w:szCs w:val="21"/>
          <w:highlight w:val="none"/>
          <w:lang w:val="en-US" w:eastAsia="zh-CN"/>
        </w:rPr>
        <w:t>单方面</w:t>
      </w:r>
      <w:r>
        <w:rPr>
          <w:rFonts w:hint="eastAsia" w:asciiTheme="minorEastAsia" w:hAnsiTheme="minorEastAsia" w:eastAsiaTheme="minorEastAsia" w:cstheme="minorEastAsia"/>
          <w:color w:val="auto"/>
          <w:szCs w:val="21"/>
          <w:highlight w:val="none"/>
        </w:rPr>
        <w:t>解除合同，供应商</w:t>
      </w:r>
      <w:r>
        <w:rPr>
          <w:rFonts w:hint="eastAsia" w:asciiTheme="minorEastAsia" w:hAnsiTheme="minorEastAsia" w:eastAsiaTheme="minorEastAsia" w:cstheme="minorEastAsia"/>
          <w:color w:val="auto"/>
          <w:szCs w:val="21"/>
          <w:highlight w:val="none"/>
          <w:lang w:val="en-US" w:eastAsia="zh-CN"/>
        </w:rPr>
        <w:t>承担由此</w:t>
      </w:r>
      <w:r>
        <w:rPr>
          <w:rFonts w:hint="eastAsia" w:asciiTheme="minorEastAsia" w:hAnsiTheme="minorEastAsia" w:eastAsiaTheme="minorEastAsia" w:cstheme="minorEastAsia"/>
          <w:color w:val="auto"/>
          <w:szCs w:val="21"/>
          <w:highlight w:val="none"/>
        </w:rPr>
        <w:t>带来的</w:t>
      </w:r>
      <w:r>
        <w:rPr>
          <w:rFonts w:hint="eastAsia" w:asciiTheme="minorEastAsia" w:hAnsiTheme="minorEastAsia" w:eastAsiaTheme="minorEastAsia" w:cstheme="minorEastAsia"/>
          <w:color w:val="auto"/>
          <w:szCs w:val="21"/>
          <w:highlight w:val="none"/>
          <w:lang w:val="en-US" w:eastAsia="zh-CN"/>
        </w:rPr>
        <w:t>所有</w:t>
      </w:r>
      <w:r>
        <w:rPr>
          <w:rFonts w:hint="eastAsia" w:asciiTheme="minorEastAsia" w:hAnsiTheme="minorEastAsia" w:eastAsiaTheme="minorEastAsia" w:cstheme="minorEastAsia"/>
          <w:color w:val="auto"/>
          <w:szCs w:val="21"/>
          <w:highlight w:val="none"/>
        </w:rPr>
        <w:t>后果。</w:t>
      </w:r>
    </w:p>
    <w:p w14:paraId="1BDDB541">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中标供应商提供配送服务的车辆需符合合法上路的要求，签订合同前需提供服务车辆的</w:t>
      </w:r>
      <w:r>
        <w:rPr>
          <w:rFonts w:hint="eastAsia" w:asciiTheme="minorEastAsia" w:hAnsiTheme="minorEastAsia" w:eastAsiaTheme="minorEastAsia" w:cstheme="minorEastAsia"/>
          <w:color w:val="auto"/>
          <w:szCs w:val="21"/>
          <w:highlight w:val="none"/>
          <w:lang w:val="en-US" w:eastAsia="zh-CN"/>
        </w:rPr>
        <w:t>车辆行驶证以及相关的</w:t>
      </w:r>
      <w:r>
        <w:rPr>
          <w:rFonts w:hint="eastAsia" w:asciiTheme="minorEastAsia" w:hAnsiTheme="minorEastAsia" w:eastAsiaTheme="minorEastAsia" w:cstheme="minorEastAsia"/>
          <w:color w:val="auto"/>
          <w:szCs w:val="21"/>
          <w:highlight w:val="none"/>
        </w:rPr>
        <w:t>道路运输证或道路运输经营许可证作为证明材料。</w:t>
      </w:r>
    </w:p>
    <w:p w14:paraId="169D777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鲜肉温度要求：全程冷链运输，配送过程中车厢温度为小于或等于8℃，到货后需提供温度监测记录。</w:t>
      </w:r>
    </w:p>
    <w:p w14:paraId="0B34B951">
      <w:pPr>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分车配送要求：鲜肉与鸡蛋必须使用完全独立的运输车辆分开配送，严禁同车混装，避免交叉污染及异味影响。</w:t>
      </w:r>
    </w:p>
    <w:p w14:paraId="3CA7FD4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10</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运输工具应清洁卫生无污染，食品运输必须采用符合卫生标准的外包装和运载工具，并且要保持清洁和定期消毒。所有散装食品，应分类包装并好做好密封措施，不能直接外露，防止交叉污染及环境污染。盛装工具（如萝筐等）必须保持洁净，无泥渍、污渍；盛装原材料的胶袋必须使用食品胶袋。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p>
    <w:p w14:paraId="3C3820BB">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中标供应商需针对本项目提供“</w:t>
      </w:r>
      <w:r>
        <w:rPr>
          <w:rFonts w:hint="eastAsia" w:asciiTheme="minorEastAsia" w:hAnsiTheme="minorEastAsia" w:eastAsiaTheme="minorEastAsia" w:cstheme="minorEastAsia"/>
          <w:color w:val="auto"/>
          <w:szCs w:val="21"/>
          <w:highlight w:val="none"/>
          <w:lang w:val="en-US" w:eastAsia="zh-CN"/>
        </w:rPr>
        <w:t>项目</w:t>
      </w:r>
      <w:r>
        <w:rPr>
          <w:rFonts w:hint="eastAsia" w:asciiTheme="minorEastAsia" w:hAnsiTheme="minorEastAsia" w:eastAsiaTheme="minorEastAsia" w:cstheme="minorEastAsia"/>
          <w:color w:val="auto"/>
          <w:szCs w:val="21"/>
          <w:highlight w:val="none"/>
        </w:rPr>
        <w:t>配送方案”，包括但不限于：①</w:t>
      </w:r>
      <w:r>
        <w:rPr>
          <w:rFonts w:hint="eastAsia" w:asciiTheme="minorEastAsia" w:hAnsiTheme="minorEastAsia" w:eastAsiaTheme="minorEastAsia" w:cstheme="minorEastAsia"/>
          <w:color w:val="auto"/>
          <w:szCs w:val="21"/>
          <w:highlight w:val="none"/>
          <w:lang w:val="en-US" w:eastAsia="zh-CN"/>
        </w:rPr>
        <w:t>供货时间安排</w:t>
      </w:r>
      <w:r>
        <w:rPr>
          <w:rFonts w:hint="eastAsia" w:asciiTheme="minorEastAsia" w:hAnsiTheme="minorEastAsia" w:eastAsiaTheme="minorEastAsia" w:cstheme="minorEastAsia"/>
          <w:color w:val="auto"/>
          <w:szCs w:val="21"/>
          <w:highlight w:val="none"/>
        </w:rPr>
        <w:t>；②</w:t>
      </w:r>
      <w:r>
        <w:rPr>
          <w:rFonts w:hint="eastAsia" w:asciiTheme="minorEastAsia" w:hAnsiTheme="minorEastAsia" w:eastAsiaTheme="minorEastAsia" w:cstheme="minorEastAsia"/>
          <w:color w:val="auto"/>
          <w:szCs w:val="21"/>
          <w:highlight w:val="none"/>
          <w:lang w:val="en-US" w:eastAsia="zh-CN"/>
        </w:rPr>
        <w:t>人员安排</w:t>
      </w:r>
      <w:r>
        <w:rPr>
          <w:rFonts w:hint="eastAsia" w:asciiTheme="minorEastAsia" w:hAnsiTheme="minorEastAsia" w:eastAsiaTheme="minorEastAsia" w:cstheme="minorEastAsia"/>
          <w:color w:val="auto"/>
          <w:szCs w:val="21"/>
          <w:highlight w:val="none"/>
        </w:rPr>
        <w:t>；③</w:t>
      </w:r>
      <w:r>
        <w:rPr>
          <w:rFonts w:hint="eastAsia" w:asciiTheme="minorEastAsia" w:hAnsiTheme="minorEastAsia" w:eastAsiaTheme="minorEastAsia" w:cstheme="minorEastAsia"/>
          <w:color w:val="auto"/>
          <w:szCs w:val="21"/>
          <w:highlight w:val="none"/>
          <w:lang w:val="en-US" w:eastAsia="zh-CN"/>
        </w:rPr>
        <w:t>设备配备</w:t>
      </w:r>
      <w:r>
        <w:rPr>
          <w:rFonts w:hint="eastAsia" w:asciiTheme="minorEastAsia" w:hAnsiTheme="minorEastAsia" w:eastAsiaTheme="minorEastAsia" w:cstheme="minorEastAsia"/>
          <w:color w:val="auto"/>
          <w:szCs w:val="21"/>
          <w:highlight w:val="none"/>
        </w:rPr>
        <w:t>；④</w:t>
      </w:r>
      <w:r>
        <w:rPr>
          <w:rFonts w:hint="eastAsia" w:asciiTheme="minorEastAsia" w:hAnsiTheme="minorEastAsia" w:eastAsiaTheme="minorEastAsia" w:cstheme="minorEastAsia"/>
          <w:color w:val="auto"/>
          <w:szCs w:val="21"/>
          <w:highlight w:val="none"/>
          <w:lang w:val="en-US" w:eastAsia="zh-CN"/>
        </w:rPr>
        <w:t>换货、调货安排</w:t>
      </w:r>
      <w:r>
        <w:rPr>
          <w:rFonts w:hint="eastAsia" w:asciiTheme="minorEastAsia" w:hAnsiTheme="minorEastAsia" w:eastAsiaTheme="minorEastAsia" w:cstheme="minorEastAsia"/>
          <w:color w:val="auto"/>
          <w:szCs w:val="21"/>
          <w:highlight w:val="none"/>
        </w:rPr>
        <w:t>。并在服务过程中严格按照方案执行。</w:t>
      </w:r>
    </w:p>
    <w:p w14:paraId="5F385999">
      <w:pPr>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6</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中标供应商需针对本项目提供“</w:t>
      </w:r>
      <w:r>
        <w:rPr>
          <w:rFonts w:hint="eastAsia" w:asciiTheme="minorEastAsia" w:hAnsiTheme="minorEastAsia" w:eastAsiaTheme="minorEastAsia" w:cstheme="minorEastAsia"/>
          <w:color w:val="auto"/>
          <w:szCs w:val="21"/>
          <w:highlight w:val="none"/>
          <w:lang w:val="en-US" w:eastAsia="zh-CN"/>
        </w:rPr>
        <w:t>项目管理</w:t>
      </w:r>
      <w:r>
        <w:rPr>
          <w:rFonts w:hint="eastAsia" w:asciiTheme="minorEastAsia" w:hAnsiTheme="minorEastAsia" w:eastAsiaTheme="minorEastAsia" w:cstheme="minorEastAsia"/>
          <w:color w:val="auto"/>
          <w:szCs w:val="21"/>
          <w:highlight w:val="none"/>
        </w:rPr>
        <w:t>方案”，包括但不限于：①货源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采购渠道管理</w:t>
      </w:r>
      <w:r>
        <w:rPr>
          <w:rFonts w:hint="eastAsia" w:asciiTheme="minorEastAsia" w:hAnsiTheme="minorEastAsia" w:eastAsiaTheme="minorEastAsia" w:cstheme="minorEastAsia"/>
          <w:color w:val="auto"/>
          <w:szCs w:val="21"/>
          <w:highlight w:val="none"/>
        </w:rPr>
        <w:t>；②</w:t>
      </w:r>
      <w:r>
        <w:rPr>
          <w:rFonts w:hint="eastAsia" w:asciiTheme="minorEastAsia" w:hAnsiTheme="minorEastAsia" w:eastAsiaTheme="minorEastAsia" w:cstheme="minorEastAsia"/>
          <w:color w:val="auto"/>
          <w:szCs w:val="21"/>
          <w:highlight w:val="none"/>
          <w:lang w:val="en-US" w:eastAsia="zh-CN"/>
        </w:rPr>
        <w:t>仓储管理</w:t>
      </w:r>
      <w:r>
        <w:rPr>
          <w:rFonts w:hint="eastAsia" w:asciiTheme="minorEastAsia" w:hAnsiTheme="minorEastAsia" w:eastAsiaTheme="minorEastAsia" w:cstheme="minorEastAsia"/>
          <w:color w:val="auto"/>
          <w:szCs w:val="21"/>
          <w:highlight w:val="none"/>
        </w:rPr>
        <w:t>；③</w:t>
      </w:r>
      <w:r>
        <w:rPr>
          <w:rFonts w:hint="eastAsia" w:asciiTheme="minorEastAsia" w:hAnsiTheme="minorEastAsia" w:eastAsiaTheme="minorEastAsia" w:cstheme="minorEastAsia"/>
          <w:color w:val="auto"/>
          <w:szCs w:val="21"/>
          <w:highlight w:val="none"/>
          <w:lang w:val="en-US" w:eastAsia="zh-CN"/>
        </w:rPr>
        <w:t>品质监控</w:t>
      </w:r>
      <w:r>
        <w:rPr>
          <w:rFonts w:hint="eastAsia" w:asciiTheme="minorEastAsia" w:hAnsiTheme="minorEastAsia" w:eastAsiaTheme="minorEastAsia" w:cstheme="minorEastAsia"/>
          <w:color w:val="auto"/>
          <w:szCs w:val="21"/>
          <w:highlight w:val="none"/>
        </w:rPr>
        <w:t>；④</w:t>
      </w:r>
      <w:r>
        <w:rPr>
          <w:rFonts w:hint="eastAsia" w:asciiTheme="minorEastAsia" w:hAnsiTheme="minorEastAsia" w:eastAsiaTheme="minorEastAsia" w:cstheme="minorEastAsia"/>
          <w:color w:val="auto"/>
          <w:szCs w:val="21"/>
          <w:highlight w:val="none"/>
          <w:lang w:val="en-US" w:eastAsia="zh-CN"/>
        </w:rPr>
        <w:t>运输管理</w:t>
      </w:r>
      <w:r>
        <w:rPr>
          <w:rFonts w:hint="eastAsia" w:asciiTheme="minorEastAsia" w:hAnsiTheme="minorEastAsia" w:eastAsiaTheme="minorEastAsia" w:cstheme="minorEastAsia"/>
          <w:color w:val="auto"/>
          <w:szCs w:val="21"/>
          <w:highlight w:val="none"/>
        </w:rPr>
        <w:t>。并在服务过程中严格按照方案执行。中标供应商需针对本项目提供</w:t>
      </w:r>
      <w:r>
        <w:rPr>
          <w:rFonts w:hint="eastAsia" w:asciiTheme="minorEastAsia" w:hAnsiTheme="minorEastAsia" w:eastAsiaTheme="minorEastAsia" w:cstheme="minorEastAsia"/>
          <w:color w:val="auto"/>
          <w:szCs w:val="21"/>
          <w:highlight w:val="none"/>
          <w:lang w:eastAsia="zh-CN"/>
        </w:rPr>
        <w:t>“</w:t>
      </w:r>
      <w:r>
        <w:rPr>
          <w:rFonts w:hint="eastAsia" w:ascii="宋体" w:hAnsi="宋体" w:eastAsia="宋体" w:cs="宋体"/>
          <w:kern w:val="2"/>
          <w:sz w:val="21"/>
          <w:szCs w:val="21"/>
          <w:lang w:eastAsia="zh-CN"/>
        </w:rPr>
        <w:t>规章管理制度</w:t>
      </w:r>
      <w:r>
        <w:rPr>
          <w:rFonts w:hint="default"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包括但不限于：</w:t>
      </w:r>
      <w:r>
        <w:rPr>
          <w:rFonts w:hint="eastAsia" w:ascii="宋体" w:hAnsi="宋体" w:eastAsia="宋体" w:cs="宋体"/>
          <w:kern w:val="2"/>
          <w:sz w:val="21"/>
          <w:szCs w:val="21"/>
          <w:lang w:eastAsia="zh-CN"/>
        </w:rPr>
        <w:t>①</w:t>
      </w:r>
      <w:r>
        <w:rPr>
          <w:rFonts w:hint="eastAsia" w:ascii="宋体" w:hAnsi="宋体" w:eastAsia="宋体" w:cs="宋体"/>
          <w:b w:val="0"/>
          <w:bCs w:val="0"/>
          <w:kern w:val="2"/>
          <w:sz w:val="21"/>
          <w:szCs w:val="21"/>
          <w:lang w:eastAsia="zh-CN"/>
        </w:rPr>
        <w:t>食品安全保障制度；</w:t>
      </w:r>
      <w:r>
        <w:rPr>
          <w:rFonts w:hint="eastAsia" w:ascii="宋体" w:hAnsi="宋体" w:eastAsia="宋体" w:cs="宋体"/>
          <w:kern w:val="2"/>
          <w:sz w:val="21"/>
          <w:szCs w:val="21"/>
          <w:lang w:eastAsia="zh-CN"/>
        </w:rPr>
        <w:t>②</w:t>
      </w:r>
      <w:r>
        <w:rPr>
          <w:rFonts w:hint="eastAsia" w:ascii="宋体" w:hAnsi="宋体" w:eastAsia="宋体" w:cs="宋体"/>
          <w:b w:val="0"/>
          <w:bCs w:val="0"/>
          <w:kern w:val="2"/>
          <w:sz w:val="21"/>
          <w:szCs w:val="21"/>
          <w:lang w:eastAsia="zh-CN"/>
        </w:rPr>
        <w:t>人员岗位职责；</w:t>
      </w:r>
      <w:r>
        <w:rPr>
          <w:rFonts w:hint="eastAsia" w:ascii="宋体" w:hAnsi="宋体" w:eastAsia="宋体" w:cs="宋体"/>
          <w:kern w:val="2"/>
          <w:sz w:val="21"/>
          <w:szCs w:val="21"/>
          <w:lang w:eastAsia="zh-CN"/>
        </w:rPr>
        <w:t>③</w:t>
      </w:r>
      <w:r>
        <w:rPr>
          <w:rFonts w:hint="eastAsia" w:ascii="宋体" w:hAnsi="宋体" w:eastAsia="宋体" w:cs="宋体"/>
          <w:b w:val="0"/>
          <w:bCs w:val="0"/>
          <w:kern w:val="2"/>
          <w:sz w:val="21"/>
          <w:szCs w:val="21"/>
          <w:lang w:eastAsia="zh-CN"/>
        </w:rPr>
        <w:t>操作规程；</w:t>
      </w:r>
      <w:r>
        <w:rPr>
          <w:rFonts w:hint="eastAsia" w:ascii="宋体" w:hAnsi="宋体" w:eastAsia="宋体" w:cs="宋体"/>
          <w:kern w:val="2"/>
          <w:sz w:val="21"/>
          <w:szCs w:val="21"/>
          <w:lang w:eastAsia="zh-CN"/>
        </w:rPr>
        <w:t>④</w:t>
      </w:r>
      <w:r>
        <w:rPr>
          <w:rFonts w:hint="eastAsia" w:ascii="宋体" w:hAnsi="宋体" w:eastAsia="宋体" w:cs="宋体"/>
          <w:b w:val="0"/>
          <w:bCs w:val="0"/>
          <w:kern w:val="2"/>
          <w:sz w:val="21"/>
          <w:szCs w:val="21"/>
          <w:lang w:eastAsia="zh-CN"/>
        </w:rPr>
        <w:t>劳动纪律和奖惩办法；</w:t>
      </w:r>
      <w:r>
        <w:rPr>
          <w:rFonts w:hint="eastAsia" w:ascii="宋体" w:hAnsi="宋体" w:eastAsia="宋体" w:cs="宋体"/>
          <w:kern w:val="2"/>
          <w:sz w:val="21"/>
          <w:szCs w:val="21"/>
          <w:lang w:eastAsia="zh-CN"/>
        </w:rPr>
        <w:t>⑤</w:t>
      </w:r>
      <w:r>
        <w:rPr>
          <w:rFonts w:hint="eastAsia" w:ascii="宋体" w:hAnsi="宋体" w:eastAsia="宋体" w:cs="宋体"/>
          <w:b w:val="0"/>
          <w:bCs w:val="0"/>
          <w:kern w:val="2"/>
          <w:sz w:val="21"/>
          <w:szCs w:val="21"/>
          <w:lang w:eastAsia="zh-CN"/>
        </w:rPr>
        <w:t>客户投诉反馈管理制度。</w:t>
      </w:r>
      <w:r>
        <w:rPr>
          <w:rFonts w:hint="eastAsia" w:asciiTheme="minorEastAsia" w:hAnsiTheme="minorEastAsia" w:eastAsiaTheme="minorEastAsia" w:cstheme="minorEastAsia"/>
          <w:color w:val="auto"/>
          <w:szCs w:val="21"/>
          <w:highlight w:val="none"/>
        </w:rPr>
        <w:t>并在服务过程中严格按照方案执行。</w:t>
      </w:r>
    </w:p>
    <w:p w14:paraId="738A247E">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中标供应商需针对本项目提供“应急方案”，包括但不限于：①</w:t>
      </w:r>
      <w:r>
        <w:rPr>
          <w:rFonts w:hint="eastAsia" w:asciiTheme="minorEastAsia" w:hAnsiTheme="minorEastAsia" w:eastAsiaTheme="minorEastAsia" w:cstheme="minorEastAsia"/>
          <w:color w:val="auto"/>
          <w:szCs w:val="21"/>
          <w:highlight w:val="none"/>
          <w:lang w:val="en-US" w:eastAsia="zh-CN"/>
        </w:rPr>
        <w:t>就餐人数浮动</w:t>
      </w:r>
      <w:r>
        <w:rPr>
          <w:rFonts w:hint="eastAsia" w:ascii="宋体" w:hAnsi="宋体" w:eastAsia="宋体" w:cs="宋体"/>
          <w:kern w:val="2"/>
          <w:sz w:val="21"/>
          <w:szCs w:val="21"/>
          <w:lang w:eastAsia="zh-CN"/>
        </w:rPr>
        <w:t>需增加配送份额或者临时配送需求、响应时间及配送时效解决方案</w:t>
      </w:r>
      <w:r>
        <w:rPr>
          <w:rFonts w:hint="eastAsia" w:asciiTheme="minorEastAsia" w:hAnsiTheme="minorEastAsia" w:eastAsiaTheme="minorEastAsia" w:cstheme="minorEastAsia"/>
          <w:color w:val="auto"/>
          <w:szCs w:val="21"/>
          <w:highlight w:val="none"/>
        </w:rPr>
        <w:t>；②</w:t>
      </w:r>
      <w:r>
        <w:rPr>
          <w:rFonts w:hint="eastAsia" w:ascii="宋体" w:hAnsi="宋体" w:eastAsia="宋体" w:cs="宋体"/>
          <w:kern w:val="2"/>
          <w:sz w:val="21"/>
          <w:szCs w:val="21"/>
          <w:lang w:eastAsia="zh-CN"/>
        </w:rPr>
        <w:t>遇台风、暴雨恶劣天气配送解决方案</w:t>
      </w:r>
      <w:r>
        <w:rPr>
          <w:rFonts w:hint="eastAsia" w:asciiTheme="minorEastAsia" w:hAnsiTheme="minorEastAsia" w:eastAsiaTheme="minorEastAsia" w:cstheme="minorEastAsia"/>
          <w:color w:val="auto"/>
          <w:szCs w:val="21"/>
          <w:highlight w:val="none"/>
        </w:rPr>
        <w:t>；③</w:t>
      </w:r>
      <w:r>
        <w:rPr>
          <w:rFonts w:hint="eastAsia" w:ascii="宋体" w:hAnsi="宋体" w:eastAsia="宋体" w:cs="宋体"/>
          <w:kern w:val="2"/>
          <w:sz w:val="21"/>
          <w:szCs w:val="21"/>
          <w:lang w:eastAsia="zh-CN"/>
        </w:rPr>
        <w:t>中标人所提供的肉菜质量不符合要求，需要更换问题菜品的解决方案</w:t>
      </w:r>
      <w:r>
        <w:rPr>
          <w:rFonts w:hint="eastAsia" w:asciiTheme="minorEastAsia" w:hAnsiTheme="minorEastAsia" w:eastAsiaTheme="minorEastAsia" w:cstheme="minorEastAsia"/>
          <w:color w:val="auto"/>
          <w:szCs w:val="21"/>
          <w:highlight w:val="none"/>
        </w:rPr>
        <w:t>；④</w:t>
      </w:r>
      <w:r>
        <w:rPr>
          <w:rFonts w:hint="eastAsia" w:ascii="宋体" w:hAnsi="宋体" w:eastAsia="宋体" w:cs="宋体"/>
          <w:kern w:val="2"/>
          <w:sz w:val="21"/>
          <w:szCs w:val="21"/>
          <w:lang w:eastAsia="zh-CN"/>
        </w:rPr>
        <w:t>采购单位食堂出现食品安全事故，供应商内部自检及善后处理问题解决方案</w:t>
      </w:r>
      <w:r>
        <w:rPr>
          <w:rFonts w:hint="eastAsia" w:asciiTheme="minorEastAsia" w:hAnsiTheme="minorEastAsia" w:eastAsiaTheme="minorEastAsia" w:cstheme="minorEastAsia"/>
          <w:color w:val="auto"/>
          <w:szCs w:val="21"/>
          <w:highlight w:val="none"/>
        </w:rPr>
        <w:t>；⑤</w:t>
      </w:r>
      <w:r>
        <w:rPr>
          <w:rFonts w:hint="eastAsia" w:ascii="宋体" w:hAnsi="宋体" w:eastAsia="宋体" w:cs="宋体"/>
          <w:kern w:val="2"/>
          <w:sz w:val="21"/>
          <w:szCs w:val="21"/>
          <w:lang w:eastAsia="zh-CN"/>
        </w:rPr>
        <w:t>认为其他应急事件解决方案</w:t>
      </w:r>
      <w:r>
        <w:rPr>
          <w:rFonts w:hint="eastAsia" w:asciiTheme="minorEastAsia" w:hAnsiTheme="minorEastAsia" w:eastAsiaTheme="minorEastAsia" w:cstheme="minorEastAsia"/>
          <w:color w:val="auto"/>
          <w:szCs w:val="21"/>
          <w:highlight w:val="none"/>
        </w:rPr>
        <w:t>。并在服务过程中严格按照方案执行。</w:t>
      </w:r>
    </w:p>
    <w:p w14:paraId="4584A280">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中标供应商提供应急供（换）货服务，迟到30分钟以内的，从当月货款中扣5000元；迟到30分钟以上的，从当月货款中扣10000元。因暴雨、台风、交通管制等不可抗力</w:t>
      </w:r>
      <w:r>
        <w:rPr>
          <w:rFonts w:hint="eastAsia" w:asciiTheme="minorEastAsia" w:hAnsiTheme="minorEastAsia" w:eastAsiaTheme="minorEastAsia" w:cstheme="minorEastAsia"/>
          <w:color w:val="auto"/>
          <w:szCs w:val="21"/>
          <w:highlight w:val="none"/>
          <w:lang w:val="en-US" w:eastAsia="zh-CN"/>
        </w:rPr>
        <w:t>因素</w:t>
      </w:r>
      <w:r>
        <w:rPr>
          <w:rFonts w:hint="eastAsia" w:asciiTheme="minorEastAsia" w:hAnsiTheme="minorEastAsia" w:eastAsiaTheme="minorEastAsia" w:cstheme="minorEastAsia"/>
          <w:color w:val="auto"/>
          <w:szCs w:val="21"/>
          <w:highlight w:val="none"/>
        </w:rPr>
        <w:t>除外。</w:t>
      </w:r>
    </w:p>
    <w:p w14:paraId="637B65B1">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★人员要求：</w:t>
      </w:r>
    </w:p>
    <w:p w14:paraId="1712C78F">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中标供应商须为本项目配备不少于</w:t>
      </w:r>
      <w:r>
        <w:rPr>
          <w:rFonts w:hint="eastAsia" w:asciiTheme="minorEastAsia" w:hAnsiTheme="minorEastAsia" w:eastAsiaTheme="minorEastAsia" w:cstheme="minorEastAsia"/>
          <w:color w:val="auto"/>
          <w:szCs w:val="21"/>
          <w:highlight w:val="none"/>
          <w:lang w:val="en-US" w:eastAsia="zh-CN"/>
        </w:rPr>
        <w:t>7人</w:t>
      </w:r>
      <w:r>
        <w:rPr>
          <w:rFonts w:hint="eastAsia" w:asciiTheme="minorEastAsia" w:hAnsiTheme="minorEastAsia" w:eastAsiaTheme="minorEastAsia" w:cstheme="minorEastAsia"/>
          <w:color w:val="auto"/>
          <w:szCs w:val="21"/>
          <w:highlight w:val="none"/>
        </w:rPr>
        <w:t>团队，团队成员均为在职员工。其中：</w:t>
      </w:r>
    </w:p>
    <w:p w14:paraId="7840E5DB">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1.1</w:t>
      </w:r>
      <w:r>
        <w:rPr>
          <w:rFonts w:hint="eastAsia" w:asciiTheme="minorEastAsia" w:hAnsiTheme="minorEastAsia" w:eastAsiaTheme="minorEastAsia" w:cstheme="minorEastAsia"/>
          <w:color w:val="auto"/>
          <w:szCs w:val="21"/>
          <w:highlight w:val="none"/>
        </w:rPr>
        <w:t>项目负责人1</w:t>
      </w:r>
      <w:r>
        <w:rPr>
          <w:rFonts w:hint="eastAsia" w:asciiTheme="minorEastAsia" w:hAnsiTheme="minorEastAsia" w:eastAsiaTheme="minorEastAsia" w:cstheme="minorEastAsia"/>
          <w:color w:val="auto"/>
          <w:szCs w:val="21"/>
          <w:highlight w:val="none"/>
          <w:lang w:val="en-US" w:eastAsia="zh-CN"/>
        </w:rPr>
        <w:t>人</w:t>
      </w:r>
      <w:r>
        <w:rPr>
          <w:rFonts w:hint="eastAsia" w:asciiTheme="minorEastAsia" w:hAnsiTheme="minorEastAsia" w:eastAsiaTheme="minorEastAsia" w:cstheme="minorEastAsia"/>
          <w:color w:val="auto"/>
          <w:szCs w:val="21"/>
          <w:highlight w:val="none"/>
        </w:rPr>
        <w:t>；</w:t>
      </w:r>
    </w:p>
    <w:p w14:paraId="55C29B2D">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1.2</w:t>
      </w:r>
      <w:r>
        <w:rPr>
          <w:rFonts w:hint="eastAsia" w:asciiTheme="minorEastAsia" w:hAnsiTheme="minorEastAsia" w:eastAsiaTheme="minorEastAsia" w:cstheme="minorEastAsia"/>
          <w:color w:val="auto"/>
          <w:szCs w:val="21"/>
          <w:highlight w:val="none"/>
        </w:rPr>
        <w:t>食品安全员</w:t>
      </w:r>
      <w:r>
        <w:rPr>
          <w:rFonts w:hint="eastAsia" w:asciiTheme="minorEastAsia" w:hAnsiTheme="minorEastAsia" w:eastAsiaTheme="minorEastAsia" w:cstheme="minorEastAsia"/>
          <w:color w:val="auto"/>
          <w:szCs w:val="21"/>
          <w:highlight w:val="none"/>
          <w:lang w:val="en-US" w:eastAsia="zh-CN"/>
        </w:rPr>
        <w:t>不少于1人</w:t>
      </w:r>
      <w:r>
        <w:rPr>
          <w:rFonts w:hint="eastAsia" w:asciiTheme="minorEastAsia" w:hAnsiTheme="minorEastAsia" w:eastAsiaTheme="minorEastAsia" w:cstheme="minorEastAsia"/>
          <w:color w:val="auto"/>
          <w:szCs w:val="21"/>
          <w:highlight w:val="none"/>
        </w:rPr>
        <w:t>；</w:t>
      </w:r>
    </w:p>
    <w:p w14:paraId="45D8C6F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1.3</w:t>
      </w:r>
      <w:r>
        <w:rPr>
          <w:rFonts w:hint="eastAsia" w:asciiTheme="minorEastAsia" w:hAnsiTheme="minorEastAsia" w:eastAsiaTheme="minorEastAsia" w:cstheme="minorEastAsia"/>
          <w:color w:val="auto"/>
          <w:szCs w:val="21"/>
          <w:highlight w:val="none"/>
        </w:rPr>
        <w:t>食品检验检测员</w:t>
      </w:r>
      <w:r>
        <w:rPr>
          <w:rFonts w:hint="eastAsia" w:asciiTheme="minorEastAsia" w:hAnsiTheme="minorEastAsia" w:eastAsiaTheme="minorEastAsia" w:cstheme="minorEastAsia"/>
          <w:color w:val="auto"/>
          <w:szCs w:val="21"/>
          <w:highlight w:val="none"/>
          <w:lang w:val="en-US" w:eastAsia="zh-CN"/>
        </w:rPr>
        <w:t>不少于1人</w:t>
      </w:r>
      <w:r>
        <w:rPr>
          <w:rFonts w:hint="eastAsia" w:asciiTheme="minorEastAsia" w:hAnsiTheme="minorEastAsia" w:eastAsiaTheme="minorEastAsia" w:cstheme="minorEastAsia"/>
          <w:color w:val="auto"/>
          <w:szCs w:val="21"/>
          <w:highlight w:val="none"/>
        </w:rPr>
        <w:t>；</w:t>
      </w:r>
    </w:p>
    <w:p w14:paraId="1ECD865F">
      <w:pPr>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1.4配送员不少于3人；</w:t>
      </w:r>
    </w:p>
    <w:p w14:paraId="21069990">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1.5</w:t>
      </w:r>
      <w:r>
        <w:rPr>
          <w:rFonts w:hint="eastAsia" w:asciiTheme="minorEastAsia" w:hAnsiTheme="minorEastAsia" w:eastAsiaTheme="minorEastAsia" w:cstheme="minorEastAsia"/>
          <w:color w:val="auto"/>
          <w:szCs w:val="21"/>
          <w:highlight w:val="none"/>
        </w:rPr>
        <w:t>指定1名员工专门负责学校下单食材对接配送事务，按食堂每天制订的采购单进行配送，该员工应相对固定，如更换，需提前三日通知学校并获得认可。</w:t>
      </w:r>
    </w:p>
    <w:p w14:paraId="2DDBC53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）合同服务期限内，中标供应商应依据学校实际需求提供食材初加工驻点服务。</w:t>
      </w:r>
      <w:r>
        <w:rPr>
          <w:rFonts w:hint="eastAsia" w:asciiTheme="minorEastAsia" w:hAnsiTheme="minorEastAsia" w:eastAsiaTheme="minorEastAsia" w:cstheme="minorEastAsia"/>
          <w:color w:val="auto"/>
          <w:szCs w:val="21"/>
          <w:highlight w:val="none"/>
          <w:lang w:val="en-US" w:eastAsia="zh-CN"/>
        </w:rPr>
        <w:t>配送员交完货后协助学校将所送货物归整摆放到指定位置，</w:t>
      </w:r>
      <w:r>
        <w:rPr>
          <w:rFonts w:hint="eastAsia" w:asciiTheme="minorEastAsia" w:hAnsiTheme="minorEastAsia" w:eastAsiaTheme="minorEastAsia" w:cstheme="minorEastAsia"/>
          <w:color w:val="auto"/>
          <w:szCs w:val="21"/>
          <w:highlight w:val="none"/>
        </w:rPr>
        <w:t>初加工岗位人员应于每日食材送达后，完成当日配送食材的初加工工作，完成当日工作任务后方可离岗。因食材初加工不当导致的质量、安全等问题，由中标供应商承担全部责任。学校可提供初加工操作场地。</w:t>
      </w:r>
    </w:p>
    <w:p w14:paraId="126E7D9B">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配送人员应为中标供应商的正式在职员工，持有食品从业人员健康证明，服从学校的食堂管理和工作调配。如食堂用餐人数和每日订菜数量发生变化，学校有权对配送员人数提出增减需求，中标供应商应对配送人员安排人数进行增减调配。但中标供应商应服从学校的管理，严格遵守国家的有关法律法规。</w:t>
      </w:r>
    </w:p>
    <w:p w14:paraId="0A6BFA9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中标供应商所有员工凭广东省食品从业人员健康证明上岗，遵守纪律、服从安排，确保能按时完成工作任务。</w:t>
      </w:r>
    </w:p>
    <w:p w14:paraId="16D1F163">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）中标供应商应做好本单位工作人员的教育工作，遵守配送区域入门岗和物品携带等各项规定。</w:t>
      </w:r>
    </w:p>
    <w:p w14:paraId="7C091768">
      <w:pPr>
        <w:numPr>
          <w:ilvl w:val="-1"/>
          <w:numId w:val="0"/>
        </w:num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10.</w:t>
      </w:r>
      <w:r>
        <w:rPr>
          <w:rFonts w:hint="eastAsia" w:asciiTheme="minorEastAsia" w:hAnsiTheme="minorEastAsia" w:eastAsiaTheme="minorEastAsia" w:cstheme="minorEastAsia"/>
          <w:color w:val="auto"/>
          <w:szCs w:val="21"/>
          <w:highlight w:val="none"/>
        </w:rPr>
        <w:t>★食品安全保障要求：</w:t>
      </w:r>
    </w:p>
    <w:p w14:paraId="6D2272A8">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中标供应商每次配送时，须同时提供本批次产品的食品出厂检验合格证明或者其他相关证明文件供</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查验。</w:t>
      </w:r>
    </w:p>
    <w:p w14:paraId="5A17DFBC">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中标供应商送货时需按照相关政策要求提供生鲜类产品的快检筛查检测，检测报告交</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查验。若不按要求送检和提交，将处以10000元罚款并由</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自行送检第三方，相关检测费用由中标供应商承担。为</w:t>
      </w:r>
      <w:r>
        <w:rPr>
          <w:rFonts w:hint="eastAsia" w:asciiTheme="minorEastAsia" w:hAnsiTheme="minorEastAsia" w:eastAsiaTheme="minorEastAsia" w:cstheme="minorEastAsia"/>
          <w:color w:val="auto"/>
          <w:szCs w:val="21"/>
          <w:highlight w:val="none"/>
          <w:lang w:eastAsia="zh-CN"/>
        </w:rPr>
        <w:t>方便学校管理</w:t>
      </w:r>
      <w:r>
        <w:rPr>
          <w:rFonts w:hint="eastAsia" w:asciiTheme="minorEastAsia" w:hAnsiTheme="minorEastAsia" w:eastAsiaTheme="minorEastAsia" w:cstheme="minorEastAsia"/>
          <w:color w:val="auto"/>
          <w:szCs w:val="21"/>
          <w:highlight w:val="none"/>
        </w:rPr>
        <w:t>，检测报告需做好品类索引。</w:t>
      </w:r>
    </w:p>
    <w:p w14:paraId="1FC4549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★信息化管理要求：</w:t>
      </w:r>
    </w:p>
    <w:p w14:paraId="443C8F94">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中标供应商须根据投标文件中响应的“信息化</w:t>
      </w:r>
      <w:r>
        <w:rPr>
          <w:rFonts w:hint="eastAsia" w:asciiTheme="minorEastAsia" w:hAnsiTheme="minorEastAsia" w:eastAsiaTheme="minorEastAsia" w:cstheme="minorEastAsia"/>
          <w:color w:val="auto"/>
          <w:szCs w:val="21"/>
          <w:highlight w:val="none"/>
          <w:lang w:val="en-US" w:eastAsia="zh-CN"/>
        </w:rPr>
        <w:t>能力</w:t>
      </w:r>
      <w:r>
        <w:rPr>
          <w:rFonts w:hint="eastAsia" w:asciiTheme="minorEastAsia" w:hAnsiTheme="minorEastAsia" w:eastAsiaTheme="minorEastAsia" w:cstheme="minorEastAsia"/>
          <w:color w:val="auto"/>
          <w:szCs w:val="21"/>
          <w:highlight w:val="none"/>
        </w:rPr>
        <w:t>”提供相关信息化服务，供</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查验。投标人应保证</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在使用该信息化管理服务平台或其任何一部分时，免受第三方提出的侵犯其专利权、商标权、著作权或其它知识产权的起诉。投标人保证所提供软件的合法性，所发生的任何知识产权纠纷与</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无关。若因为知识产权纠纷造成的一切损害赔偿及损失由投标人承担，包括但不限于实际损失、预期损失和对方要求赔偿损失及支出的律师费、交通费和差旅费等。</w:t>
      </w:r>
    </w:p>
    <w:p w14:paraId="6AF17B9E">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若经</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核实，中标供应商无法提供相应“信息化</w:t>
      </w:r>
      <w:r>
        <w:rPr>
          <w:rFonts w:hint="eastAsia" w:asciiTheme="minorEastAsia" w:hAnsiTheme="minorEastAsia" w:eastAsiaTheme="minorEastAsia" w:cstheme="minorEastAsia"/>
          <w:color w:val="auto"/>
          <w:szCs w:val="21"/>
          <w:highlight w:val="none"/>
          <w:lang w:val="en-US" w:eastAsia="zh-CN"/>
        </w:rPr>
        <w:t>能力</w:t>
      </w:r>
      <w:r>
        <w:rPr>
          <w:rFonts w:hint="eastAsia" w:asciiTheme="minorEastAsia" w:hAnsiTheme="minorEastAsia" w:eastAsiaTheme="minorEastAsia" w:cstheme="minorEastAsia"/>
          <w:color w:val="auto"/>
          <w:szCs w:val="21"/>
          <w:highlight w:val="none"/>
        </w:rPr>
        <w:t>”平台服务的，</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将从具体服务合同的当月配送服务费中扣除10000元作为违约金。当月应支付的配送服务费不足以支付违约金的，扣除对应具体服务合同当月全部配送服务费；</w:t>
      </w:r>
    </w:p>
    <w:p w14:paraId="7CC249BC">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配送食材可通过“深圳市食品安全追溯信用管理系统”全面、及时、准确上传追溯信息，确保相关品名、规格、批次等数据真实完整，确保配送食材来源可溯、质量可控。</w:t>
      </w:r>
    </w:p>
    <w:p w14:paraId="2A32A52B">
      <w:pPr>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sz w:val="21"/>
          <w:szCs w:val="21"/>
        </w:rPr>
        <w:t>中标供应商须开通“深圳市学校食堂智慧管理平台”账号，实现学校采购管理所需的货品查询、价格比对、商品下单、货品统计、送货清单及报账清单打印等业务；并按照其要求，上传食品安全台账等有关数据。</w:t>
      </w:r>
    </w:p>
    <w:p w14:paraId="2EF2F317">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食材可视学校实际需求酌情配送，但须确保学校食材优质、安全可靠。</w:t>
      </w:r>
    </w:p>
    <w:p w14:paraId="155EBDFA">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★因配送运输中出现人身安全事故，中标供应商独立承担一切刑事、民事责任，与</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无关。</w:t>
      </w:r>
    </w:p>
    <w:p w14:paraId="098C77F9">
      <w:pPr>
        <w:ind w:left="0" w:leftChars="0" w:firstLine="422" w:firstLineChars="20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rPr>
        <w:t>1</w:t>
      </w:r>
      <w:r>
        <w:rPr>
          <w:rFonts w:hint="eastAsia" w:asciiTheme="minorEastAsia" w:hAnsiTheme="minorEastAsia" w:eastAsiaTheme="minorEastAsia" w:cstheme="minorEastAsia"/>
          <w:b/>
          <w:bCs/>
          <w:color w:val="FF0000"/>
          <w:szCs w:val="21"/>
          <w:highlight w:val="none"/>
          <w:lang w:val="en-US" w:eastAsia="zh-CN"/>
        </w:rPr>
        <w:t>4</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★供应商承诺包括但不限于：</w:t>
      </w:r>
    </w:p>
    <w:p w14:paraId="3A36FD15">
      <w:pPr>
        <w:ind w:firstLine="422" w:firstLineChars="20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1</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我单位承诺：如我单位中标，保证中标后10个工作日内提供评分细则中所有证明文件原件，供</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审核。</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2</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随时对我单位的场所及我单位服务的其他食材配送项目进行实地考察，如发现我单位有存在提供虚假证明材料、重大食品安全问题、严重违反合同约定或其他违法违规情形的，我单位将无条件放弃中标资格，并承担由此产生的一切法律责任及赔偿责任。同时，</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有权终止合同，并按照相关规定追究我单位责任。</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3</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我单位承诺：我单位已充分知悉项目的服务内容、范围等要求，并合理预估自身的服务能力参与本项目投标。中标后不得出现因服务能力不足、非不可抗力等因素提出放弃中标资格或向</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主动提出解除合同的。</w:t>
      </w:r>
    </w:p>
    <w:p w14:paraId="6774036D">
      <w:pPr>
        <w:ind w:firstLine="422" w:firstLineChars="200"/>
        <w:rPr>
          <w:rFonts w:hint="eastAsia" w:asciiTheme="minorEastAsia" w:hAnsiTheme="minorEastAsia" w:eastAsiaTheme="minorEastAsia" w:cstheme="minorEastAsia"/>
          <w:b/>
          <w:bCs/>
          <w:color w:val="FF0000"/>
          <w:szCs w:val="21"/>
        </w:rPr>
      </w:pPr>
      <w:r>
        <w:rPr>
          <w:rFonts w:hint="eastAsia" w:asciiTheme="minorEastAsia" w:hAnsiTheme="minorEastAsia" w:eastAsiaTheme="minorEastAsia" w:cstheme="minorEastAsia"/>
          <w:b/>
          <w:bCs/>
          <w:color w:val="FF0000"/>
          <w:szCs w:val="21"/>
          <w:highlight w:val="none"/>
        </w:rPr>
        <w:t>供应商如违反上述承诺，</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将有权报主管部门进行处罚。</w:t>
      </w:r>
    </w:p>
    <w:p w14:paraId="20C870A2">
      <w:pPr>
        <w:ind w:firstLine="422" w:firstLineChars="200"/>
        <w:rPr>
          <w:rFonts w:hint="eastAsia" w:asciiTheme="minorEastAsia" w:hAnsiTheme="minorEastAsia" w:eastAsiaTheme="minorEastAsia" w:cstheme="minorEastAsia"/>
          <w:b/>
          <w:bCs/>
          <w:color w:val="FF0000"/>
          <w:sz w:val="21"/>
          <w:szCs w:val="21"/>
          <w:lang w:val="en-US" w:eastAsia="zh-CN"/>
        </w:rPr>
      </w:pPr>
      <w:r>
        <w:rPr>
          <w:rFonts w:hint="eastAsia" w:asciiTheme="minorEastAsia" w:hAnsiTheme="minorEastAsia" w:eastAsiaTheme="minorEastAsia" w:cstheme="minorEastAsia"/>
          <w:b/>
          <w:bCs/>
          <w:color w:val="FF0000"/>
          <w:sz w:val="21"/>
          <w:szCs w:val="21"/>
          <w:lang w:val="en-US" w:eastAsia="zh-CN"/>
        </w:rPr>
        <w:t>（投标人提供承诺函，格式自拟）</w:t>
      </w:r>
    </w:p>
    <w:p w14:paraId="13887265">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（七）</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sz w:val="21"/>
          <w:szCs w:val="21"/>
          <w:lang w:val="en-US" w:eastAsia="zh-CN"/>
        </w:rPr>
        <w:t>供应商</w:t>
      </w:r>
      <w:r>
        <w:rPr>
          <w:rFonts w:hint="eastAsia" w:asciiTheme="minorEastAsia" w:hAnsiTheme="minorEastAsia" w:eastAsiaTheme="minorEastAsia" w:cstheme="minorEastAsia"/>
          <w:b/>
          <w:bCs/>
          <w:sz w:val="21"/>
          <w:szCs w:val="21"/>
        </w:rPr>
        <w:t>管理要求</w:t>
      </w:r>
    </w:p>
    <w:p w14:paraId="4DDC44B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供应商使用方式及考核制度</w:t>
      </w:r>
    </w:p>
    <w:p w14:paraId="6889AD62">
      <w:pPr>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val="en-US" w:eastAsia="zh-CN"/>
        </w:rPr>
        <w:t>学校</w:t>
      </w:r>
      <w:r>
        <w:rPr>
          <w:rFonts w:hint="eastAsia" w:asciiTheme="minorEastAsia" w:hAnsiTheme="minorEastAsia" w:eastAsiaTheme="minorEastAsia" w:cstheme="minorEastAsia"/>
          <w:color w:val="auto"/>
          <w:szCs w:val="21"/>
        </w:rPr>
        <w:t>与本项目中标供应商签订配送服务合同。</w:t>
      </w:r>
    </w:p>
    <w:p w14:paraId="4D502D8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（2）实施月度考评、</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度考评的考核机制，考核办法详见“（</w:t>
      </w:r>
      <w:r>
        <w:rPr>
          <w:rFonts w:hint="eastAsia" w:asciiTheme="minorEastAsia" w:hAnsiTheme="minorEastAsia" w:eastAsiaTheme="minorEastAsia" w:cstheme="minorEastAsia"/>
          <w:szCs w:val="21"/>
          <w:lang w:val="en-US" w:eastAsia="zh-CN"/>
        </w:rPr>
        <w:t>十</w:t>
      </w:r>
      <w:r>
        <w:rPr>
          <w:rFonts w:hint="eastAsia" w:asciiTheme="minorEastAsia" w:hAnsiTheme="minorEastAsia" w:eastAsiaTheme="minorEastAsia" w:cstheme="minorEastAsia"/>
          <w:szCs w:val="21"/>
        </w:rPr>
        <w:t>）供应商服务综合评议制度”。</w:t>
      </w:r>
    </w:p>
    <w:p w14:paraId="36C36AB6">
      <w:pPr>
        <w:ind w:firstLine="420" w:firstLineChars="20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（3）学校设立供应商评议考核小组，具体负责供应商的评议考核工作。</w:t>
      </w:r>
      <w:r>
        <w:rPr>
          <w:rFonts w:hint="eastAsia" w:asciiTheme="minorEastAsia" w:hAnsiTheme="minorEastAsia" w:eastAsiaTheme="minorEastAsia" w:cstheme="minorEastAsia"/>
          <w:szCs w:val="21"/>
          <w:lang w:val="en-US" w:eastAsia="zh-CN"/>
        </w:rPr>
        <w:t xml:space="preserve">            </w:t>
      </w:r>
    </w:p>
    <w:p w14:paraId="622AA15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对供应商的其他相关要求</w:t>
      </w:r>
    </w:p>
    <w:p w14:paraId="4F539EA5">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（1）必须依据国家有关法律法规要求建立健全各项管理制度，保证食品安全，有明确的食品安全责任人。因所供货物质量原因导致发生食品安全事故，除终止采购供应合同外，中标供应商还需赔偿</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救治经费及误工损失。</w:t>
      </w:r>
    </w:p>
    <w:p w14:paraId="4A6FA5F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（2）按合同约定的标的供货，中标供应商不得转包、分包，否则</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有权终止合同，中标供应商承担由此造成的</w:t>
      </w:r>
      <w:r>
        <w:rPr>
          <w:rFonts w:hint="eastAsia" w:asciiTheme="minorEastAsia" w:hAnsiTheme="minorEastAsia" w:eastAsiaTheme="minorEastAsia" w:cstheme="minorEastAsia"/>
          <w:szCs w:val="21"/>
          <w:lang w:val="en-US" w:eastAsia="zh-CN"/>
        </w:rPr>
        <w:t>所有</w:t>
      </w:r>
      <w:r>
        <w:rPr>
          <w:rFonts w:hint="eastAsia" w:asciiTheme="minorEastAsia" w:hAnsiTheme="minorEastAsia" w:eastAsiaTheme="minorEastAsia" w:cstheme="minorEastAsia"/>
          <w:szCs w:val="21"/>
        </w:rPr>
        <w:t>损失。</w:t>
      </w:r>
    </w:p>
    <w:p w14:paraId="12792B2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中标供应商应严格按招标要求（含品种、质量等）供应，不得变更供应商品，否则，学校有权退货。应严格按学校要求（含名称、产地、规格和重量等）供应，否则，学校有权拒收。如学校对货物验收不合格导致退货的，中标供应商必须于当日内安排重新送货上门。若因特殊情况（如商家停产或天气因素等）确实需要变更的个别商品，经学校同意，必须以质量较高的同类商品代替，不得未经学校同意私自更改供货单。</w:t>
      </w:r>
    </w:p>
    <w:p w14:paraId="3C2F7C6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中标供应商除不可抗力，不得因其他任何理由延迟送货。学校如遇特殊情况需推迟送货，应提前通知中标供应商。因中标供应商原因延误交货日期的（学校要求推迟的除外），由中标供应商承担由此产生的一切损失和费用。</w:t>
      </w:r>
    </w:p>
    <w:p w14:paraId="589C5EF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（5）学校对货物进行认真验收，对不符合规格要求的商品，中标供应商必须无条件退货。中标供应商未能履行招标文件和合同所定事项, 或供应不合格的、假冒伪劣、以次充好的商品，学校退货后将记录在案，并对中标供应商予以处罚，除要承担因此产生的一切损失和费用外，情节严重的可终止其采购供应合同。</w:t>
      </w:r>
    </w:p>
    <w:p w14:paraId="39B946E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（6）中标供应商每次随货送上一式四份的送货清单,供双方验货后签字确认，中标供应商一份，学校持三份，作为送、收货的凭证。</w:t>
      </w:r>
    </w:p>
    <w:p w14:paraId="1E3691E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（7）结算货款时，中标供应商须提供送货清单和国家正规的电子发票，应由学校财务人员严格审核送货清单。</w:t>
      </w:r>
    </w:p>
    <w:p w14:paraId="021C468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szCs w:val="21"/>
        </w:rPr>
        <w:t>食品溯源要求：对食品供应链进行明确，所有食品的来源必须清晰，尽量使用。生产食品的源头与供应商要有固定的合法的供应关系，严禁收购非标准产品供应。验收须按国家标准。供应商应保存以下资料：</w:t>
      </w:r>
    </w:p>
    <w:p w14:paraId="2BF1679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8.1</w:t>
      </w:r>
      <w:r>
        <w:rPr>
          <w:rFonts w:hint="eastAsia" w:asciiTheme="minorEastAsia" w:hAnsiTheme="minorEastAsia" w:eastAsiaTheme="minorEastAsia" w:cstheme="minorEastAsia"/>
          <w:szCs w:val="21"/>
        </w:rPr>
        <w:t>供应商与生产企业的销售合同；</w:t>
      </w:r>
    </w:p>
    <w:p w14:paraId="514C817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lang w:val="en-US" w:eastAsia="zh-CN"/>
        </w:rPr>
        <w:t>8.2</w:t>
      </w:r>
      <w:r>
        <w:rPr>
          <w:rFonts w:hint="eastAsia" w:asciiTheme="minorEastAsia" w:hAnsiTheme="minorEastAsia" w:eastAsiaTheme="minorEastAsia" w:cstheme="minorEastAsia"/>
          <w:szCs w:val="21"/>
        </w:rPr>
        <w:t>生产企业的送货单和销售发票；</w:t>
      </w:r>
    </w:p>
    <w:p w14:paraId="17F8A03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lang w:val="en-US" w:eastAsia="zh-CN"/>
        </w:rPr>
        <w:t>8.3</w:t>
      </w:r>
      <w:r>
        <w:rPr>
          <w:rFonts w:hint="eastAsia" w:asciiTheme="minorEastAsia" w:hAnsiTheme="minorEastAsia" w:eastAsiaTheme="minorEastAsia" w:cstheme="minorEastAsia"/>
          <w:szCs w:val="21"/>
        </w:rPr>
        <w:t>供应商与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的采购合同及送货单据、销售发票。</w:t>
      </w:r>
    </w:p>
    <w:p w14:paraId="208E002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（9）交货要求：</w:t>
      </w:r>
    </w:p>
    <w:p w14:paraId="1BA450C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提供的食材必须为新鲜、经检验合格的产品。</w:t>
      </w:r>
    </w:p>
    <w:p w14:paraId="06F1524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（10）中标单位应随时按</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要求提供各类货物清晰准确的原产地以及检测报告。</w:t>
      </w:r>
    </w:p>
    <w:p w14:paraId="2EEED39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（11）临时加货处理：</w:t>
      </w:r>
    </w:p>
    <w:p w14:paraId="6764595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对于学校临时有接待餐任务或临时增加员工用餐时，中标供应商需快速将货物送到学校的指定地点，派专人负责跟踪服务，保证用餐正常。</w:t>
      </w:r>
    </w:p>
    <w:p w14:paraId="6402D53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在配送过程中，学校对所供食材有任何意见，可随时向中标供应商反映，中标供应商应及时改进，否则，</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有权终止其采购供应合同。</w:t>
      </w:r>
    </w:p>
    <w:p w14:paraId="5BF16CB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（12）因配送运输中出现人身安全事故，中标供应商独立承担一切刑事、民事责任，与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无关。</w:t>
      </w:r>
    </w:p>
    <w:p w14:paraId="556AAA1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如果因供应商所供货的食品造成学校就餐人员食物中毒的，经卫生防疫部门鉴定，属于供应商责任，供应商须承担全部法律责任并作出全部的经济赔偿。供应商的粗加工人员和配送人员在服务过程中如遇到人员安全事故由供应商负全部责任，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无关。</w:t>
      </w:r>
    </w:p>
    <w:p w14:paraId="3A1CD64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（14）若因中标单位没有</w:t>
      </w:r>
      <w:r>
        <w:rPr>
          <w:rFonts w:hint="eastAsia" w:asciiTheme="minorEastAsia" w:hAnsiTheme="minorEastAsia" w:eastAsiaTheme="minorEastAsia" w:cstheme="minorEastAsia"/>
          <w:szCs w:val="21"/>
          <w:lang w:val="en-US" w:eastAsia="zh-CN"/>
        </w:rPr>
        <w:t>及时</w:t>
      </w:r>
      <w:r>
        <w:rPr>
          <w:rFonts w:hint="eastAsia" w:asciiTheme="minorEastAsia" w:hAnsiTheme="minorEastAsia" w:eastAsiaTheme="minorEastAsia" w:cstheme="minorEastAsia"/>
          <w:szCs w:val="21"/>
        </w:rPr>
        <w:t>送</w:t>
      </w:r>
      <w:r>
        <w:rPr>
          <w:rFonts w:hint="eastAsia" w:asciiTheme="minorEastAsia" w:hAnsiTheme="minorEastAsia" w:eastAsiaTheme="minorEastAsia" w:cstheme="minorEastAsia"/>
          <w:szCs w:val="21"/>
          <w:lang w:val="en-US" w:eastAsia="zh-CN"/>
        </w:rPr>
        <w:t>食材</w:t>
      </w:r>
      <w:r>
        <w:rPr>
          <w:rFonts w:hint="eastAsia" w:asciiTheme="minorEastAsia" w:hAnsiTheme="minorEastAsia" w:eastAsiaTheme="minorEastAsia" w:cstheme="minorEastAsia"/>
          <w:szCs w:val="21"/>
        </w:rPr>
        <w:t>导致</w:t>
      </w:r>
      <w:r>
        <w:rPr>
          <w:rFonts w:hint="eastAsia" w:asciiTheme="minorEastAsia" w:hAnsiTheme="minorEastAsia" w:eastAsiaTheme="minorEastAsia" w:cstheme="minorEastAsia"/>
          <w:szCs w:val="21"/>
          <w:lang w:val="en-US" w:eastAsia="zh-CN"/>
        </w:rPr>
        <w:t>开</w:t>
      </w:r>
      <w:r>
        <w:rPr>
          <w:rFonts w:hint="eastAsia" w:asciiTheme="minorEastAsia" w:hAnsiTheme="minorEastAsia" w:eastAsiaTheme="minorEastAsia" w:cstheme="minorEastAsia"/>
          <w:szCs w:val="21"/>
        </w:rPr>
        <w:t>餐点无法正常开餐，中标单位应承担</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误餐的全部责任。</w:t>
      </w:r>
    </w:p>
    <w:p w14:paraId="4AC76DFB">
      <w:pPr>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 w:val="21"/>
          <w:szCs w:val="21"/>
          <w:lang w:val="en-US" w:eastAsia="zh-CN"/>
        </w:rPr>
        <w:t>（八）</w:t>
      </w:r>
      <w:r>
        <w:rPr>
          <w:rFonts w:hint="eastAsia" w:asciiTheme="minorEastAsia" w:hAnsiTheme="minorEastAsia" w:eastAsiaTheme="minorEastAsia" w:cstheme="minorEastAsia"/>
          <w:b/>
          <w:bCs/>
          <w:sz w:val="21"/>
          <w:szCs w:val="21"/>
        </w:rPr>
        <w:t>供应商退出机制</w:t>
      </w:r>
    </w:p>
    <w:p w14:paraId="4B3BE8A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1.中标供应商有下列行为之一的，经查实，</w:t>
      </w:r>
      <w:r>
        <w:rPr>
          <w:rFonts w:hint="eastAsia"/>
          <w:lang w:val="en-US" w:eastAsia="zh-CN"/>
        </w:rPr>
        <w:t>上报主管部门处理</w:t>
      </w:r>
      <w:r>
        <w:rPr>
          <w:rFonts w:hint="eastAsia" w:asciiTheme="minorEastAsia" w:hAnsiTheme="minorEastAsia" w:eastAsiaTheme="minorEastAsia" w:cstheme="minorEastAsia"/>
          <w:szCs w:val="21"/>
        </w:rPr>
        <w:t>：</w:t>
      </w:r>
    </w:p>
    <w:p w14:paraId="49A11BE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（1）弄虚作假、隐瞒真实情况骗取中标的；</w:t>
      </w:r>
    </w:p>
    <w:p w14:paraId="3010467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（2）向采购项目相关人行贿或者提供其他不正当利益、受贿、串通投标、转包、挂靠的；</w:t>
      </w:r>
    </w:p>
    <w:p w14:paraId="38FC631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（3）恶意投诉的；</w:t>
      </w:r>
    </w:p>
    <w:p w14:paraId="3F6627B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（4）因其公司资质降低达不到入围供应商资质条件的，或被行业主管部门责令停业或取消资质的；</w:t>
      </w:r>
    </w:p>
    <w:p w14:paraId="6C9313A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（5）造成严重后果或恶劣影响的行为；</w:t>
      </w:r>
    </w:p>
    <w:p w14:paraId="45472E1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（6）有商业贿赂行为的；</w:t>
      </w:r>
    </w:p>
    <w:p w14:paraId="000947F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（7）其他违反法律、法规和协议规定的行为。</w:t>
      </w:r>
    </w:p>
    <w:p w14:paraId="4D6F1AF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2.供应商在合同执行期间，出现以下行为情况之一者，经查属实的，</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将有权终止其学校</w:t>
      </w:r>
      <w:r>
        <w:rPr>
          <w:rFonts w:hint="eastAsia" w:asciiTheme="minorEastAsia" w:hAnsiTheme="minorEastAsia" w:eastAsiaTheme="minorEastAsia" w:cstheme="minorEastAsia"/>
          <w:szCs w:val="21"/>
          <w:lang w:val="en-US" w:eastAsia="zh-CN"/>
        </w:rPr>
        <w:t>食堂</w:t>
      </w:r>
      <w:r>
        <w:rPr>
          <w:rFonts w:hint="eastAsia" w:asciiTheme="minorEastAsia" w:hAnsiTheme="minorEastAsia" w:eastAsiaTheme="minorEastAsia" w:cstheme="minorEastAsia"/>
          <w:szCs w:val="21"/>
        </w:rPr>
        <w:t>食材采购配送</w:t>
      </w:r>
      <w:r>
        <w:rPr>
          <w:rFonts w:hint="eastAsia" w:asciiTheme="minorEastAsia" w:hAnsiTheme="minorEastAsia" w:eastAsiaTheme="minorEastAsia" w:cstheme="minorEastAsia"/>
          <w:szCs w:val="21"/>
          <w:lang w:val="en-US" w:eastAsia="zh-CN"/>
        </w:rPr>
        <w:t>服务</w:t>
      </w:r>
      <w:r>
        <w:rPr>
          <w:rFonts w:hint="eastAsia" w:asciiTheme="minorEastAsia" w:hAnsiTheme="minorEastAsia" w:eastAsiaTheme="minorEastAsia" w:cstheme="minorEastAsia"/>
          <w:szCs w:val="21"/>
        </w:rPr>
        <w:t>合同，启动候补机制预案：</w:t>
      </w:r>
    </w:p>
    <w:p w14:paraId="13DA68E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（1）中标后无正当理由，不按照规定与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签订合同的；</w:t>
      </w:r>
    </w:p>
    <w:p w14:paraId="5894F25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（2）擅自变更或者中止采购服务合同的；</w:t>
      </w:r>
    </w:p>
    <w:p w14:paraId="0B329AD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（3）不按采购需求、投标文件以及采购服务合同要求全面履约，履约情况评价不合格的；</w:t>
      </w:r>
    </w:p>
    <w:p w14:paraId="5C9D538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（4）未按规定出具检测报告或违背招标承诺书等情况达到二次的；</w:t>
      </w:r>
    </w:p>
    <w:p w14:paraId="4F6F560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（5）不按招标文件等要求规定，发现 3 次以上虚假报价的；</w:t>
      </w:r>
    </w:p>
    <w:p w14:paraId="6B3A524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（6）物资或服务以次充好，存在严重质量问题的；</w:t>
      </w:r>
    </w:p>
    <w:p w14:paraId="3290C71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（7）因供应的货物质量达不到国家有关食品安全标准而造成食物中毒或其它后果，属于供货方（配送单位）责任的；</w:t>
      </w:r>
    </w:p>
    <w:p w14:paraId="6460982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（8）经2次以上（含2次）的有效投诉处理仍不纠正的，有效投诉指的是供应商被投诉内容经查实确定为违反服务合同或其他协议规定的事实；</w:t>
      </w:r>
    </w:p>
    <w:p w14:paraId="2D3E350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（9）因货品质量或其他原因而造成严重后果或恶劣影响的行为；</w:t>
      </w:r>
    </w:p>
    <w:p w14:paraId="7A7EC7C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r>
        <w:rPr>
          <w:rFonts w:hint="eastAsia" w:asciiTheme="minorEastAsia" w:hAnsiTheme="minorEastAsia" w:eastAsiaTheme="minorEastAsia" w:cstheme="minorEastAsia"/>
          <w:szCs w:val="21"/>
          <w:lang w:val="en-US" w:eastAsia="zh-CN"/>
        </w:rPr>
        <w:t>在每月考评中，达到</w:t>
      </w:r>
      <w:r>
        <w:rPr>
          <w:rFonts w:hint="eastAsia" w:asciiTheme="minorEastAsia" w:hAnsiTheme="minorEastAsia" w:eastAsiaTheme="minorEastAsia" w:cstheme="minorEastAsia"/>
          <w:szCs w:val="21"/>
        </w:rPr>
        <w:t>两次</w:t>
      </w:r>
      <w:r>
        <w:rPr>
          <w:rFonts w:hint="eastAsia" w:asciiTheme="minorEastAsia" w:hAnsiTheme="minorEastAsia" w:eastAsiaTheme="minorEastAsia" w:cstheme="minorEastAsia"/>
          <w:szCs w:val="21"/>
          <w:lang w:val="en-US" w:eastAsia="zh-CN"/>
        </w:rPr>
        <w:t>及以上</w:t>
      </w:r>
      <w:r>
        <w:rPr>
          <w:rFonts w:hint="eastAsia" w:asciiTheme="minorEastAsia" w:hAnsiTheme="minorEastAsia" w:eastAsiaTheme="minorEastAsia" w:cstheme="minorEastAsia"/>
          <w:szCs w:val="21"/>
        </w:rPr>
        <w:t>综合评议结果为不满意的；</w:t>
      </w:r>
    </w:p>
    <w:p w14:paraId="2700391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（11）非法手段排斥其他供应商参与竞争的；</w:t>
      </w:r>
    </w:p>
    <w:p w14:paraId="04D90CD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（12）拖欠工人工资、经劳动或其他政府部门催告或通报仍不清偿的；</w:t>
      </w:r>
    </w:p>
    <w:p w14:paraId="774BC9C2">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（13）拒绝有关部门检查或者不如实反映情况，提供材料的；</w:t>
      </w:r>
    </w:p>
    <w:p w14:paraId="356B8E0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（14）无正当理由，不接受或拒绝</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订货、供货要求的；</w:t>
      </w:r>
    </w:p>
    <w:p w14:paraId="01225F2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（15）在合同期内有三次以上被抽检不合格的；</w:t>
      </w:r>
    </w:p>
    <w:p w14:paraId="79856CD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w:t>
      </w:r>
      <w:r>
        <w:rPr>
          <w:rFonts w:hint="eastAsia" w:asciiTheme="minorEastAsia" w:hAnsiTheme="minorEastAsia" w:eastAsiaTheme="minorEastAsia" w:cstheme="minorEastAsia"/>
          <w:szCs w:val="21"/>
          <w:lang w:val="en-US" w:eastAsia="zh-CN"/>
        </w:rPr>
        <w:t>中标</w:t>
      </w:r>
      <w:r>
        <w:rPr>
          <w:rFonts w:hint="eastAsia" w:asciiTheme="minorEastAsia" w:hAnsiTheme="minorEastAsia" w:eastAsiaTheme="minorEastAsia" w:cstheme="minorEastAsia"/>
          <w:szCs w:val="21"/>
        </w:rPr>
        <w:t>供应商公司所属员工在配送过程中与学校工作人员产生矛盾，发生严重肢体冲突，升级为刑事案件，主要责任在</w:t>
      </w:r>
      <w:r>
        <w:rPr>
          <w:rFonts w:hint="eastAsia" w:asciiTheme="minorEastAsia" w:hAnsiTheme="minorEastAsia" w:eastAsiaTheme="minorEastAsia" w:cstheme="minorEastAsia"/>
          <w:szCs w:val="21"/>
          <w:lang w:val="en-US" w:eastAsia="zh-CN"/>
        </w:rPr>
        <w:t>中标</w:t>
      </w:r>
      <w:r>
        <w:rPr>
          <w:rFonts w:hint="eastAsia" w:asciiTheme="minorEastAsia" w:hAnsiTheme="minorEastAsia" w:eastAsiaTheme="minorEastAsia" w:cstheme="minorEastAsia"/>
          <w:szCs w:val="21"/>
        </w:rPr>
        <w:t>供应商一方的；</w:t>
      </w:r>
    </w:p>
    <w:p w14:paraId="4765BDE2">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（17）其他违反法律、法规和协议规定的行为。</w:t>
      </w:r>
    </w:p>
    <w:p w14:paraId="756361E2">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（九）</w:t>
      </w:r>
      <w:r>
        <w:rPr>
          <w:rFonts w:hint="eastAsia" w:asciiTheme="minorEastAsia" w:hAnsiTheme="minorEastAsia" w:eastAsiaTheme="minorEastAsia" w:cstheme="minorEastAsia"/>
          <w:b/>
          <w:bCs/>
          <w:sz w:val="21"/>
          <w:szCs w:val="21"/>
        </w:rPr>
        <w:t>应急处理制度</w:t>
      </w:r>
    </w:p>
    <w:p w14:paraId="7A51971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highlight w:val="none"/>
        </w:rPr>
        <w:t>合同执行期间中标供应商因食材质量、配送、服务及管理等引发食品安全事故、两次</w:t>
      </w:r>
      <w:r>
        <w:rPr>
          <w:rFonts w:hint="eastAsia" w:asciiTheme="minorEastAsia" w:hAnsiTheme="minorEastAsia" w:eastAsiaTheme="minorEastAsia" w:cstheme="minorEastAsia"/>
          <w:szCs w:val="21"/>
          <w:highlight w:val="none"/>
          <w:lang w:val="en-US" w:eastAsia="zh-CN"/>
        </w:rPr>
        <w:t>月</w:t>
      </w:r>
      <w:r>
        <w:rPr>
          <w:rFonts w:hint="eastAsia" w:asciiTheme="minorEastAsia" w:hAnsiTheme="minorEastAsia" w:eastAsiaTheme="minorEastAsia" w:cstheme="minorEastAsia"/>
          <w:szCs w:val="21"/>
          <w:highlight w:val="none"/>
        </w:rPr>
        <w:t>度考核结果为不满意等触发退出机制需要终止采购供应合同情形的。在新服务供应商签订合同前的过渡期间，中标供应商需配合</w:t>
      </w:r>
      <w:r>
        <w:rPr>
          <w:rFonts w:hint="eastAsia" w:asciiTheme="minorEastAsia" w:hAnsiTheme="minorEastAsia" w:eastAsiaTheme="minorEastAsia" w:cstheme="minorEastAsia"/>
          <w:szCs w:val="21"/>
          <w:highlight w:val="none"/>
          <w:lang w:eastAsia="zh-CN"/>
        </w:rPr>
        <w:t>学校</w:t>
      </w:r>
      <w:r>
        <w:rPr>
          <w:rFonts w:hint="eastAsia" w:asciiTheme="minorEastAsia" w:hAnsiTheme="minorEastAsia" w:eastAsiaTheme="minorEastAsia" w:cstheme="minorEastAsia"/>
          <w:szCs w:val="21"/>
          <w:highlight w:val="none"/>
        </w:rPr>
        <w:t>做好服务过渡工作，在过渡期间或出现短期供应不足等紧急问题时，向</w:t>
      </w:r>
      <w:r>
        <w:rPr>
          <w:rFonts w:hint="eastAsia" w:asciiTheme="minorEastAsia" w:hAnsiTheme="minorEastAsia" w:eastAsiaTheme="minorEastAsia" w:cstheme="minorEastAsia"/>
          <w:szCs w:val="21"/>
          <w:highlight w:val="none"/>
          <w:lang w:eastAsia="zh-CN"/>
        </w:rPr>
        <w:t>学校</w:t>
      </w:r>
      <w:r>
        <w:rPr>
          <w:rFonts w:hint="eastAsia" w:asciiTheme="minorEastAsia" w:hAnsiTheme="minorEastAsia" w:eastAsiaTheme="minorEastAsia" w:cstheme="minorEastAsia"/>
          <w:szCs w:val="21"/>
          <w:highlight w:val="none"/>
        </w:rPr>
        <w:t>提供在大型商超采购的优于其现供应标准的食材（需提供采购清单及规格标准），同时结算价格需</w:t>
      </w:r>
      <w:r>
        <w:rPr>
          <w:rFonts w:hint="eastAsia" w:asciiTheme="minorEastAsia" w:hAnsiTheme="minorEastAsia" w:eastAsiaTheme="minorEastAsia" w:cstheme="minorEastAsia"/>
          <w:color w:val="auto"/>
          <w:szCs w:val="21"/>
          <w:highlight w:val="none"/>
        </w:rPr>
        <w:t>按基准价*中标折扣率*实际供货数</w:t>
      </w:r>
      <w:r>
        <w:rPr>
          <w:rFonts w:hint="eastAsia" w:asciiTheme="minorEastAsia" w:hAnsiTheme="minorEastAsia" w:eastAsiaTheme="minorEastAsia" w:cstheme="minorEastAsia"/>
          <w:szCs w:val="21"/>
          <w:highlight w:val="none"/>
        </w:rPr>
        <w:t>量进行结算，直至</w:t>
      </w:r>
      <w:r>
        <w:rPr>
          <w:rFonts w:hint="eastAsia" w:asciiTheme="minorEastAsia" w:hAnsiTheme="minorEastAsia" w:eastAsiaTheme="minorEastAsia" w:cstheme="minorEastAsia"/>
          <w:szCs w:val="21"/>
          <w:highlight w:val="none"/>
          <w:lang w:eastAsia="zh-CN"/>
        </w:rPr>
        <w:t>学校</w:t>
      </w:r>
      <w:r>
        <w:rPr>
          <w:rFonts w:hint="eastAsia" w:asciiTheme="minorEastAsia" w:hAnsiTheme="minorEastAsia" w:eastAsiaTheme="minorEastAsia" w:cstheme="minorEastAsia"/>
          <w:szCs w:val="21"/>
          <w:highlight w:val="none"/>
        </w:rPr>
        <w:t>重新采购到新的服务供应商或恢复正常供应。</w:t>
      </w:r>
    </w:p>
    <w:p w14:paraId="17267F65">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w:t>
      </w:r>
      <w:r>
        <w:rPr>
          <w:rFonts w:hint="eastAsia" w:asciiTheme="minorEastAsia" w:hAnsiTheme="minorEastAsia" w:eastAsiaTheme="minorEastAsia" w:cstheme="minorEastAsia"/>
          <w:b/>
          <w:bCs/>
          <w:sz w:val="21"/>
          <w:szCs w:val="21"/>
        </w:rPr>
        <w:t>供应商服务综合评议制度</w:t>
      </w:r>
    </w:p>
    <w:p w14:paraId="2C5AAEC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进一步建立健全食材批量集中采购项目供应商管理机制，规范食材批量集中采购配送行为，加强对供应商供货品质、服务质量的监督管理，从而优化供应商结构，提高配送水平，有效防控风险，依据《中华人民共和国政府采购法》、《深圳经济特区政府采购条例》等有关规定，特制定本制度。</w:t>
      </w:r>
    </w:p>
    <w:p w14:paraId="6973510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工作领导小组是本制度制定、修订和实施的归口管理机构，并对本制度实施监督检查。</w:t>
      </w:r>
    </w:p>
    <w:p w14:paraId="7B24200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负责供应商</w:t>
      </w:r>
      <w:r>
        <w:rPr>
          <w:rFonts w:hint="eastAsia" w:asciiTheme="minorEastAsia" w:hAnsiTheme="minorEastAsia" w:eastAsiaTheme="minorEastAsia" w:cstheme="minorEastAsia"/>
          <w:szCs w:val="21"/>
          <w:lang w:val="en-US" w:eastAsia="zh-CN"/>
        </w:rPr>
        <w:t>月度</w:t>
      </w:r>
      <w:r>
        <w:rPr>
          <w:rFonts w:hint="eastAsia" w:asciiTheme="minorEastAsia" w:hAnsiTheme="minorEastAsia" w:eastAsiaTheme="minorEastAsia" w:cstheme="minorEastAsia"/>
          <w:szCs w:val="21"/>
        </w:rPr>
        <w:t>考评结果的收集、汇总、计算，并根据评价标准确定供应商</w:t>
      </w:r>
      <w:r>
        <w:rPr>
          <w:rFonts w:hint="eastAsia" w:asciiTheme="minorEastAsia" w:hAnsiTheme="minorEastAsia" w:eastAsiaTheme="minorEastAsia" w:cstheme="minorEastAsia"/>
          <w:szCs w:val="21"/>
          <w:lang w:val="en-US" w:eastAsia="zh-CN"/>
        </w:rPr>
        <w:t>月</w:t>
      </w:r>
      <w:r>
        <w:rPr>
          <w:rFonts w:hint="eastAsia" w:asciiTheme="minorEastAsia" w:hAnsiTheme="minorEastAsia" w:eastAsiaTheme="minorEastAsia" w:cstheme="minorEastAsia"/>
          <w:szCs w:val="21"/>
        </w:rPr>
        <w:t>度综合工作评议考核结果。</w:t>
      </w:r>
    </w:p>
    <w:p w14:paraId="06A1989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评价标准：供应商</w:t>
      </w:r>
      <w:r>
        <w:rPr>
          <w:rFonts w:hint="eastAsia" w:asciiTheme="minorEastAsia" w:hAnsiTheme="minorEastAsia" w:eastAsiaTheme="minorEastAsia" w:cstheme="minorEastAsia"/>
          <w:szCs w:val="21"/>
          <w:lang w:val="en-US" w:eastAsia="zh-CN"/>
        </w:rPr>
        <w:t>月</w:t>
      </w:r>
      <w:r>
        <w:rPr>
          <w:rFonts w:hint="eastAsia" w:asciiTheme="minorEastAsia" w:hAnsiTheme="minorEastAsia" w:eastAsiaTheme="minorEastAsia" w:cstheme="minorEastAsia"/>
          <w:szCs w:val="21"/>
        </w:rPr>
        <w:t>度综合工作评议考核得分80分（不含）以下评价为不满意，80分（含）以上评价为满意。</w:t>
      </w:r>
    </w:p>
    <w:p w14:paraId="2004D9E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学校评议考核分值均为百分制，对供应商实行日常考评、月度考评、</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度考评的动态考核评价机制。</w:t>
      </w:r>
    </w:p>
    <w:p w14:paraId="37C3544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度综合评议考核为百分制，得分为供应商负责配送服务的所在学校</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度考核得分的平均值。</w:t>
      </w:r>
    </w:p>
    <w:p w14:paraId="4A41B49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学校设立</w:t>
      </w:r>
      <w:r>
        <w:rPr>
          <w:rFonts w:hint="eastAsia" w:asciiTheme="minorEastAsia" w:hAnsiTheme="minorEastAsia" w:eastAsiaTheme="minorEastAsia" w:cstheme="minorEastAsia"/>
          <w:szCs w:val="21"/>
          <w:lang w:val="en-US" w:eastAsia="zh-CN"/>
        </w:rPr>
        <w:t>食堂食材配送服务</w:t>
      </w:r>
      <w:r>
        <w:rPr>
          <w:rFonts w:hint="eastAsia" w:asciiTheme="minorEastAsia" w:hAnsiTheme="minorEastAsia" w:eastAsiaTheme="minorEastAsia" w:cstheme="minorEastAsia"/>
          <w:szCs w:val="21"/>
        </w:rPr>
        <w:t>项目供应商评议考核小组（以下简称考评小组），具体负责供应商的评议考核工作。</w:t>
      </w:r>
    </w:p>
    <w:p w14:paraId="68634C3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考评小组职责:</w:t>
      </w:r>
    </w:p>
    <w:p w14:paraId="7836C0A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（1）监督供应商的食材配送行为；</w:t>
      </w:r>
    </w:p>
    <w:p w14:paraId="4992180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（2）建立供应商考评档案台账；</w:t>
      </w:r>
    </w:p>
    <w:p w14:paraId="34B86D72">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（3）每月召开考评小组会议，商讨日常考评中遇到的问题，商定当月的考评结果；</w:t>
      </w:r>
    </w:p>
    <w:p w14:paraId="4065CE3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（4）每</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度</w:t>
      </w:r>
      <w:r>
        <w:rPr>
          <w:rFonts w:hint="eastAsia" w:asciiTheme="minorEastAsia" w:hAnsiTheme="minorEastAsia" w:eastAsiaTheme="minorEastAsia" w:cstheme="minorEastAsia"/>
          <w:szCs w:val="21"/>
        </w:rPr>
        <w:t>进行供应商</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度</w:t>
      </w:r>
      <w:r>
        <w:rPr>
          <w:rFonts w:hint="eastAsia" w:asciiTheme="minorEastAsia" w:hAnsiTheme="minorEastAsia" w:eastAsiaTheme="minorEastAsia" w:cstheme="minorEastAsia"/>
          <w:szCs w:val="21"/>
        </w:rPr>
        <w:t>考评，考评结果报送</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w:t>
      </w:r>
    </w:p>
    <w:p w14:paraId="38E6E42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月度考评：</w:t>
      </w:r>
      <w:r>
        <w:rPr>
          <w:rFonts w:hint="eastAsia" w:asciiTheme="minorEastAsia" w:hAnsiTheme="minorEastAsia" w:eastAsiaTheme="minorEastAsia" w:cstheme="minorEastAsia"/>
          <w:szCs w:val="21"/>
          <w:lang w:val="en-US" w:eastAsia="zh-CN"/>
        </w:rPr>
        <w:t>学校每天对所收货物的异常情况进行登记（登记表见附件一），每月进行</w:t>
      </w:r>
      <w:r>
        <w:rPr>
          <w:rFonts w:hint="eastAsia" w:asciiTheme="minorEastAsia" w:hAnsiTheme="minorEastAsia" w:eastAsiaTheme="minorEastAsia" w:cstheme="minorEastAsia"/>
          <w:szCs w:val="21"/>
        </w:rPr>
        <w:t>月度量化</w:t>
      </w:r>
      <w:r>
        <w:rPr>
          <w:rFonts w:hint="eastAsia" w:asciiTheme="minorEastAsia" w:hAnsiTheme="minorEastAsia" w:eastAsiaTheme="minorEastAsia" w:cstheme="minorEastAsia"/>
          <w:szCs w:val="21"/>
          <w:lang w:val="en-US" w:eastAsia="zh-CN"/>
        </w:rPr>
        <w:t>考核</w:t>
      </w:r>
      <w:r>
        <w:rPr>
          <w:rFonts w:hint="eastAsia" w:asciiTheme="minorEastAsia" w:hAnsiTheme="minorEastAsia" w:eastAsiaTheme="minorEastAsia" w:cstheme="minorEastAsia"/>
          <w:szCs w:val="21"/>
        </w:rPr>
        <w:t>。根据上月的日常</w:t>
      </w:r>
      <w:r>
        <w:rPr>
          <w:rFonts w:hint="eastAsia" w:asciiTheme="minorEastAsia" w:hAnsiTheme="minorEastAsia" w:eastAsiaTheme="minorEastAsia" w:cstheme="minorEastAsia"/>
          <w:szCs w:val="21"/>
          <w:lang w:val="en-US" w:eastAsia="zh-CN"/>
        </w:rPr>
        <w:t>登记</w:t>
      </w:r>
      <w:r>
        <w:rPr>
          <w:rFonts w:hint="eastAsia" w:asciiTheme="minorEastAsia" w:hAnsiTheme="minorEastAsia" w:eastAsiaTheme="minorEastAsia" w:cstheme="minorEastAsia"/>
          <w:szCs w:val="21"/>
        </w:rPr>
        <w:t>结果进行汇总，</w:t>
      </w:r>
      <w:r>
        <w:rPr>
          <w:rFonts w:hint="eastAsia" w:asciiTheme="minorEastAsia" w:hAnsiTheme="minorEastAsia" w:eastAsiaTheme="minorEastAsia" w:cstheme="minorEastAsia"/>
          <w:szCs w:val="21"/>
          <w:lang w:val="en-US" w:eastAsia="zh-CN"/>
        </w:rPr>
        <w:t>参考</w:t>
      </w:r>
      <w:r>
        <w:rPr>
          <w:rFonts w:hint="eastAsia" w:asciiTheme="minorEastAsia" w:hAnsiTheme="minorEastAsia" w:eastAsiaTheme="minorEastAsia" w:cstheme="minorEastAsia"/>
          <w:szCs w:val="21"/>
        </w:rPr>
        <w:t>按照</w:t>
      </w:r>
      <w:r>
        <w:rPr>
          <w:rFonts w:hint="eastAsia" w:asciiTheme="minorEastAsia" w:hAnsiTheme="minorEastAsia" w:eastAsiaTheme="minorEastAsia" w:cstheme="minorEastAsia"/>
          <w:b/>
          <w:bCs/>
          <w:szCs w:val="21"/>
        </w:rPr>
        <w:t>《服务供应商月度考核评分表》（附件</w:t>
      </w:r>
      <w:r>
        <w:rPr>
          <w:rFonts w:hint="eastAsia" w:asciiTheme="minorEastAsia" w:hAnsiTheme="minorEastAsia" w:eastAsiaTheme="minorEastAsia" w:cstheme="minorEastAsia"/>
          <w:b/>
          <w:bCs/>
          <w:szCs w:val="21"/>
          <w:lang w:val="en-US" w:eastAsia="zh-CN"/>
        </w:rPr>
        <w:t>二</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对供应商进行月度考评。</w:t>
      </w:r>
    </w:p>
    <w:p w14:paraId="00C3401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考评：</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考评以月度考核结果为依据，</w:t>
      </w:r>
      <w:r>
        <w:rPr>
          <w:rFonts w:hint="eastAsia" w:asciiTheme="minorEastAsia" w:hAnsiTheme="minorEastAsia" w:eastAsiaTheme="minorEastAsia" w:cstheme="minorEastAsia"/>
          <w:szCs w:val="21"/>
          <w:lang w:val="en-US" w:eastAsia="zh-CN"/>
        </w:rPr>
        <w:t>参考</w:t>
      </w:r>
      <w:r>
        <w:rPr>
          <w:rFonts w:hint="eastAsia" w:asciiTheme="minorEastAsia" w:hAnsiTheme="minorEastAsia" w:eastAsiaTheme="minorEastAsia" w:cstheme="minorEastAsia"/>
          <w:szCs w:val="21"/>
        </w:rPr>
        <w:t>按照</w:t>
      </w:r>
      <w:r>
        <w:rPr>
          <w:rFonts w:hint="eastAsia" w:asciiTheme="minorEastAsia" w:hAnsiTheme="minorEastAsia" w:eastAsiaTheme="minorEastAsia" w:cstheme="minorEastAsia"/>
          <w:b/>
          <w:bCs/>
          <w:szCs w:val="21"/>
        </w:rPr>
        <w:t>《供应商年度综合评议考核表》（附件</w:t>
      </w:r>
      <w:r>
        <w:rPr>
          <w:rFonts w:hint="eastAsia" w:asciiTheme="minorEastAsia" w:hAnsiTheme="minorEastAsia" w:eastAsiaTheme="minorEastAsia" w:cstheme="minorEastAsia"/>
          <w:b/>
          <w:bCs/>
          <w:szCs w:val="21"/>
          <w:lang w:val="en-US" w:eastAsia="zh-CN"/>
        </w:rPr>
        <w:t>三</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对每月综合评分数据进行汇总统计，依据每月综合得分的算术平均值作为供应商</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考评得分。</w:t>
      </w:r>
    </w:p>
    <w:p w14:paraId="2ECAF58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综合工作评议结果为不满意的，</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及时将问题反馈给供应商，并允许供应商在规定期限内提交纸质申辩材料。</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组织专题会，根据学校提交的考评材料及供应商提交的申辩材料，对评议结果进行讨论及投票表决。</w:t>
      </w:r>
    </w:p>
    <w:p w14:paraId="7629CDB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度综合工作评议为不满意的，</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审核同意后，可启动供应商退出及候补机制。</w:t>
      </w:r>
    </w:p>
    <w:p w14:paraId="5730B15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考评完成后，由</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对供应商档案（包括基础资料、交易记录和考核资料等）进行建立、收集、整理和归档，以备日后查阅。</w:t>
      </w:r>
    </w:p>
    <w:p w14:paraId="5E00FBB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本项目供应商服务综合评议制度及其附件相关条款的解释权归</w:t>
      </w:r>
      <w:r>
        <w:rPr>
          <w:rFonts w:hint="eastAsia" w:asciiTheme="minorEastAsia" w:hAnsiTheme="minorEastAsia" w:eastAsiaTheme="minorEastAsia" w:cstheme="minorEastAsia"/>
          <w:szCs w:val="21"/>
          <w:lang w:val="en-US" w:eastAsia="zh-CN"/>
        </w:rPr>
        <w:t>深圳市第七高级中学</w:t>
      </w:r>
      <w:r>
        <w:rPr>
          <w:rFonts w:hint="eastAsia" w:asciiTheme="minorEastAsia" w:hAnsiTheme="minorEastAsia" w:eastAsiaTheme="minorEastAsia" w:cstheme="minorEastAsia"/>
          <w:szCs w:val="21"/>
        </w:rPr>
        <w:t>所有。服务合同履约过程中，因国家相关政策、法规、标准变化调整需要、上级文件要求以及教育局的工作需要，</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有权对供应商服务综合评议制度和相关附件进行调整和更新,中标供应商需无条件接受。</w:t>
      </w:r>
    </w:p>
    <w:p w14:paraId="75E97968">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（十一）</w:t>
      </w:r>
      <w:r>
        <w:rPr>
          <w:rFonts w:hint="eastAsia" w:asciiTheme="minorEastAsia" w:hAnsiTheme="minorEastAsia" w:eastAsiaTheme="minorEastAsia" w:cstheme="minorEastAsia"/>
          <w:b/>
          <w:bCs/>
          <w:sz w:val="21"/>
          <w:szCs w:val="21"/>
        </w:rPr>
        <w:t>注意事项</w:t>
      </w:r>
    </w:p>
    <w:p w14:paraId="1D67DF0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本次招标结果仅代表中标供应商可获得的最高采购份额，</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无法预计实际采购量及落实政府政策（如扶贫任务）等不可抗因素，同时无法保证中标供应商可以获得全部份额。</w:t>
      </w:r>
    </w:p>
    <w:p w14:paraId="03F3B11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中标供应商不得将项目非法分包或转包给任何单位和个人。否则，</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有权即刻终止合同，并要求中标供应商赔偿相应损失。</w:t>
      </w:r>
    </w:p>
    <w:p w14:paraId="04765878">
      <w:pPr>
        <w:ind w:firstLine="422" w:firstLineChars="200"/>
        <w:rPr>
          <w:rFonts w:hint="eastAsia" w:asciiTheme="minorEastAsia" w:hAnsiTheme="minorEastAsia" w:eastAsiaTheme="minorEastAsia" w:cstheme="minorEastAsia"/>
          <w:b/>
          <w:sz w:val="21"/>
          <w:szCs w:val="21"/>
        </w:rPr>
      </w:pPr>
    </w:p>
    <w:p w14:paraId="1F014160">
      <w:pPr>
        <w:pStyle w:val="18"/>
        <w:spacing w:line="240" w:lineRule="auto"/>
        <w:ind w:firstLine="422" w:firstLineChars="200"/>
        <w:rPr>
          <w:rFonts w:hint="eastAsia" w:asciiTheme="minorEastAsia" w:hAnsiTheme="minorEastAsia" w:eastAsiaTheme="minorEastAsia" w:cstheme="minorEastAsia"/>
          <w:sz w:val="21"/>
          <w:szCs w:val="21"/>
        </w:rPr>
      </w:pPr>
    </w:p>
    <w:p w14:paraId="24807BC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p>
    <w:p w14:paraId="39B336DD">
      <w:pPr>
        <w:pStyle w:val="3"/>
        <w:spacing w:before="120" w:beforeLines="50" w:after="120" w:afterLines="50"/>
        <w:rPr>
          <w:szCs w:val="24"/>
        </w:rPr>
      </w:pPr>
      <w:r>
        <w:rPr>
          <w:rFonts w:hint="eastAsia"/>
          <w:szCs w:val="24"/>
        </w:rPr>
        <w:t>六、商务要求</w:t>
      </w:r>
    </w:p>
    <w:tbl>
      <w:tblPr>
        <w:tblStyle w:val="42"/>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335"/>
        <w:gridCol w:w="6951"/>
      </w:tblGrid>
      <w:tr w14:paraId="2C6E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76" w:type="dxa"/>
            <w:vAlign w:val="center"/>
          </w:tcPr>
          <w:p w14:paraId="5C8B7C98">
            <w:pPr>
              <w:adjustRightInd w:val="0"/>
              <w:snapToGrid w:val="0"/>
              <w:jc w:val="center"/>
              <w:rPr>
                <w:rFonts w:ascii="宋体" w:hAnsi="宋体" w:eastAsia="宋体" w:cs="宋体"/>
                <w:szCs w:val="21"/>
              </w:rPr>
            </w:pPr>
            <w:r>
              <w:rPr>
                <w:rFonts w:hint="eastAsia" w:ascii="宋体" w:hAnsi="宋体" w:eastAsia="宋体" w:cs="宋体"/>
                <w:szCs w:val="21"/>
              </w:rPr>
              <w:t>序号</w:t>
            </w:r>
          </w:p>
        </w:tc>
        <w:tc>
          <w:tcPr>
            <w:tcW w:w="1335" w:type="dxa"/>
            <w:vAlign w:val="center"/>
          </w:tcPr>
          <w:p w14:paraId="37C141BE">
            <w:pPr>
              <w:adjustRightInd w:val="0"/>
              <w:snapToGrid w:val="0"/>
              <w:jc w:val="center"/>
              <w:rPr>
                <w:rFonts w:ascii="宋体" w:hAnsi="宋体" w:eastAsia="宋体" w:cs="宋体"/>
                <w:color w:val="auto"/>
                <w:szCs w:val="21"/>
              </w:rPr>
            </w:pPr>
            <w:r>
              <w:rPr>
                <w:rFonts w:hint="eastAsia" w:ascii="宋体" w:hAnsi="宋体" w:eastAsia="宋体" w:cs="宋体"/>
                <w:bCs/>
                <w:color w:val="auto"/>
                <w:szCs w:val="21"/>
              </w:rPr>
              <w:t>名称</w:t>
            </w:r>
          </w:p>
        </w:tc>
        <w:tc>
          <w:tcPr>
            <w:tcW w:w="6951" w:type="dxa"/>
            <w:vAlign w:val="center"/>
          </w:tcPr>
          <w:p w14:paraId="27FEE1EF">
            <w:pPr>
              <w:adjustRightInd w:val="0"/>
              <w:snapToGrid w:val="0"/>
              <w:jc w:val="center"/>
              <w:rPr>
                <w:rFonts w:ascii="宋体" w:hAnsi="宋体" w:eastAsia="宋体" w:cs="宋体"/>
                <w:color w:val="auto"/>
                <w:szCs w:val="21"/>
              </w:rPr>
            </w:pPr>
            <w:r>
              <w:rPr>
                <w:rFonts w:hint="eastAsia" w:ascii="宋体" w:hAnsi="宋体" w:eastAsia="宋体" w:cs="宋体"/>
                <w:color w:val="auto"/>
                <w:szCs w:val="21"/>
              </w:rPr>
              <w:t>商务要求</w:t>
            </w:r>
          </w:p>
        </w:tc>
      </w:tr>
      <w:tr w14:paraId="7971A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76" w:type="dxa"/>
            <w:shd w:val="clear" w:color="auto" w:fill="auto"/>
            <w:vAlign w:val="center"/>
          </w:tcPr>
          <w:p w14:paraId="03165807">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1335" w:type="dxa"/>
            <w:shd w:val="clear" w:color="auto" w:fill="auto"/>
            <w:vAlign w:val="center"/>
          </w:tcPr>
          <w:p w14:paraId="56252E9F">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服务期要求</w:t>
            </w:r>
          </w:p>
        </w:tc>
        <w:tc>
          <w:tcPr>
            <w:tcW w:w="6951" w:type="dxa"/>
            <w:shd w:val="clear" w:color="auto" w:fill="auto"/>
          </w:tcPr>
          <w:p w14:paraId="2ED828DC">
            <w:pPr>
              <w:pStyle w:val="18"/>
              <w:spacing w:after="0" w:line="240" w:lineRule="auto"/>
              <w:rPr>
                <w:color w:val="auto"/>
              </w:rPr>
            </w:pPr>
            <w:r>
              <w:rPr>
                <w:rFonts w:hint="eastAsia" w:asciiTheme="minorEastAsia" w:hAnsiTheme="minorEastAsia" w:eastAsiaTheme="minorEastAsia" w:cstheme="minorEastAsia"/>
                <w:b/>
                <w:bCs/>
                <w:color w:val="auto"/>
                <w:kern w:val="2"/>
                <w:sz w:val="21"/>
                <w:szCs w:val="24"/>
                <w:highlight w:val="none"/>
                <w:lang w:val="en-US" w:eastAsia="zh-CN" w:bidi="ar-SA"/>
              </w:rPr>
              <w:t>本项目为长期服务项目。服务期限一年，合同每年签一次，如甲方对履约情况满意，和乙方协商一致后可以续签，但续签不得超过两次（即服务期限最长为36个月）。如甲方对乙方履约不满意，不再续约。</w:t>
            </w:r>
          </w:p>
        </w:tc>
      </w:tr>
      <w:tr w14:paraId="1497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vAlign w:val="center"/>
          </w:tcPr>
          <w:p w14:paraId="46345476">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1335" w:type="dxa"/>
            <w:vAlign w:val="center"/>
          </w:tcPr>
          <w:p w14:paraId="628CDACF">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服务地点</w:t>
            </w:r>
          </w:p>
        </w:tc>
        <w:tc>
          <w:tcPr>
            <w:tcW w:w="6951" w:type="dxa"/>
          </w:tcPr>
          <w:p w14:paraId="249030AB">
            <w:pPr>
              <w:adjustRightInd w:val="0"/>
              <w:snapToGrid w:val="0"/>
              <w:rPr>
                <w:color w:val="auto"/>
              </w:rPr>
            </w:pPr>
            <w:r>
              <w:rPr>
                <w:rFonts w:hint="eastAsia"/>
                <w:color w:val="auto"/>
                <w:lang w:val="en-US" w:eastAsia="zh-CN"/>
              </w:rPr>
              <w:t>学校指定地点</w:t>
            </w:r>
            <w:r>
              <w:rPr>
                <w:rFonts w:hint="eastAsia"/>
                <w:color w:val="auto"/>
                <w:highlight w:val="none"/>
                <w:lang w:eastAsia="zh-CN"/>
              </w:rPr>
              <w:t>。</w:t>
            </w:r>
          </w:p>
        </w:tc>
      </w:tr>
      <w:tr w14:paraId="7922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76" w:type="dxa"/>
            <w:vAlign w:val="center"/>
          </w:tcPr>
          <w:p w14:paraId="58C86F25">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1335" w:type="dxa"/>
            <w:vAlign w:val="center"/>
          </w:tcPr>
          <w:p w14:paraId="36E0CF56">
            <w:pPr>
              <w:adjustRightInd w:val="0"/>
              <w:snapToGrid w:val="0"/>
              <w:ind w:firstLine="0" w:firstLineChars="0"/>
              <w:rPr>
                <w:color w:val="auto"/>
              </w:rPr>
            </w:pPr>
            <w:r>
              <w:rPr>
                <w:rFonts w:hint="eastAsia" w:ascii="宋体" w:hAnsi="宋体"/>
                <w:color w:val="auto"/>
                <w:kern w:val="0"/>
                <w:szCs w:val="21"/>
              </w:rPr>
              <w:t>★</w:t>
            </w:r>
            <w:r>
              <w:rPr>
                <w:rFonts w:hint="eastAsia"/>
                <w:color w:val="auto"/>
              </w:rPr>
              <w:t>报价要求</w:t>
            </w:r>
          </w:p>
        </w:tc>
        <w:tc>
          <w:tcPr>
            <w:tcW w:w="6951" w:type="dxa"/>
          </w:tcPr>
          <w:p w14:paraId="75644FDD">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（1）本项目的投标报价为折扣率；</w:t>
            </w:r>
          </w:p>
          <w:p w14:paraId="5E9369FD">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（2）折扣率 </w:t>
            </w:r>
            <w:r>
              <w:rPr>
                <w:rFonts w:hint="eastAsia" w:ascii="宋体" w:hAnsi="宋体" w:eastAsia="宋体" w:cs="宋体"/>
                <w:color w:val="auto"/>
                <w:szCs w:val="21"/>
                <w:highlight w:val="none"/>
                <w:lang w:eastAsia="zh-CN"/>
              </w:rPr>
              <w:t>：</w:t>
            </w:r>
            <w:r>
              <w:rPr>
                <w:rFonts w:hint="eastAsia"/>
                <w:color w:val="auto"/>
                <w:highlight w:val="none"/>
              </w:rPr>
              <w:t>0＜折扣率≤1</w:t>
            </w:r>
            <w:r>
              <w:rPr>
                <w:rFonts w:hint="eastAsia" w:ascii="宋体" w:hAnsi="宋体" w:eastAsia="宋体" w:cs="宋体"/>
                <w:color w:val="auto"/>
                <w:szCs w:val="21"/>
                <w:highlight w:val="none"/>
              </w:rPr>
              <w:t>，折扣率在服务期限内保持不变（举例说明：若某种货物的价格为10元/斤，投标人投标报价折扣率为9折，实际结算价格为10元/斤*0.9=9.00元/斤，则在投标文件开标一览表中的折扣率应填</w:t>
            </w:r>
            <w:r>
              <w:rPr>
                <w:rFonts w:hint="eastAsia" w:ascii="宋体" w:hAnsi="宋体" w:eastAsia="宋体" w:cs="宋体"/>
                <w:color w:val="auto"/>
                <w:szCs w:val="21"/>
                <w:highlight w:val="none"/>
                <w:lang w:val="en-US" w:eastAsia="zh-CN"/>
              </w:rPr>
              <w:t>0.9</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最多保留小数点后两位</w:t>
            </w:r>
            <w:r>
              <w:rPr>
                <w:rFonts w:hint="eastAsia" w:ascii="宋体" w:hAnsi="宋体" w:eastAsia="宋体" w:cs="宋体"/>
                <w:color w:val="auto"/>
                <w:szCs w:val="21"/>
                <w:highlight w:val="none"/>
              </w:rPr>
              <w:t>。</w:t>
            </w:r>
          </w:p>
          <w:p w14:paraId="57777D47">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（3）所有食材品类结算价格=基准价*折扣率，基准价=深圳市中农数据有限公司（天天采配平台）上月</w:t>
            </w:r>
            <w:r>
              <w:rPr>
                <w:rFonts w:hint="eastAsia" w:ascii="宋体" w:hAnsi="宋体" w:cs="宋体"/>
                <w:color w:val="auto"/>
                <w:szCs w:val="21"/>
                <w:highlight w:val="none"/>
                <w:lang w:eastAsia="zh-CN"/>
              </w:rPr>
              <w:t>5、</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25</w:t>
            </w:r>
            <w:r>
              <w:rPr>
                <w:rFonts w:hint="eastAsia" w:ascii="宋体" w:hAnsi="宋体" w:cs="宋体"/>
                <w:color w:val="auto"/>
                <w:szCs w:val="21"/>
                <w:highlight w:val="none"/>
                <w:lang w:val="en-US" w:eastAsia="zh-CN"/>
              </w:rPr>
              <w:t>日</w:t>
            </w:r>
            <w:r>
              <w:rPr>
                <w:rFonts w:hint="eastAsia" w:ascii="宋体" w:hAnsi="宋体" w:eastAsia="宋体" w:cs="宋体"/>
                <w:color w:val="auto"/>
                <w:szCs w:val="21"/>
                <w:highlight w:val="none"/>
              </w:rPr>
              <w:t>公布价格的平均价格。</w:t>
            </w:r>
          </w:p>
          <w:p w14:paraId="35ED36E3">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中农数据食堂采配平台中无价格的产品（原则上学校不采购中农数据食堂采配平台中无价格的产品），如学校确需要采购中农数据食堂采配平台中无价格的产品，需与中标供应商提前确认基准价），结算价格=基准价*折扣率。基准价=学校成立议价小组与中标供应商进行统一议价确定。</w:t>
            </w:r>
          </w:p>
          <w:p w14:paraId="68B79823">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说明：（3）（4）中所指的折扣率由投标人结合企业自身的实力报出的唯一折扣率。</w:t>
            </w:r>
          </w:p>
          <w:p w14:paraId="7FF0B4CC">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中标供应商应积极做好特殊时期食材配送保障，如逢节假日、考评、检查、动物疫情、重大会议或防洪防台风等特殊时期的食材配送，不得借故哄抬物价或拒绝配送，确保食材不间断供应。如遇台风、暴雨等不可</w:t>
            </w:r>
            <w:r>
              <w:rPr>
                <w:rFonts w:hint="eastAsia" w:ascii="宋体" w:hAnsi="宋体" w:eastAsia="宋体" w:cs="宋体"/>
                <w:color w:val="auto"/>
                <w:szCs w:val="21"/>
                <w:highlight w:val="none"/>
                <w:lang w:val="en-US" w:eastAsia="zh-CN"/>
              </w:rPr>
              <w:t>预见</w:t>
            </w:r>
            <w:r>
              <w:rPr>
                <w:rFonts w:hint="eastAsia" w:ascii="宋体" w:hAnsi="宋体" w:eastAsia="宋体" w:cs="宋体"/>
                <w:color w:val="auto"/>
                <w:szCs w:val="21"/>
                <w:highlight w:val="none"/>
              </w:rPr>
              <w:t>的原因造成个别品种及价格需临时</w:t>
            </w:r>
            <w:r>
              <w:rPr>
                <w:rFonts w:hint="eastAsia" w:ascii="宋体" w:hAnsi="宋体" w:eastAsia="宋体" w:cs="宋体"/>
                <w:color w:val="auto"/>
                <w:szCs w:val="21"/>
                <w:highlight w:val="none"/>
                <w:lang w:val="en-US" w:eastAsia="zh-CN"/>
              </w:rPr>
              <w:t>进行</w:t>
            </w:r>
            <w:r>
              <w:rPr>
                <w:rFonts w:hint="eastAsia" w:ascii="宋体" w:hAnsi="宋体" w:eastAsia="宋体" w:cs="宋体"/>
                <w:color w:val="auto"/>
                <w:szCs w:val="21"/>
                <w:highlight w:val="none"/>
              </w:rPr>
              <w:t>调整的，中标供应商应事先通知</w:t>
            </w:r>
            <w:r>
              <w:rPr>
                <w:rFonts w:hint="eastAsia" w:ascii="宋体" w:hAnsi="宋体" w:cs="宋体"/>
                <w:color w:val="auto"/>
                <w:szCs w:val="21"/>
                <w:highlight w:val="none"/>
                <w:lang w:eastAsia="zh-CN"/>
              </w:rPr>
              <w:t>学校</w:t>
            </w:r>
            <w:r>
              <w:rPr>
                <w:rFonts w:hint="eastAsia" w:ascii="宋体" w:hAnsi="宋体" w:eastAsia="宋体" w:cs="宋体"/>
                <w:color w:val="auto"/>
                <w:szCs w:val="21"/>
                <w:highlight w:val="none"/>
              </w:rPr>
              <w:t>，在</w:t>
            </w:r>
            <w:r>
              <w:rPr>
                <w:rFonts w:hint="eastAsia" w:ascii="宋体" w:hAnsi="宋体" w:cs="宋体"/>
                <w:color w:val="auto"/>
                <w:szCs w:val="21"/>
                <w:highlight w:val="none"/>
                <w:lang w:eastAsia="zh-CN"/>
              </w:rPr>
              <w:t>学校</w:t>
            </w:r>
            <w:r>
              <w:rPr>
                <w:rFonts w:hint="eastAsia" w:ascii="宋体" w:hAnsi="宋体" w:eastAsia="宋体" w:cs="宋体"/>
                <w:color w:val="auto"/>
                <w:szCs w:val="21"/>
                <w:highlight w:val="none"/>
              </w:rPr>
              <w:t>确认后方可调整。如遇恶劣天气，导致无法明确第二天是否上课、是否配送的，中标供应商可与</w:t>
            </w:r>
            <w:r>
              <w:rPr>
                <w:rFonts w:hint="eastAsia" w:ascii="宋体" w:hAnsi="宋体" w:eastAsia="宋体" w:cs="宋体"/>
                <w:color w:val="auto"/>
                <w:szCs w:val="21"/>
                <w:highlight w:val="none"/>
                <w:lang w:val="en-US" w:eastAsia="zh-CN"/>
              </w:rPr>
              <w:t>学校</w:t>
            </w:r>
            <w:r>
              <w:rPr>
                <w:rFonts w:hint="eastAsia" w:ascii="宋体" w:hAnsi="宋体" w:eastAsia="宋体" w:cs="宋体"/>
                <w:color w:val="auto"/>
                <w:szCs w:val="21"/>
                <w:highlight w:val="none"/>
              </w:rPr>
              <w:t>商议优先配送部分易保管存放的食材。</w:t>
            </w:r>
          </w:p>
          <w:p w14:paraId="05AA9C62">
            <w:pPr>
              <w:adjustRightInd w:val="0"/>
              <w:snapToGrid w:val="0"/>
              <w:rPr>
                <w:color w:val="auto"/>
              </w:rPr>
            </w:pPr>
            <w:r>
              <w:rPr>
                <w:rFonts w:hint="eastAsia" w:ascii="宋体" w:hAnsi="宋体" w:eastAsia="宋体" w:cs="宋体"/>
                <w:color w:val="auto"/>
                <w:szCs w:val="21"/>
                <w:highlight w:val="none"/>
              </w:rPr>
              <w:t>（6）投标人的投标报价为包干价，包括供应产品价格和产品运输到使用单位的服务费、检测费、保险、搬运费、人工费、管理费、税金等一切将可能发生的费用。以上报价以人民币为报价和结算单位，须开具国家正规发票。</w:t>
            </w:r>
          </w:p>
        </w:tc>
      </w:tr>
      <w:tr w14:paraId="52A1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76" w:type="dxa"/>
            <w:shd w:val="clear" w:color="auto" w:fill="auto"/>
            <w:vAlign w:val="center"/>
          </w:tcPr>
          <w:p w14:paraId="0B56A79D">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1335" w:type="dxa"/>
            <w:shd w:val="clear" w:color="auto" w:fill="auto"/>
            <w:vAlign w:val="center"/>
          </w:tcPr>
          <w:p w14:paraId="248BE6B6">
            <w:pPr>
              <w:adjustRightInd w:val="0"/>
              <w:snapToGrid w:val="0"/>
              <w:jc w:val="center"/>
              <w:rPr>
                <w:rFonts w:ascii="宋体" w:hAnsi="宋体" w:eastAsia="宋体" w:cs="宋体"/>
                <w:b/>
                <w:bCs/>
                <w:color w:val="auto"/>
                <w:szCs w:val="21"/>
              </w:rPr>
            </w:pPr>
            <w:r>
              <w:rPr>
                <w:rFonts w:hint="eastAsia" w:ascii="宋体" w:hAnsi="宋体"/>
                <w:color w:val="auto"/>
                <w:kern w:val="0"/>
                <w:szCs w:val="21"/>
              </w:rPr>
              <w:t>★</w:t>
            </w:r>
            <w:r>
              <w:rPr>
                <w:rFonts w:hint="eastAsia" w:ascii="宋体" w:hAnsi="宋体"/>
                <w:b/>
                <w:bCs/>
                <w:color w:val="auto"/>
                <w:szCs w:val="21"/>
              </w:rPr>
              <w:t>“折扣</w:t>
            </w:r>
            <w:r>
              <w:rPr>
                <w:rFonts w:hint="eastAsia" w:ascii="宋体" w:hAnsi="宋体"/>
                <w:b/>
                <w:bCs/>
                <w:color w:val="auto"/>
                <w:szCs w:val="21"/>
                <w:lang w:val="en-US" w:eastAsia="zh-CN"/>
              </w:rPr>
              <w:t>率</w:t>
            </w:r>
            <w:r>
              <w:rPr>
                <w:rFonts w:hint="eastAsia" w:ascii="宋体" w:hAnsi="宋体"/>
                <w:b/>
                <w:bCs/>
                <w:color w:val="auto"/>
                <w:szCs w:val="21"/>
              </w:rPr>
              <w:t>”填写要求</w:t>
            </w:r>
          </w:p>
        </w:tc>
        <w:tc>
          <w:tcPr>
            <w:tcW w:w="6951" w:type="dxa"/>
            <w:shd w:val="clear" w:color="auto" w:fill="auto"/>
          </w:tcPr>
          <w:p w14:paraId="67773BF7">
            <w:pPr>
              <w:rPr>
                <w:rFonts w:hint="eastAsia" w:ascii="宋体" w:hAnsi="宋体" w:eastAsia="宋体" w:cs="Times New Roman"/>
                <w:b/>
                <w:bCs/>
                <w:color w:val="auto"/>
                <w:szCs w:val="21"/>
              </w:rPr>
            </w:pPr>
            <w:r>
              <w:rPr>
                <w:rFonts w:hint="eastAsia" w:ascii="宋体" w:hAnsi="宋体" w:eastAsia="宋体" w:cs="Times New Roman"/>
                <w:b/>
                <w:bCs/>
                <w:color w:val="auto"/>
                <w:szCs w:val="21"/>
              </w:rPr>
              <w:t>（1）填写要求： 0＜折扣率≤1，未按此要求填写将作投标无效处理。</w:t>
            </w:r>
          </w:p>
          <w:p w14:paraId="5F4196F3">
            <w:pPr>
              <w:rPr>
                <w:rFonts w:hint="eastAsia" w:ascii="宋体" w:hAnsi="宋体" w:eastAsia="宋体" w:cs="Times New Roman"/>
                <w:b/>
                <w:bCs/>
                <w:color w:val="auto"/>
                <w:szCs w:val="21"/>
              </w:rPr>
            </w:pPr>
            <w:r>
              <w:rPr>
                <w:rFonts w:hint="eastAsia" w:ascii="宋体" w:hAnsi="宋体" w:eastAsia="宋体" w:cs="Times New Roman"/>
                <w:b/>
                <w:bCs/>
                <w:color w:val="auto"/>
                <w:szCs w:val="21"/>
              </w:rPr>
              <w:t>（2）填写的“折扣率”应为小数，且最多保留小数点后2位，如：0.95、0.80、0.78，未按此要求填写将作投标无效处理。</w:t>
            </w:r>
          </w:p>
          <w:p w14:paraId="1A7FE4B3">
            <w:pPr>
              <w:rPr>
                <w:rFonts w:hint="eastAsia" w:ascii="宋体" w:hAnsi="宋体" w:eastAsia="宋体" w:cs="Times New Roman"/>
                <w:b/>
                <w:bCs/>
                <w:color w:val="auto"/>
                <w:szCs w:val="21"/>
              </w:rPr>
            </w:pPr>
            <w:r>
              <w:rPr>
                <w:rFonts w:hint="eastAsia" w:ascii="宋体" w:hAnsi="宋体" w:eastAsia="宋体" w:cs="Times New Roman"/>
                <w:b/>
                <w:bCs/>
                <w:color w:val="auto"/>
                <w:szCs w:val="21"/>
              </w:rPr>
              <w:t>（3）投标人参与投标只允许填报一个“折扣率”，不允许填报2个（或以上）的“折扣率”；填报了2个或以上“折扣率”的，其投标将直接作投标无效处理；</w:t>
            </w:r>
          </w:p>
          <w:p w14:paraId="459E37D1">
            <w:pPr>
              <w:rPr>
                <w:rFonts w:ascii="宋体" w:hAnsi="宋体"/>
                <w:b/>
                <w:bCs/>
                <w:color w:val="auto"/>
                <w:kern w:val="21"/>
                <w:szCs w:val="24"/>
              </w:rPr>
            </w:pPr>
            <w:r>
              <w:rPr>
                <w:rFonts w:hint="eastAsia" w:ascii="宋体" w:hAnsi="宋体" w:eastAsia="宋体" w:cs="Times New Roman"/>
                <w:b/>
                <w:bCs/>
                <w:color w:val="auto"/>
                <w:szCs w:val="21"/>
              </w:rPr>
              <w:t>（4）“折扣率”缺填、漏填将直接作投标无效处理。</w:t>
            </w:r>
          </w:p>
        </w:tc>
      </w:tr>
      <w:tr w14:paraId="474A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776" w:type="dxa"/>
            <w:vAlign w:val="center"/>
          </w:tcPr>
          <w:p w14:paraId="76BCA77D">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1335" w:type="dxa"/>
            <w:vAlign w:val="center"/>
          </w:tcPr>
          <w:p w14:paraId="12E943D9">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付款方式</w:t>
            </w:r>
          </w:p>
        </w:tc>
        <w:tc>
          <w:tcPr>
            <w:tcW w:w="6951" w:type="dxa"/>
          </w:tcPr>
          <w:p w14:paraId="1327A29B">
            <w:pPr>
              <w:adjustRightInd w:val="0"/>
              <w:snapToGrid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款每个月结算一次。中标供应商必须向学校提供合法的货款发票，发票公章必须与公司名称相符，合同方、收款方、发票方三者必须一致。同时按货物品目分类提供明细、汇总清单及产品价格证明；学校对中标供应商提供的资料核对无误，且符合付款条件后予以支付。</w:t>
            </w:r>
          </w:p>
          <w:p w14:paraId="1310284B">
            <w:pPr>
              <w:adjustRightInd w:val="0"/>
              <w:snapToGrid w:val="0"/>
              <w:jc w:val="left"/>
              <w:rPr>
                <w:rFonts w:ascii="宋体" w:hAnsi="宋体" w:eastAsia="宋体" w:cs="宋体"/>
                <w:color w:val="auto"/>
                <w:szCs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）符合付款条件的，学校自收到发票后10个工作日内，支付给中标供应商。</w:t>
            </w:r>
          </w:p>
        </w:tc>
      </w:tr>
      <w:tr w14:paraId="0D75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776" w:type="dxa"/>
            <w:vAlign w:val="center"/>
          </w:tcPr>
          <w:p w14:paraId="33E5CF1A">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1335" w:type="dxa"/>
            <w:vAlign w:val="center"/>
          </w:tcPr>
          <w:p w14:paraId="2F2EA934">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关于验收</w:t>
            </w:r>
          </w:p>
        </w:tc>
        <w:tc>
          <w:tcPr>
            <w:tcW w:w="6951" w:type="dxa"/>
          </w:tcPr>
          <w:p w14:paraId="6A94FB9F">
            <w:pPr>
              <w:rPr>
                <w:rFonts w:ascii="宋体" w:hAnsi="宋体" w:eastAsia="宋体" w:cs="宋体"/>
                <w:color w:val="auto"/>
                <w:szCs w:val="21"/>
              </w:rPr>
            </w:pPr>
            <w:r>
              <w:rPr>
                <w:rFonts w:hint="eastAsia" w:ascii="宋体" w:hAnsi="宋体"/>
                <w:color w:val="auto"/>
                <w:kern w:val="21"/>
                <w:szCs w:val="24"/>
                <w:highlight w:val="none"/>
                <w:lang w:val="en-US" w:eastAsia="zh-CN"/>
              </w:rPr>
              <w:t>按照</w:t>
            </w:r>
            <w:r>
              <w:rPr>
                <w:rFonts w:hint="eastAsia" w:ascii="宋体" w:hAnsi="宋体"/>
                <w:color w:val="auto"/>
                <w:kern w:val="21"/>
                <w:szCs w:val="24"/>
                <w:highlight w:val="none"/>
              </w:rPr>
              <w:t>招标文件规定</w:t>
            </w:r>
            <w:r>
              <w:rPr>
                <w:rFonts w:hint="eastAsia" w:ascii="宋体" w:hAnsi="宋体"/>
                <w:color w:val="auto"/>
                <w:kern w:val="21"/>
                <w:szCs w:val="24"/>
                <w:highlight w:val="none"/>
                <w:lang w:val="en-US" w:eastAsia="zh-CN"/>
              </w:rPr>
              <w:t>的内容及</w:t>
            </w:r>
            <w:r>
              <w:rPr>
                <w:rFonts w:hint="eastAsia" w:ascii="宋体" w:hAnsi="宋体"/>
                <w:color w:val="auto"/>
                <w:kern w:val="21"/>
                <w:szCs w:val="24"/>
                <w:highlight w:val="none"/>
              </w:rPr>
              <w:t>标准进行验收</w:t>
            </w:r>
            <w:r>
              <w:rPr>
                <w:rFonts w:ascii="宋体" w:hAnsi="宋体"/>
                <w:color w:val="auto"/>
                <w:kern w:val="21"/>
                <w:szCs w:val="24"/>
                <w:highlight w:val="none"/>
              </w:rPr>
              <w:t>。</w:t>
            </w:r>
            <w:r>
              <w:rPr>
                <w:rFonts w:hint="eastAsia" w:ascii="宋体" w:hAnsi="宋体"/>
                <w:color w:val="auto"/>
                <w:kern w:val="21"/>
                <w:szCs w:val="24"/>
              </w:rPr>
              <w:t xml:space="preserve"> </w:t>
            </w:r>
          </w:p>
        </w:tc>
      </w:tr>
      <w:tr w14:paraId="5BEC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776" w:type="dxa"/>
            <w:vAlign w:val="center"/>
          </w:tcPr>
          <w:p w14:paraId="33587373">
            <w:pPr>
              <w:adjustRightInd w:val="0"/>
              <w:snapToGrid w:val="0"/>
              <w:jc w:val="center"/>
              <w:rPr>
                <w:rFonts w:ascii="宋体" w:hAnsi="宋体" w:eastAsia="宋体" w:cs="宋体"/>
                <w:szCs w:val="21"/>
              </w:rPr>
            </w:pPr>
            <w:r>
              <w:rPr>
                <w:rFonts w:hint="eastAsia" w:ascii="宋体" w:hAnsi="宋体" w:eastAsia="宋体" w:cs="宋体"/>
                <w:szCs w:val="21"/>
              </w:rPr>
              <w:t>7</w:t>
            </w:r>
          </w:p>
        </w:tc>
        <w:tc>
          <w:tcPr>
            <w:tcW w:w="1335" w:type="dxa"/>
            <w:vAlign w:val="center"/>
          </w:tcPr>
          <w:p w14:paraId="49B69905">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合同签订</w:t>
            </w:r>
          </w:p>
        </w:tc>
        <w:tc>
          <w:tcPr>
            <w:tcW w:w="6951" w:type="dxa"/>
          </w:tcPr>
          <w:p w14:paraId="4301CC7A">
            <w:pPr>
              <w:tabs>
                <w:tab w:val="left" w:pos="1334"/>
              </w:tabs>
              <w:rPr>
                <w:rFonts w:hint="eastAsia" w:ascii="宋体" w:hAnsi="宋体" w:eastAsiaTheme="minorEastAsia"/>
                <w:color w:val="auto"/>
                <w:kern w:val="21"/>
                <w:szCs w:val="24"/>
                <w:lang w:eastAsia="zh-CN"/>
              </w:rPr>
            </w:pPr>
            <w:r>
              <w:rPr>
                <w:rFonts w:hint="eastAsia" w:ascii="宋体" w:hAnsi="宋体"/>
                <w:color w:val="auto"/>
                <w:kern w:val="21"/>
                <w:szCs w:val="24"/>
                <w:highlight w:val="none"/>
              </w:rPr>
              <w:t>服务合同应当约定的内容，包括但不限于中标</w:t>
            </w:r>
            <w:r>
              <w:rPr>
                <w:rFonts w:hint="eastAsia" w:ascii="宋体" w:hAnsi="宋体" w:eastAsia="宋体" w:cs="宋体"/>
                <w:color w:val="auto"/>
                <w:szCs w:val="21"/>
                <w:highlight w:val="none"/>
              </w:rPr>
              <w:t>折扣率</w:t>
            </w:r>
            <w:r>
              <w:rPr>
                <w:rFonts w:hint="eastAsia" w:ascii="宋体" w:hAnsi="宋体"/>
                <w:color w:val="auto"/>
                <w:kern w:val="21"/>
                <w:szCs w:val="24"/>
                <w:highlight w:val="none"/>
              </w:rPr>
              <w:t>、服务期、年度支付金额上限、支付方式、履行期限、解决争议的方法。</w:t>
            </w:r>
          </w:p>
        </w:tc>
      </w:tr>
    </w:tbl>
    <w:p w14:paraId="0DDD8020">
      <w:pPr>
        <w:pStyle w:val="3"/>
        <w:spacing w:before="120" w:beforeLines="50" w:after="120" w:afterLines="50"/>
        <w:rPr>
          <w:rFonts w:hint="eastAsia" w:eastAsia="宋体"/>
          <w:szCs w:val="24"/>
          <w:highlight w:val="none"/>
          <w:lang w:eastAsia="zh-CN"/>
        </w:rPr>
      </w:pPr>
      <w:r>
        <w:rPr>
          <w:rFonts w:hint="eastAsia" w:ascii="宋体" w:hAnsi="宋体" w:eastAsia="宋体" w:cs="Times New Roman"/>
          <w:b/>
          <w:bCs/>
          <w:kern w:val="0"/>
          <w:sz w:val="24"/>
          <w:szCs w:val="24"/>
          <w:highlight w:val="none"/>
          <w:lang w:val="en-US" w:eastAsia="zh-CN" w:bidi="ar-SA"/>
        </w:rPr>
        <w:t>七、</w:t>
      </w:r>
      <w:r>
        <w:rPr>
          <w:rFonts w:hint="eastAsia" w:eastAsia="宋体"/>
          <w:szCs w:val="24"/>
          <w:highlight w:val="none"/>
          <w:lang w:val="en-US" w:eastAsia="zh-CN"/>
        </w:rPr>
        <w:t>附件</w:t>
      </w:r>
    </w:p>
    <w:p w14:paraId="28737E6B">
      <w:pPr>
        <w:rPr>
          <w:highlight w:val="none"/>
        </w:rPr>
      </w:pPr>
    </w:p>
    <w:p w14:paraId="612A874C">
      <w:pPr>
        <w:pStyle w:val="7"/>
        <w:outlineLvl w:val="2"/>
        <w:rPr>
          <w:rFonts w:ascii="宋体" w:hAnsi="宋体"/>
          <w:b/>
          <w:bCs/>
          <w:sz w:val="24"/>
          <w:szCs w:val="21"/>
          <w:highlight w:val="none"/>
        </w:rPr>
      </w:pPr>
      <w:r>
        <w:rPr>
          <w:rFonts w:hint="eastAsia" w:ascii="宋体" w:hAnsi="宋体"/>
          <w:b/>
          <w:bCs/>
          <w:sz w:val="24"/>
          <w:szCs w:val="21"/>
          <w:highlight w:val="none"/>
        </w:rPr>
        <w:t>附件一  食堂食材供应商供货异常情况登记表</w:t>
      </w:r>
    </w:p>
    <w:tbl>
      <w:tblPr>
        <w:tblStyle w:val="42"/>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593"/>
        <w:gridCol w:w="2921"/>
        <w:gridCol w:w="1715"/>
        <w:gridCol w:w="2101"/>
      </w:tblGrid>
      <w:tr w14:paraId="47E199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2" w:hRule="atLeast"/>
        </w:trPr>
        <w:tc>
          <w:tcPr>
            <w:tcW w:w="956" w:type="pct"/>
            <w:tcBorders>
              <w:bottom w:val="single" w:color="000000" w:sz="6" w:space="0"/>
              <w:right w:val="single" w:color="000000" w:sz="6" w:space="0"/>
            </w:tcBorders>
            <w:vAlign w:val="center"/>
          </w:tcPr>
          <w:p w14:paraId="1B4B7A34">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供应商名称</w:t>
            </w:r>
          </w:p>
        </w:tc>
        <w:tc>
          <w:tcPr>
            <w:tcW w:w="1753" w:type="pct"/>
            <w:tcBorders>
              <w:left w:val="single" w:color="000000" w:sz="6" w:space="0"/>
              <w:bottom w:val="single" w:color="000000" w:sz="6" w:space="0"/>
              <w:right w:val="single" w:color="000000" w:sz="6" w:space="0"/>
            </w:tcBorders>
            <w:vAlign w:val="center"/>
          </w:tcPr>
          <w:p w14:paraId="375FFC80">
            <w:pPr>
              <w:autoSpaceDE w:val="0"/>
              <w:autoSpaceDN w:val="0"/>
              <w:adjustRightInd w:val="0"/>
              <w:jc w:val="center"/>
              <w:rPr>
                <w:rFonts w:hAnsi="宋体" w:cs="宋体"/>
                <w:kern w:val="0"/>
                <w:sz w:val="22"/>
                <w:highlight w:val="none"/>
              </w:rPr>
            </w:pPr>
          </w:p>
        </w:tc>
        <w:tc>
          <w:tcPr>
            <w:tcW w:w="1029" w:type="pct"/>
            <w:tcBorders>
              <w:left w:val="single" w:color="000000" w:sz="6" w:space="0"/>
              <w:bottom w:val="single" w:color="000000" w:sz="6" w:space="0"/>
              <w:right w:val="single" w:color="000000" w:sz="6" w:space="0"/>
            </w:tcBorders>
            <w:vAlign w:val="center"/>
          </w:tcPr>
          <w:p w14:paraId="6C582ECE">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联系人及电话</w:t>
            </w:r>
          </w:p>
        </w:tc>
        <w:tc>
          <w:tcPr>
            <w:tcW w:w="1260" w:type="pct"/>
            <w:tcBorders>
              <w:top w:val="single" w:color="000000" w:sz="4" w:space="0"/>
              <w:left w:val="single" w:color="000000" w:sz="6" w:space="0"/>
              <w:bottom w:val="single" w:color="000000" w:sz="6" w:space="0"/>
            </w:tcBorders>
            <w:vAlign w:val="center"/>
          </w:tcPr>
          <w:p w14:paraId="032BFD39">
            <w:pPr>
              <w:autoSpaceDE w:val="0"/>
              <w:autoSpaceDN w:val="0"/>
              <w:adjustRightInd w:val="0"/>
              <w:jc w:val="center"/>
              <w:rPr>
                <w:rFonts w:hAnsi="宋体" w:cs="宋体"/>
                <w:kern w:val="0"/>
                <w:sz w:val="22"/>
                <w:highlight w:val="none"/>
              </w:rPr>
            </w:pPr>
          </w:p>
        </w:tc>
      </w:tr>
      <w:tr w14:paraId="1819D1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75" w:hRule="atLeast"/>
        </w:trPr>
        <w:tc>
          <w:tcPr>
            <w:tcW w:w="956" w:type="pct"/>
            <w:tcBorders>
              <w:top w:val="single" w:color="000000" w:sz="6" w:space="0"/>
              <w:bottom w:val="single" w:color="000000" w:sz="6" w:space="0"/>
              <w:right w:val="single" w:color="000000" w:sz="6" w:space="0"/>
            </w:tcBorders>
            <w:vAlign w:val="center"/>
          </w:tcPr>
          <w:p w14:paraId="33221BC1">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送货地点</w:t>
            </w:r>
          </w:p>
        </w:tc>
        <w:tc>
          <w:tcPr>
            <w:tcW w:w="1753" w:type="pct"/>
            <w:tcBorders>
              <w:top w:val="single" w:color="000000" w:sz="6" w:space="0"/>
              <w:left w:val="single" w:color="000000" w:sz="6" w:space="0"/>
              <w:bottom w:val="single" w:color="000000" w:sz="6" w:space="0"/>
              <w:right w:val="single" w:color="000000" w:sz="6" w:space="0"/>
            </w:tcBorders>
            <w:vAlign w:val="center"/>
          </w:tcPr>
          <w:p w14:paraId="67EB8F2C">
            <w:pPr>
              <w:autoSpaceDE w:val="0"/>
              <w:autoSpaceDN w:val="0"/>
              <w:adjustRightInd w:val="0"/>
              <w:jc w:val="center"/>
              <w:rPr>
                <w:rFonts w:hAnsi="宋体" w:cs="宋体"/>
                <w:kern w:val="0"/>
                <w:sz w:val="22"/>
                <w:highlight w:val="none"/>
              </w:rPr>
            </w:pPr>
          </w:p>
        </w:tc>
        <w:tc>
          <w:tcPr>
            <w:tcW w:w="1029" w:type="pct"/>
            <w:tcBorders>
              <w:top w:val="single" w:color="000000" w:sz="6" w:space="0"/>
              <w:left w:val="single" w:color="000000" w:sz="6" w:space="0"/>
              <w:bottom w:val="single" w:color="000000" w:sz="6" w:space="0"/>
              <w:right w:val="single" w:color="000000" w:sz="6" w:space="0"/>
            </w:tcBorders>
            <w:vAlign w:val="center"/>
          </w:tcPr>
          <w:p w14:paraId="751FF288">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送货时间</w:t>
            </w:r>
          </w:p>
        </w:tc>
        <w:tc>
          <w:tcPr>
            <w:tcW w:w="1260" w:type="pct"/>
            <w:tcBorders>
              <w:top w:val="single" w:color="000000" w:sz="6" w:space="0"/>
              <w:left w:val="single" w:color="000000" w:sz="6" w:space="0"/>
              <w:bottom w:val="single" w:color="000000" w:sz="6" w:space="0"/>
            </w:tcBorders>
            <w:vAlign w:val="center"/>
          </w:tcPr>
          <w:p w14:paraId="46C2E8E8">
            <w:pPr>
              <w:tabs>
                <w:tab w:val="left" w:pos="1189"/>
                <w:tab w:val="left" w:pos="1789"/>
              </w:tabs>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 xml:space="preserve">   年   月   日</w:t>
            </w:r>
          </w:p>
        </w:tc>
      </w:tr>
      <w:tr w14:paraId="4077C3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2" w:hRule="atLeast"/>
        </w:trPr>
        <w:tc>
          <w:tcPr>
            <w:tcW w:w="956" w:type="pct"/>
            <w:tcBorders>
              <w:top w:val="single" w:color="000000" w:sz="6" w:space="0"/>
              <w:bottom w:val="single" w:color="000000" w:sz="6" w:space="0"/>
              <w:right w:val="single" w:color="000000" w:sz="6" w:space="0"/>
            </w:tcBorders>
            <w:vAlign w:val="center"/>
          </w:tcPr>
          <w:p w14:paraId="035181D4">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异常情况</w:t>
            </w:r>
          </w:p>
          <w:p w14:paraId="5B74E8AB">
            <w:pPr>
              <w:autoSpaceDE w:val="0"/>
              <w:autoSpaceDN w:val="0"/>
              <w:adjustRightInd w:val="0"/>
              <w:spacing w:line="296" w:lineRule="exact"/>
              <w:jc w:val="center"/>
              <w:rPr>
                <w:rFonts w:ascii="宋体" w:hAnsi="宋体" w:cs="宋体"/>
                <w:kern w:val="0"/>
                <w:sz w:val="24"/>
                <w:highlight w:val="none"/>
              </w:rPr>
            </w:pPr>
            <w:r>
              <w:rPr>
                <w:rFonts w:hint="eastAsia" w:ascii="宋体" w:hAnsi="宋体" w:cs="宋体"/>
                <w:kern w:val="0"/>
                <w:sz w:val="24"/>
                <w:highlight w:val="none"/>
              </w:rPr>
              <w:t>类别</w:t>
            </w:r>
          </w:p>
        </w:tc>
        <w:tc>
          <w:tcPr>
            <w:tcW w:w="4043" w:type="pct"/>
            <w:gridSpan w:val="3"/>
            <w:tcBorders>
              <w:top w:val="single" w:color="000000" w:sz="6" w:space="0"/>
              <w:left w:val="single" w:color="000000" w:sz="6" w:space="0"/>
              <w:bottom w:val="single" w:color="000000" w:sz="6" w:space="0"/>
            </w:tcBorders>
            <w:vAlign w:val="center"/>
          </w:tcPr>
          <w:p w14:paraId="0319642D">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质量（ ） 时间（ ） 安全（ ） 价格（ ） 服务（ ）</w:t>
            </w:r>
          </w:p>
        </w:tc>
      </w:tr>
      <w:tr w14:paraId="22769C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32" w:hRule="atLeast"/>
        </w:trPr>
        <w:tc>
          <w:tcPr>
            <w:tcW w:w="956" w:type="pct"/>
            <w:tcBorders>
              <w:top w:val="single" w:color="000000" w:sz="6" w:space="0"/>
              <w:bottom w:val="single" w:color="000000" w:sz="6" w:space="0"/>
              <w:right w:val="single" w:color="000000" w:sz="6" w:space="0"/>
            </w:tcBorders>
            <w:vAlign w:val="center"/>
          </w:tcPr>
          <w:p w14:paraId="6D841AD6">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具体情况</w:t>
            </w:r>
          </w:p>
        </w:tc>
        <w:tc>
          <w:tcPr>
            <w:tcW w:w="4043" w:type="pct"/>
            <w:gridSpan w:val="3"/>
            <w:tcBorders>
              <w:top w:val="single" w:color="000000" w:sz="6" w:space="0"/>
              <w:left w:val="single" w:color="000000" w:sz="6" w:space="0"/>
              <w:bottom w:val="single" w:color="000000" w:sz="6" w:space="0"/>
            </w:tcBorders>
            <w:vAlign w:val="center"/>
          </w:tcPr>
          <w:p w14:paraId="323A6DAC">
            <w:pPr>
              <w:autoSpaceDE w:val="0"/>
              <w:autoSpaceDN w:val="0"/>
              <w:adjustRightInd w:val="0"/>
              <w:jc w:val="center"/>
              <w:rPr>
                <w:rFonts w:hAnsi="宋体" w:cs="宋体"/>
                <w:kern w:val="0"/>
                <w:sz w:val="22"/>
                <w:highlight w:val="none"/>
              </w:rPr>
            </w:pPr>
          </w:p>
        </w:tc>
      </w:tr>
      <w:tr w14:paraId="0A4506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3" w:hRule="atLeast"/>
        </w:trPr>
        <w:tc>
          <w:tcPr>
            <w:tcW w:w="956" w:type="pct"/>
            <w:tcBorders>
              <w:top w:val="single" w:color="000000" w:sz="6" w:space="0"/>
              <w:bottom w:val="single" w:color="000000" w:sz="6" w:space="0"/>
              <w:right w:val="single" w:color="000000" w:sz="6" w:space="0"/>
            </w:tcBorders>
            <w:vAlign w:val="center"/>
          </w:tcPr>
          <w:p w14:paraId="3AE8E0C1">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学校签名</w:t>
            </w:r>
          </w:p>
        </w:tc>
        <w:tc>
          <w:tcPr>
            <w:tcW w:w="1753" w:type="pct"/>
            <w:tcBorders>
              <w:top w:val="single" w:color="000000" w:sz="6" w:space="0"/>
              <w:left w:val="single" w:color="000000" w:sz="6" w:space="0"/>
              <w:bottom w:val="single" w:color="000000" w:sz="6" w:space="0"/>
              <w:right w:val="single" w:color="000000" w:sz="4" w:space="0"/>
            </w:tcBorders>
            <w:vAlign w:val="center"/>
          </w:tcPr>
          <w:p w14:paraId="17FBEB98">
            <w:pPr>
              <w:autoSpaceDE w:val="0"/>
              <w:autoSpaceDN w:val="0"/>
              <w:adjustRightInd w:val="0"/>
              <w:jc w:val="center"/>
              <w:rPr>
                <w:rFonts w:hAnsi="宋体" w:cs="宋体"/>
                <w:kern w:val="0"/>
                <w:sz w:val="22"/>
                <w:highlight w:val="none"/>
              </w:rPr>
            </w:pPr>
          </w:p>
        </w:tc>
        <w:tc>
          <w:tcPr>
            <w:tcW w:w="1029" w:type="pct"/>
            <w:tcBorders>
              <w:top w:val="single" w:color="000000" w:sz="6" w:space="0"/>
              <w:left w:val="single" w:color="000000" w:sz="4" w:space="0"/>
              <w:bottom w:val="single" w:color="000000" w:sz="6" w:space="0"/>
              <w:right w:val="single" w:color="000000" w:sz="4" w:space="0"/>
            </w:tcBorders>
            <w:vAlign w:val="center"/>
          </w:tcPr>
          <w:p w14:paraId="02AD3CE3">
            <w:pPr>
              <w:autoSpaceDE w:val="0"/>
              <w:autoSpaceDN w:val="0"/>
              <w:adjustRightInd w:val="0"/>
              <w:jc w:val="center"/>
              <w:rPr>
                <w:rFonts w:ascii="宋体" w:hAnsi="宋体" w:cs="宋体"/>
                <w:kern w:val="0"/>
                <w:sz w:val="24"/>
                <w:highlight w:val="none"/>
              </w:rPr>
            </w:pPr>
            <w:r>
              <w:rPr>
                <w:rFonts w:hint="eastAsia" w:ascii="宋体" w:hAnsi="宋体" w:cs="宋体"/>
                <w:kern w:val="0"/>
                <w:sz w:val="24"/>
                <w:highlight w:val="none"/>
              </w:rPr>
              <w:t>供应商签名</w:t>
            </w:r>
          </w:p>
        </w:tc>
        <w:tc>
          <w:tcPr>
            <w:tcW w:w="1260" w:type="pct"/>
            <w:tcBorders>
              <w:top w:val="single" w:color="000000" w:sz="6" w:space="0"/>
              <w:left w:val="single" w:color="000000" w:sz="4" w:space="0"/>
              <w:bottom w:val="single" w:color="000000" w:sz="6" w:space="0"/>
            </w:tcBorders>
            <w:vAlign w:val="center"/>
          </w:tcPr>
          <w:p w14:paraId="0012B5E8">
            <w:pPr>
              <w:autoSpaceDE w:val="0"/>
              <w:autoSpaceDN w:val="0"/>
              <w:adjustRightInd w:val="0"/>
              <w:jc w:val="center"/>
              <w:rPr>
                <w:rFonts w:hAnsi="宋体" w:cs="宋体"/>
                <w:kern w:val="0"/>
                <w:sz w:val="22"/>
                <w:highlight w:val="none"/>
              </w:rPr>
            </w:pPr>
          </w:p>
        </w:tc>
      </w:tr>
      <w:tr w14:paraId="3C99E5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3" w:hRule="atLeast"/>
        </w:trPr>
        <w:tc>
          <w:tcPr>
            <w:tcW w:w="956" w:type="pct"/>
            <w:tcBorders>
              <w:top w:val="single" w:color="000000" w:sz="6" w:space="0"/>
              <w:right w:val="single" w:color="000000" w:sz="6" w:space="0"/>
            </w:tcBorders>
            <w:vAlign w:val="center"/>
          </w:tcPr>
          <w:p w14:paraId="69016ED3">
            <w:pPr>
              <w:autoSpaceDE w:val="0"/>
              <w:autoSpaceDN w:val="0"/>
              <w:adjustRightInd w:val="0"/>
              <w:jc w:val="center"/>
              <w:rPr>
                <w:rFonts w:hint="eastAsia" w:ascii="宋体" w:hAnsi="宋体" w:cs="宋体"/>
                <w:kern w:val="0"/>
                <w:sz w:val="24"/>
                <w:highlight w:val="none"/>
              </w:rPr>
            </w:pPr>
            <w:r>
              <w:rPr>
                <w:rFonts w:hint="eastAsia" w:ascii="宋体" w:hAnsi="宋体" w:cs="宋体"/>
                <w:kern w:val="0"/>
                <w:sz w:val="24"/>
                <w:highlight w:val="none"/>
              </w:rPr>
              <w:t>备注</w:t>
            </w:r>
          </w:p>
        </w:tc>
        <w:tc>
          <w:tcPr>
            <w:tcW w:w="4043" w:type="pct"/>
            <w:gridSpan w:val="3"/>
            <w:tcBorders>
              <w:top w:val="single" w:color="000000" w:sz="6" w:space="0"/>
              <w:left w:val="single" w:color="000000" w:sz="6" w:space="0"/>
            </w:tcBorders>
            <w:vAlign w:val="center"/>
          </w:tcPr>
          <w:p w14:paraId="232079B9">
            <w:pPr>
              <w:autoSpaceDE w:val="0"/>
              <w:autoSpaceDN w:val="0"/>
              <w:adjustRightInd w:val="0"/>
              <w:jc w:val="center"/>
              <w:rPr>
                <w:rFonts w:hAnsi="宋体" w:cs="宋体"/>
                <w:kern w:val="0"/>
                <w:sz w:val="22"/>
                <w:highlight w:val="none"/>
              </w:rPr>
            </w:pPr>
          </w:p>
        </w:tc>
      </w:tr>
    </w:tbl>
    <w:p w14:paraId="2E50FD95">
      <w:pPr>
        <w:spacing w:line="290" w:lineRule="auto"/>
        <w:ind w:left="420" w:hanging="420" w:hangingChars="200"/>
        <w:rPr>
          <w:rFonts w:ascii="宋体" w:hAnsi="宋体"/>
          <w:highlight w:val="none"/>
        </w:rPr>
      </w:pPr>
      <w:r>
        <w:rPr>
          <w:rFonts w:hint="eastAsia" w:ascii="宋体" w:hAnsi="宋体"/>
          <w:highlight w:val="none"/>
        </w:rPr>
        <w:t>说明：履约异常情况分为质量、时间、安全、价格、服务共五类，请首先在对应的类别前打“√”，然后在“具体情况”一栏详细说明情况并对照《服务供应商月度考核评分表》  对相应的指标进行扣分。本表格一式两联，学校及供应商各执一联。</w:t>
      </w:r>
    </w:p>
    <w:p w14:paraId="76EA8E65">
      <w:pPr>
        <w:rPr>
          <w:rFonts w:hint="eastAsia"/>
          <w:kern w:val="2"/>
          <w:highlight w:val="none"/>
        </w:rPr>
      </w:pPr>
      <w:r>
        <w:rPr>
          <w:rFonts w:hint="eastAsia"/>
          <w:kern w:val="2"/>
          <w:highlight w:val="none"/>
        </w:rPr>
        <w:br w:type="page"/>
      </w:r>
    </w:p>
    <w:p w14:paraId="4D5EC260">
      <w:pPr>
        <w:pStyle w:val="7"/>
        <w:outlineLvl w:val="2"/>
        <w:rPr>
          <w:sz w:val="24"/>
          <w:highlight w:val="none"/>
        </w:rPr>
      </w:pPr>
      <w:r>
        <w:rPr>
          <w:rFonts w:hint="eastAsia" w:ascii="宋体" w:hAnsi="宋体"/>
          <w:b/>
          <w:bCs/>
          <w:sz w:val="24"/>
          <w:szCs w:val="21"/>
          <w:highlight w:val="none"/>
        </w:rPr>
        <w:t>附件二  服务供应商月度考核评分表</w:t>
      </w:r>
    </w:p>
    <w:tbl>
      <w:tblPr>
        <w:tblStyle w:val="4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autofit"/>
        <w:tblCellMar>
          <w:top w:w="0" w:type="dxa"/>
          <w:left w:w="0" w:type="dxa"/>
          <w:bottom w:w="0" w:type="dxa"/>
          <w:right w:w="0" w:type="dxa"/>
        </w:tblCellMar>
      </w:tblPr>
      <w:tblGrid>
        <w:gridCol w:w="561"/>
        <w:gridCol w:w="473"/>
        <w:gridCol w:w="664"/>
        <w:gridCol w:w="572"/>
        <w:gridCol w:w="1446"/>
        <w:gridCol w:w="4213"/>
        <w:gridCol w:w="389"/>
      </w:tblGrid>
      <w:tr w14:paraId="06571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3" w:hRule="atLeast"/>
        </w:trPr>
        <w:tc>
          <w:tcPr>
            <w:tcW w:w="338" w:type="pct"/>
            <w:shd w:val="clear" w:color="auto" w:fill="FFFFFF" w:themeFill="background1"/>
            <w:vAlign w:val="center"/>
          </w:tcPr>
          <w:p w14:paraId="0AEBEC7A">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w w:val="95"/>
                <w:kern w:val="0"/>
                <w:sz w:val="21"/>
                <w:szCs w:val="21"/>
                <w:highlight w:val="none"/>
              </w:rPr>
              <w:t>一级指标</w:t>
            </w:r>
          </w:p>
        </w:tc>
        <w:tc>
          <w:tcPr>
            <w:tcW w:w="284" w:type="pct"/>
            <w:shd w:val="clear" w:color="auto" w:fill="FFFFFF" w:themeFill="background1"/>
            <w:vAlign w:val="center"/>
          </w:tcPr>
          <w:p w14:paraId="1257D8F5">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分值</w:t>
            </w:r>
          </w:p>
        </w:tc>
        <w:tc>
          <w:tcPr>
            <w:tcW w:w="399" w:type="pct"/>
            <w:shd w:val="clear" w:color="auto" w:fill="FFFFFF" w:themeFill="background1"/>
            <w:vAlign w:val="center"/>
          </w:tcPr>
          <w:p w14:paraId="2FD1E6F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二级指标</w:t>
            </w:r>
          </w:p>
        </w:tc>
        <w:tc>
          <w:tcPr>
            <w:tcW w:w="343" w:type="pct"/>
            <w:shd w:val="clear" w:color="auto" w:fill="FFFFFF" w:themeFill="background1"/>
            <w:vAlign w:val="center"/>
          </w:tcPr>
          <w:p w14:paraId="17D8B372">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分值</w:t>
            </w:r>
          </w:p>
        </w:tc>
        <w:tc>
          <w:tcPr>
            <w:tcW w:w="869" w:type="pct"/>
            <w:shd w:val="clear" w:color="auto" w:fill="FFFFFF" w:themeFill="background1"/>
            <w:vAlign w:val="center"/>
          </w:tcPr>
          <w:p w14:paraId="3383BAE1">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考核内容</w:t>
            </w:r>
          </w:p>
        </w:tc>
        <w:tc>
          <w:tcPr>
            <w:tcW w:w="2529" w:type="pct"/>
            <w:shd w:val="clear" w:color="auto" w:fill="FFFFFF" w:themeFill="background1"/>
            <w:vAlign w:val="center"/>
          </w:tcPr>
          <w:p w14:paraId="78CB0077">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评分标准</w:t>
            </w:r>
          </w:p>
        </w:tc>
        <w:tc>
          <w:tcPr>
            <w:tcW w:w="234" w:type="pct"/>
            <w:shd w:val="clear" w:color="auto" w:fill="FFFFFF" w:themeFill="background1"/>
            <w:vAlign w:val="center"/>
          </w:tcPr>
          <w:p w14:paraId="60B26E1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得分</w:t>
            </w:r>
          </w:p>
        </w:tc>
      </w:tr>
      <w:tr w14:paraId="48766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8" w:hRule="atLeast"/>
        </w:trPr>
        <w:tc>
          <w:tcPr>
            <w:tcW w:w="338" w:type="pct"/>
            <w:vMerge w:val="restart"/>
            <w:shd w:val="clear" w:color="auto" w:fill="FFFFFF" w:themeFill="background1"/>
            <w:vAlign w:val="center"/>
          </w:tcPr>
          <w:p w14:paraId="0AF77F37">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食材管理</w:t>
            </w:r>
          </w:p>
        </w:tc>
        <w:tc>
          <w:tcPr>
            <w:tcW w:w="284" w:type="pct"/>
            <w:vMerge w:val="restart"/>
            <w:shd w:val="clear" w:color="auto" w:fill="FFFFFF" w:themeFill="background1"/>
            <w:vAlign w:val="center"/>
          </w:tcPr>
          <w:p w14:paraId="4FA9016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 分</w:t>
            </w:r>
          </w:p>
        </w:tc>
        <w:tc>
          <w:tcPr>
            <w:tcW w:w="399" w:type="pct"/>
            <w:shd w:val="clear" w:color="auto" w:fill="FFFFFF" w:themeFill="background1"/>
            <w:vAlign w:val="center"/>
          </w:tcPr>
          <w:p w14:paraId="161A1569">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食材质量评价指标</w:t>
            </w:r>
          </w:p>
        </w:tc>
        <w:tc>
          <w:tcPr>
            <w:tcW w:w="343" w:type="pct"/>
            <w:shd w:val="clear" w:color="auto" w:fill="FFFFFF" w:themeFill="background1"/>
            <w:vAlign w:val="center"/>
          </w:tcPr>
          <w:p w14:paraId="04B489A2">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25分</w:t>
            </w:r>
          </w:p>
        </w:tc>
        <w:tc>
          <w:tcPr>
            <w:tcW w:w="869" w:type="pct"/>
            <w:shd w:val="clear" w:color="auto" w:fill="FFFFFF" w:themeFill="background1"/>
            <w:vAlign w:val="center"/>
          </w:tcPr>
          <w:p w14:paraId="5B9F8F0B">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考核内容配送物品是否</w:t>
            </w:r>
            <w:r>
              <w:rPr>
                <w:rFonts w:hint="eastAsia" w:ascii="宋体" w:hAnsi="宋体" w:eastAsia="宋体" w:cs="宋体"/>
                <w:spacing w:val="-12"/>
                <w:kern w:val="0"/>
                <w:sz w:val="21"/>
                <w:szCs w:val="21"/>
                <w:highlight w:val="none"/>
              </w:rPr>
              <w:t>存在霉烂、变质、过期、</w:t>
            </w:r>
            <w:r>
              <w:rPr>
                <w:rFonts w:hint="eastAsia" w:ascii="宋体" w:hAnsi="宋体" w:eastAsia="宋体" w:cs="宋体"/>
                <w:kern w:val="0"/>
                <w:sz w:val="21"/>
                <w:szCs w:val="21"/>
                <w:highlight w:val="none"/>
              </w:rPr>
              <w:t>破损、品种不达标等不符《深圳市学校食堂食材采购验收参考标准》中对质量要求的情况， 是否存在以次充好达不到学校要求等的情况。每次退换货及时补回的</w:t>
            </w:r>
            <w:r>
              <w:rPr>
                <w:rFonts w:hint="eastAsia" w:ascii="宋体" w:hAnsi="宋体" w:eastAsia="宋体" w:cs="宋体"/>
                <w:spacing w:val="-15"/>
                <w:kern w:val="0"/>
                <w:sz w:val="21"/>
                <w:szCs w:val="21"/>
                <w:highlight w:val="none"/>
              </w:rPr>
              <w:t xml:space="preserve">每次扣 </w:t>
            </w:r>
            <w:r>
              <w:rPr>
                <w:rFonts w:hint="eastAsia" w:ascii="宋体" w:hAnsi="宋体" w:eastAsia="宋体" w:cs="宋体"/>
                <w:kern w:val="0"/>
                <w:sz w:val="21"/>
                <w:szCs w:val="21"/>
                <w:highlight w:val="none"/>
              </w:rPr>
              <w:t>1</w:t>
            </w:r>
            <w:r>
              <w:rPr>
                <w:rFonts w:hint="eastAsia" w:ascii="宋体" w:hAnsi="宋体" w:eastAsia="宋体" w:cs="宋体"/>
                <w:spacing w:val="-30"/>
                <w:kern w:val="0"/>
                <w:sz w:val="21"/>
                <w:szCs w:val="21"/>
                <w:highlight w:val="none"/>
              </w:rPr>
              <w:t xml:space="preserve"> 分</w:t>
            </w:r>
            <w:r>
              <w:rPr>
                <w:rFonts w:hint="eastAsia" w:ascii="宋体" w:hAnsi="宋体" w:eastAsia="宋体" w:cs="宋体"/>
                <w:kern w:val="0"/>
                <w:sz w:val="21"/>
                <w:szCs w:val="21"/>
                <w:highlight w:val="none"/>
              </w:rPr>
              <w:t>/</w:t>
            </w:r>
            <w:r>
              <w:rPr>
                <w:rFonts w:hint="eastAsia" w:ascii="宋体" w:hAnsi="宋体" w:eastAsia="宋体" w:cs="宋体"/>
                <w:spacing w:val="-20"/>
                <w:kern w:val="0"/>
                <w:sz w:val="21"/>
                <w:szCs w:val="21"/>
                <w:highlight w:val="none"/>
              </w:rPr>
              <w:t>品种，每次退换货未能及时补回的</w:t>
            </w:r>
            <w:r>
              <w:rPr>
                <w:rFonts w:hint="eastAsia" w:ascii="宋体" w:hAnsi="宋体" w:eastAsia="宋体" w:cs="宋体"/>
                <w:kern w:val="0"/>
                <w:sz w:val="21"/>
                <w:szCs w:val="21"/>
                <w:highlight w:val="none"/>
              </w:rPr>
              <w:t>每次扣 2 分/品种。</w:t>
            </w:r>
          </w:p>
        </w:tc>
        <w:tc>
          <w:tcPr>
            <w:tcW w:w="2529" w:type="pct"/>
            <w:shd w:val="clear" w:color="auto" w:fill="FFFFFF" w:themeFill="background1"/>
            <w:vAlign w:val="center"/>
          </w:tcPr>
          <w:p w14:paraId="04064354">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本月每日配送食材新鲜，不存在霉烂、变质、过期、破损、品种不达标等情况，完全符合《深圳市学校食堂食材采购验收参</w:t>
            </w:r>
            <w:r>
              <w:rPr>
                <w:rFonts w:hint="eastAsia" w:ascii="宋体" w:hAnsi="宋体" w:eastAsia="宋体" w:cs="宋体"/>
                <w:spacing w:val="-8"/>
                <w:kern w:val="0"/>
                <w:sz w:val="21"/>
                <w:szCs w:val="21"/>
                <w:highlight w:val="none"/>
              </w:rPr>
              <w:t xml:space="preserve">考标准》中的相关要求，得 </w:t>
            </w:r>
            <w:r>
              <w:rPr>
                <w:rFonts w:hint="eastAsia" w:ascii="宋体" w:hAnsi="宋体" w:eastAsia="宋体" w:cs="宋体"/>
                <w:kern w:val="0"/>
                <w:sz w:val="21"/>
                <w:szCs w:val="21"/>
                <w:highlight w:val="none"/>
              </w:rPr>
              <w:t>25</w:t>
            </w:r>
            <w:r>
              <w:rPr>
                <w:rFonts w:hint="eastAsia" w:ascii="宋体" w:hAnsi="宋体" w:eastAsia="宋体" w:cs="宋体"/>
                <w:spacing w:val="-11"/>
                <w:kern w:val="0"/>
                <w:sz w:val="21"/>
                <w:szCs w:val="21"/>
                <w:highlight w:val="none"/>
              </w:rPr>
              <w:t>分；因食材不符合《深圳市学校</w:t>
            </w:r>
            <w:r>
              <w:rPr>
                <w:rFonts w:hint="eastAsia" w:ascii="宋体" w:hAnsi="宋体" w:eastAsia="宋体" w:cs="宋体"/>
                <w:kern w:val="0"/>
                <w:sz w:val="21"/>
                <w:szCs w:val="21"/>
                <w:highlight w:val="none"/>
              </w:rPr>
              <w:t>食堂食材采购验收参考标准》中的相关要求，校方要求供应商退换货的：供应商能及时补回同品种食材的，每发生一</w:t>
            </w:r>
            <w:r>
              <w:rPr>
                <w:rFonts w:hint="eastAsia" w:ascii="宋体" w:hAnsi="宋体" w:eastAsia="宋体" w:cs="宋体"/>
                <w:spacing w:val="-20"/>
                <w:kern w:val="0"/>
                <w:sz w:val="21"/>
                <w:szCs w:val="21"/>
                <w:highlight w:val="none"/>
              </w:rPr>
              <w:t xml:space="preserve">次扣 </w:t>
            </w:r>
            <w:r>
              <w:rPr>
                <w:rFonts w:hint="eastAsia" w:ascii="宋体" w:hAnsi="宋体" w:eastAsia="宋体" w:cs="宋体"/>
                <w:kern w:val="0"/>
                <w:sz w:val="21"/>
                <w:szCs w:val="21"/>
                <w:highlight w:val="none"/>
                <w:lang w:val="en-US" w:eastAsia="zh-CN"/>
              </w:rPr>
              <w:t>2</w:t>
            </w:r>
            <w:r>
              <w:rPr>
                <w:rFonts w:hint="eastAsia" w:ascii="宋体" w:hAnsi="宋体" w:eastAsia="宋体" w:cs="宋体"/>
                <w:spacing w:val="-30"/>
                <w:kern w:val="0"/>
                <w:sz w:val="21"/>
                <w:szCs w:val="21"/>
                <w:highlight w:val="none"/>
              </w:rPr>
              <w:t xml:space="preserve"> 分</w:t>
            </w:r>
            <w:r>
              <w:rPr>
                <w:rFonts w:hint="eastAsia" w:ascii="宋体" w:hAnsi="宋体" w:eastAsia="宋体" w:cs="宋体"/>
                <w:kern w:val="0"/>
                <w:sz w:val="21"/>
                <w:szCs w:val="21"/>
                <w:highlight w:val="none"/>
              </w:rPr>
              <w:t>/</w:t>
            </w:r>
            <w:r>
              <w:rPr>
                <w:rFonts w:hint="eastAsia" w:ascii="宋体" w:hAnsi="宋体" w:eastAsia="宋体" w:cs="宋体"/>
                <w:spacing w:val="-6"/>
                <w:kern w:val="0"/>
                <w:sz w:val="21"/>
                <w:szCs w:val="21"/>
                <w:highlight w:val="none"/>
              </w:rPr>
              <w:t>品种；供应商不能及时补回同品种食材、但能及时提</w:t>
            </w:r>
            <w:r>
              <w:rPr>
                <w:rFonts w:hint="eastAsia" w:ascii="宋体" w:hAnsi="宋体" w:eastAsia="宋体" w:cs="宋体"/>
                <w:kern w:val="0"/>
                <w:sz w:val="21"/>
                <w:szCs w:val="21"/>
                <w:highlight w:val="none"/>
              </w:rPr>
              <w:t>供符合《深圳市学校食堂食材采购验收参考标准》中相关要求</w:t>
            </w:r>
            <w:r>
              <w:rPr>
                <w:rFonts w:hint="eastAsia" w:ascii="宋体" w:hAnsi="宋体" w:eastAsia="宋体" w:cs="宋体"/>
                <w:spacing w:val="-8"/>
                <w:kern w:val="0"/>
                <w:sz w:val="21"/>
                <w:szCs w:val="21"/>
                <w:highlight w:val="none"/>
              </w:rPr>
              <w:t xml:space="preserve">的替代食材的，每发生一次扣 </w:t>
            </w:r>
            <w:r>
              <w:rPr>
                <w:rFonts w:hint="eastAsia" w:ascii="宋体" w:hAnsi="宋体" w:eastAsia="宋体" w:cs="宋体"/>
                <w:kern w:val="0"/>
                <w:sz w:val="21"/>
                <w:szCs w:val="21"/>
                <w:highlight w:val="none"/>
                <w:lang w:val="en-US" w:eastAsia="zh-CN"/>
              </w:rPr>
              <w:t>4</w:t>
            </w:r>
            <w:r>
              <w:rPr>
                <w:rFonts w:hint="eastAsia" w:ascii="宋体" w:hAnsi="宋体" w:eastAsia="宋体" w:cs="宋体"/>
                <w:spacing w:val="-30"/>
                <w:kern w:val="0"/>
                <w:sz w:val="21"/>
                <w:szCs w:val="21"/>
                <w:highlight w:val="none"/>
              </w:rPr>
              <w:t xml:space="preserve"> 分</w:t>
            </w:r>
            <w:r>
              <w:rPr>
                <w:rFonts w:hint="eastAsia" w:ascii="宋体" w:hAnsi="宋体" w:eastAsia="宋体" w:cs="宋体"/>
                <w:kern w:val="0"/>
                <w:sz w:val="21"/>
                <w:szCs w:val="21"/>
                <w:highlight w:val="none"/>
              </w:rPr>
              <w:t>/</w:t>
            </w:r>
            <w:r>
              <w:rPr>
                <w:rFonts w:hint="eastAsia" w:ascii="宋体" w:hAnsi="宋体" w:eastAsia="宋体" w:cs="宋体"/>
                <w:spacing w:val="-5"/>
                <w:kern w:val="0"/>
                <w:sz w:val="21"/>
                <w:szCs w:val="21"/>
                <w:highlight w:val="none"/>
              </w:rPr>
              <w:t>品种；供应商不能及时补回</w:t>
            </w:r>
            <w:r>
              <w:rPr>
                <w:rFonts w:hint="eastAsia" w:ascii="宋体" w:hAnsi="宋体" w:eastAsia="宋体" w:cs="宋体"/>
                <w:kern w:val="0"/>
                <w:sz w:val="21"/>
                <w:szCs w:val="21"/>
                <w:highlight w:val="none"/>
              </w:rPr>
              <w:t>同品种食材及符合《深圳市学校食堂食材采购验收参考标准》中相关要求的替代食材，对当日餐食造成影响（如不能按时开</w:t>
            </w:r>
            <w:r>
              <w:rPr>
                <w:rFonts w:hint="eastAsia" w:ascii="宋体" w:hAnsi="宋体" w:eastAsia="宋体" w:cs="宋体"/>
                <w:spacing w:val="-3"/>
                <w:kern w:val="0"/>
                <w:sz w:val="21"/>
                <w:szCs w:val="21"/>
                <w:highlight w:val="none"/>
              </w:rPr>
              <w:t>餐、菜品数量减少等</w:t>
            </w:r>
            <w:r>
              <w:rPr>
                <w:rFonts w:hint="eastAsia" w:ascii="宋体" w:hAnsi="宋体" w:eastAsia="宋体" w:cs="宋体"/>
                <w:spacing w:val="-9"/>
                <w:kern w:val="0"/>
                <w:sz w:val="21"/>
                <w:szCs w:val="21"/>
                <w:highlight w:val="none"/>
              </w:rPr>
              <w:t>）</w:t>
            </w:r>
            <w:r>
              <w:rPr>
                <w:rFonts w:hint="eastAsia" w:ascii="宋体" w:hAnsi="宋体" w:eastAsia="宋体" w:cs="宋体"/>
                <w:spacing w:val="-11"/>
                <w:kern w:val="0"/>
                <w:sz w:val="21"/>
                <w:szCs w:val="21"/>
                <w:highlight w:val="none"/>
              </w:rPr>
              <w:t xml:space="preserve">，每发生一次扣 </w:t>
            </w:r>
            <w:r>
              <w:rPr>
                <w:rFonts w:hint="eastAsia" w:ascii="宋体" w:hAnsi="宋体" w:eastAsia="宋体" w:cs="宋体"/>
                <w:kern w:val="0"/>
                <w:sz w:val="21"/>
                <w:szCs w:val="21"/>
                <w:highlight w:val="none"/>
              </w:rPr>
              <w:t>10</w:t>
            </w:r>
            <w:r>
              <w:rPr>
                <w:rFonts w:hint="eastAsia" w:ascii="宋体" w:hAnsi="宋体" w:eastAsia="宋体" w:cs="宋体"/>
                <w:spacing w:val="-11"/>
                <w:kern w:val="0"/>
                <w:sz w:val="21"/>
                <w:szCs w:val="21"/>
                <w:highlight w:val="none"/>
              </w:rPr>
              <w:t xml:space="preserve"> 分。本项指标累计每</w:t>
            </w:r>
            <w:r>
              <w:rPr>
                <w:rFonts w:hint="eastAsia" w:ascii="宋体" w:hAnsi="宋体" w:eastAsia="宋体" w:cs="宋体"/>
                <w:kern w:val="0"/>
                <w:sz w:val="21"/>
                <w:szCs w:val="21"/>
                <w:highlight w:val="none"/>
              </w:rPr>
              <w:t>月最高扣分 25分。</w:t>
            </w:r>
          </w:p>
        </w:tc>
        <w:tc>
          <w:tcPr>
            <w:tcW w:w="234" w:type="pct"/>
            <w:shd w:val="clear" w:color="auto" w:fill="FFFFFF" w:themeFill="background1"/>
            <w:vAlign w:val="center"/>
          </w:tcPr>
          <w:p w14:paraId="55163219">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5D94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338" w:type="pct"/>
            <w:vMerge w:val="continue"/>
            <w:tcBorders>
              <w:top w:val="nil"/>
            </w:tcBorders>
            <w:shd w:val="clear" w:color="auto" w:fill="FFFFFF" w:themeFill="background1"/>
            <w:vAlign w:val="center"/>
          </w:tcPr>
          <w:p w14:paraId="2E1E2CF7">
            <w:pPr>
              <w:keepNext w:val="0"/>
              <w:keepLines w:val="0"/>
              <w:pageBreakBefore w:val="0"/>
              <w:widowControl w:val="0"/>
              <w:kinsoku/>
              <w:wordWrap/>
              <w:overflowPunct/>
              <w:topLinePunct w:val="0"/>
              <w:bidi w:val="0"/>
              <w:snapToGrid/>
              <w:spacing w:line="240" w:lineRule="auto"/>
              <w:ind w:left="0" w:right="0"/>
              <w:jc w:val="center"/>
              <w:textAlignment w:val="auto"/>
              <w:rPr>
                <w:rFonts w:hint="eastAsia" w:ascii="宋体" w:hAnsi="宋体" w:eastAsia="宋体" w:cs="宋体"/>
                <w:color w:val="auto"/>
                <w:sz w:val="21"/>
                <w:szCs w:val="21"/>
                <w:highlight w:val="none"/>
              </w:rPr>
            </w:pPr>
          </w:p>
        </w:tc>
        <w:tc>
          <w:tcPr>
            <w:tcW w:w="284" w:type="pct"/>
            <w:vMerge w:val="continue"/>
            <w:tcBorders>
              <w:top w:val="nil"/>
            </w:tcBorders>
            <w:shd w:val="clear" w:color="auto" w:fill="FFFFFF" w:themeFill="background1"/>
            <w:vAlign w:val="center"/>
          </w:tcPr>
          <w:p w14:paraId="2AD2DAF7">
            <w:pPr>
              <w:keepNext w:val="0"/>
              <w:keepLines w:val="0"/>
              <w:pageBreakBefore w:val="0"/>
              <w:widowControl w:val="0"/>
              <w:kinsoku/>
              <w:wordWrap/>
              <w:overflowPunct/>
              <w:topLinePunct w:val="0"/>
              <w:bidi w:val="0"/>
              <w:snapToGrid/>
              <w:spacing w:line="240" w:lineRule="auto"/>
              <w:ind w:left="0" w:right="0"/>
              <w:jc w:val="center"/>
              <w:textAlignment w:val="auto"/>
              <w:rPr>
                <w:rFonts w:hint="eastAsia" w:ascii="宋体" w:hAnsi="宋体" w:eastAsia="宋体" w:cs="宋体"/>
                <w:color w:val="auto"/>
                <w:sz w:val="21"/>
                <w:szCs w:val="21"/>
                <w:highlight w:val="none"/>
              </w:rPr>
            </w:pPr>
          </w:p>
        </w:tc>
        <w:tc>
          <w:tcPr>
            <w:tcW w:w="399" w:type="pct"/>
            <w:shd w:val="clear" w:color="auto" w:fill="FFFFFF" w:themeFill="background1"/>
            <w:vAlign w:val="center"/>
          </w:tcPr>
          <w:p w14:paraId="32E86D8A">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食材数量评价指标</w:t>
            </w:r>
          </w:p>
        </w:tc>
        <w:tc>
          <w:tcPr>
            <w:tcW w:w="343" w:type="pct"/>
            <w:shd w:val="clear" w:color="auto" w:fill="FFFFFF" w:themeFill="background1"/>
            <w:vAlign w:val="center"/>
          </w:tcPr>
          <w:p w14:paraId="6787E59A">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10 分</w:t>
            </w:r>
          </w:p>
        </w:tc>
        <w:tc>
          <w:tcPr>
            <w:tcW w:w="869" w:type="pct"/>
            <w:shd w:val="clear" w:color="auto" w:fill="FFFFFF" w:themeFill="background1"/>
            <w:vAlign w:val="center"/>
          </w:tcPr>
          <w:p w14:paraId="32B39FC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考核供应商是否按照校</w:t>
            </w:r>
            <w:r>
              <w:rPr>
                <w:rFonts w:hint="eastAsia" w:ascii="宋体" w:hAnsi="宋体" w:eastAsia="宋体" w:cs="宋体"/>
                <w:spacing w:val="-3"/>
                <w:kern w:val="0"/>
                <w:sz w:val="21"/>
                <w:szCs w:val="21"/>
                <w:highlight w:val="none"/>
              </w:rPr>
              <w:t>方订单品种和数</w:t>
            </w:r>
            <w:r>
              <w:rPr>
                <w:rFonts w:hint="eastAsia" w:ascii="宋体" w:hAnsi="宋体" w:eastAsia="宋体" w:cs="宋体"/>
                <w:spacing w:val="-2"/>
                <w:kern w:val="0"/>
                <w:sz w:val="21"/>
                <w:szCs w:val="21"/>
                <w:highlight w:val="none"/>
              </w:rPr>
              <w:t>量进行配送物品，是否存在缺斤少两的情况。</w:t>
            </w:r>
          </w:p>
        </w:tc>
        <w:tc>
          <w:tcPr>
            <w:tcW w:w="2529" w:type="pct"/>
            <w:shd w:val="clear" w:color="auto" w:fill="FFFFFF" w:themeFill="background1"/>
            <w:vAlign w:val="center"/>
          </w:tcPr>
          <w:p w14:paraId="55AF173A">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供应商提供的食材品种与校</w:t>
            </w:r>
            <w:r>
              <w:rPr>
                <w:rFonts w:hint="eastAsia" w:ascii="宋体" w:hAnsi="宋体" w:eastAsia="宋体" w:cs="宋体"/>
                <w:spacing w:val="-2"/>
                <w:kern w:val="0"/>
                <w:sz w:val="21"/>
                <w:szCs w:val="21"/>
                <w:highlight w:val="none"/>
              </w:rPr>
              <w:t>方订单要求一致，重量短缺</w:t>
            </w:r>
            <w:r>
              <w:rPr>
                <w:rFonts w:hint="eastAsia" w:ascii="宋体" w:hAnsi="宋体" w:eastAsia="宋体" w:cs="宋体"/>
                <w:spacing w:val="-5"/>
                <w:kern w:val="0"/>
                <w:sz w:val="21"/>
                <w:szCs w:val="21"/>
                <w:highlight w:val="none"/>
              </w:rPr>
              <w:t xml:space="preserve">不超过该类食材配送总量的 </w:t>
            </w:r>
            <w:r>
              <w:rPr>
                <w:rFonts w:hint="eastAsia" w:ascii="宋体" w:hAnsi="宋体" w:eastAsia="宋体" w:cs="宋体"/>
                <w:kern w:val="0"/>
                <w:sz w:val="21"/>
                <w:szCs w:val="21"/>
                <w:highlight w:val="none"/>
              </w:rPr>
              <w:t>5%（</w:t>
            </w:r>
            <w:r>
              <w:rPr>
                <w:rFonts w:hint="eastAsia" w:ascii="宋体" w:hAnsi="宋体" w:eastAsia="宋体" w:cs="宋体"/>
                <w:spacing w:val="-30"/>
                <w:kern w:val="0"/>
                <w:sz w:val="21"/>
                <w:szCs w:val="21"/>
                <w:highlight w:val="none"/>
              </w:rPr>
              <w:t xml:space="preserve">含 </w:t>
            </w:r>
            <w:r>
              <w:rPr>
                <w:rFonts w:hint="eastAsia" w:ascii="宋体" w:hAnsi="宋体" w:eastAsia="宋体" w:cs="宋体"/>
                <w:kern w:val="0"/>
                <w:sz w:val="21"/>
                <w:szCs w:val="21"/>
                <w:highlight w:val="none"/>
              </w:rPr>
              <w:t>5%）</w:t>
            </w:r>
            <w:r>
              <w:rPr>
                <w:rFonts w:hint="eastAsia" w:ascii="宋体" w:hAnsi="宋体" w:eastAsia="宋体" w:cs="宋体"/>
                <w:spacing w:val="-15"/>
                <w:kern w:val="0"/>
                <w:sz w:val="21"/>
                <w:szCs w:val="21"/>
                <w:highlight w:val="none"/>
              </w:rPr>
              <w:t xml:space="preserve">的，得 </w:t>
            </w:r>
            <w:r>
              <w:rPr>
                <w:rFonts w:hint="eastAsia" w:ascii="宋体" w:hAnsi="宋体" w:eastAsia="宋体" w:cs="宋体"/>
                <w:kern w:val="0"/>
                <w:sz w:val="21"/>
                <w:szCs w:val="21"/>
                <w:highlight w:val="none"/>
              </w:rPr>
              <w:t>10</w:t>
            </w:r>
            <w:r>
              <w:rPr>
                <w:rFonts w:hint="eastAsia" w:ascii="宋体" w:hAnsi="宋体" w:eastAsia="宋体" w:cs="宋体"/>
                <w:spacing w:val="-13"/>
                <w:kern w:val="0"/>
                <w:sz w:val="21"/>
                <w:szCs w:val="21"/>
                <w:highlight w:val="none"/>
              </w:rPr>
              <w:t xml:space="preserve"> 分；对照校</w:t>
            </w:r>
            <w:r>
              <w:rPr>
                <w:rFonts w:hint="eastAsia" w:ascii="宋体" w:hAnsi="宋体" w:eastAsia="宋体" w:cs="宋体"/>
                <w:spacing w:val="-3"/>
                <w:kern w:val="0"/>
                <w:sz w:val="21"/>
                <w:szCs w:val="21"/>
                <w:highlight w:val="none"/>
              </w:rPr>
              <w:t xml:space="preserve">方订单，供应商提供的食材每缺失一个品种，扣 </w:t>
            </w:r>
            <w:r>
              <w:rPr>
                <w:rFonts w:hint="eastAsia" w:ascii="宋体" w:hAnsi="宋体" w:eastAsia="宋体" w:cs="宋体"/>
                <w:kern w:val="0"/>
                <w:sz w:val="21"/>
                <w:szCs w:val="21"/>
                <w:highlight w:val="none"/>
                <w:lang w:val="en-US" w:eastAsia="zh-CN"/>
              </w:rPr>
              <w:t>2</w:t>
            </w:r>
            <w:r>
              <w:rPr>
                <w:rFonts w:hint="eastAsia" w:ascii="宋体" w:hAnsi="宋体" w:eastAsia="宋体" w:cs="宋体"/>
                <w:spacing w:val="-26"/>
                <w:kern w:val="0"/>
                <w:sz w:val="21"/>
                <w:szCs w:val="21"/>
                <w:highlight w:val="none"/>
              </w:rPr>
              <w:t xml:space="preserve"> 分； </w:t>
            </w:r>
            <w:r>
              <w:rPr>
                <w:rFonts w:hint="eastAsia" w:ascii="宋体" w:hAnsi="宋体" w:eastAsia="宋体" w:cs="宋体"/>
                <w:spacing w:val="-3"/>
                <w:kern w:val="0"/>
                <w:sz w:val="21"/>
                <w:szCs w:val="21"/>
                <w:highlight w:val="none"/>
              </w:rPr>
              <w:t xml:space="preserve">供应商提供的食材重量短缺在该类食材配送总量中占 </w:t>
            </w:r>
            <w:r>
              <w:rPr>
                <w:rFonts w:hint="eastAsia" w:ascii="宋体" w:hAnsi="宋体" w:eastAsia="宋体" w:cs="宋体"/>
                <w:kern w:val="0"/>
                <w:sz w:val="21"/>
                <w:szCs w:val="21"/>
                <w:highlight w:val="none"/>
              </w:rPr>
              <w:t>5%~10%（</w:t>
            </w:r>
            <w:r>
              <w:rPr>
                <w:rFonts w:hint="eastAsia" w:ascii="宋体" w:hAnsi="宋体" w:eastAsia="宋体" w:cs="宋体"/>
                <w:spacing w:val="-30"/>
                <w:kern w:val="0"/>
                <w:sz w:val="21"/>
                <w:szCs w:val="21"/>
                <w:highlight w:val="none"/>
              </w:rPr>
              <w:t xml:space="preserve">含 </w:t>
            </w:r>
            <w:r>
              <w:rPr>
                <w:rFonts w:hint="eastAsia" w:ascii="宋体" w:hAnsi="宋体" w:eastAsia="宋体" w:cs="宋体"/>
                <w:kern w:val="0"/>
                <w:sz w:val="21"/>
                <w:szCs w:val="21"/>
                <w:highlight w:val="none"/>
              </w:rPr>
              <w:t>10%）</w:t>
            </w:r>
            <w:r>
              <w:rPr>
                <w:rFonts w:hint="eastAsia" w:ascii="宋体" w:hAnsi="宋体" w:eastAsia="宋体" w:cs="宋体"/>
                <w:spacing w:val="-15"/>
                <w:kern w:val="0"/>
                <w:sz w:val="21"/>
                <w:szCs w:val="21"/>
                <w:highlight w:val="none"/>
              </w:rPr>
              <w:t xml:space="preserve">的，扣 </w:t>
            </w:r>
            <w:r>
              <w:rPr>
                <w:rFonts w:hint="eastAsia" w:ascii="宋体" w:hAnsi="宋体" w:eastAsia="宋体" w:cs="宋体"/>
                <w:kern w:val="0"/>
                <w:sz w:val="21"/>
                <w:szCs w:val="21"/>
                <w:highlight w:val="none"/>
                <w:lang w:val="en-US" w:eastAsia="zh-CN"/>
              </w:rPr>
              <w:t>2</w:t>
            </w:r>
            <w:r>
              <w:rPr>
                <w:rFonts w:hint="eastAsia" w:ascii="宋体" w:hAnsi="宋体" w:eastAsia="宋体" w:cs="宋体"/>
                <w:spacing w:val="-24"/>
                <w:kern w:val="0"/>
                <w:sz w:val="21"/>
                <w:szCs w:val="21"/>
                <w:highlight w:val="none"/>
              </w:rPr>
              <w:t xml:space="preserve"> 分；占 </w:t>
            </w:r>
            <w:r>
              <w:rPr>
                <w:rFonts w:hint="eastAsia" w:ascii="宋体" w:hAnsi="宋体" w:eastAsia="宋体" w:cs="宋体"/>
                <w:kern w:val="0"/>
                <w:sz w:val="21"/>
                <w:szCs w:val="21"/>
                <w:highlight w:val="none"/>
              </w:rPr>
              <w:t>10%~20%（</w:t>
            </w:r>
            <w:r>
              <w:rPr>
                <w:rFonts w:hint="eastAsia" w:ascii="宋体" w:hAnsi="宋体" w:eastAsia="宋体" w:cs="宋体"/>
                <w:spacing w:val="-30"/>
                <w:kern w:val="0"/>
                <w:sz w:val="21"/>
                <w:szCs w:val="21"/>
                <w:highlight w:val="none"/>
              </w:rPr>
              <w:t xml:space="preserve">含 </w:t>
            </w:r>
            <w:r>
              <w:rPr>
                <w:rFonts w:hint="eastAsia" w:ascii="宋体" w:hAnsi="宋体" w:eastAsia="宋体" w:cs="宋体"/>
                <w:kern w:val="0"/>
                <w:sz w:val="21"/>
                <w:szCs w:val="21"/>
                <w:highlight w:val="none"/>
              </w:rPr>
              <w:t>20%）</w:t>
            </w:r>
            <w:r>
              <w:rPr>
                <w:rFonts w:hint="eastAsia" w:ascii="宋体" w:hAnsi="宋体" w:eastAsia="宋体" w:cs="宋体"/>
                <w:spacing w:val="-15"/>
                <w:kern w:val="0"/>
                <w:sz w:val="21"/>
                <w:szCs w:val="21"/>
                <w:highlight w:val="none"/>
              </w:rPr>
              <w:t xml:space="preserve">的，扣 </w:t>
            </w:r>
            <w:r>
              <w:rPr>
                <w:rFonts w:hint="eastAsia" w:ascii="宋体" w:hAnsi="宋体" w:eastAsia="宋体" w:cs="宋体"/>
                <w:kern w:val="0"/>
                <w:sz w:val="21"/>
                <w:szCs w:val="21"/>
                <w:highlight w:val="none"/>
                <w:lang w:val="en-US" w:eastAsia="zh-CN"/>
              </w:rPr>
              <w:t>3</w:t>
            </w:r>
            <w:r>
              <w:rPr>
                <w:rFonts w:hint="eastAsia" w:ascii="宋体" w:hAnsi="宋体" w:eastAsia="宋体" w:cs="宋体"/>
                <w:spacing w:val="-20"/>
                <w:kern w:val="0"/>
                <w:sz w:val="21"/>
                <w:szCs w:val="21"/>
                <w:highlight w:val="none"/>
              </w:rPr>
              <w:t xml:space="preserve"> 分；超</w:t>
            </w:r>
            <w:r>
              <w:rPr>
                <w:rFonts w:hint="eastAsia" w:ascii="宋体" w:hAnsi="宋体" w:eastAsia="宋体" w:cs="宋体"/>
                <w:spacing w:val="-30"/>
                <w:kern w:val="0"/>
                <w:sz w:val="21"/>
                <w:szCs w:val="21"/>
                <w:highlight w:val="none"/>
              </w:rPr>
              <w:t xml:space="preserve">过 </w:t>
            </w:r>
            <w:r>
              <w:rPr>
                <w:rFonts w:hint="eastAsia" w:ascii="宋体" w:hAnsi="宋体" w:eastAsia="宋体" w:cs="宋体"/>
                <w:kern w:val="0"/>
                <w:sz w:val="21"/>
                <w:szCs w:val="21"/>
                <w:highlight w:val="none"/>
              </w:rPr>
              <w:t>30%（</w:t>
            </w:r>
            <w:r>
              <w:rPr>
                <w:rFonts w:hint="eastAsia" w:ascii="宋体" w:hAnsi="宋体" w:eastAsia="宋体" w:cs="宋体"/>
                <w:spacing w:val="-30"/>
                <w:kern w:val="0"/>
                <w:sz w:val="21"/>
                <w:szCs w:val="21"/>
                <w:highlight w:val="none"/>
              </w:rPr>
              <w:t xml:space="preserve">含 </w:t>
            </w:r>
            <w:r>
              <w:rPr>
                <w:rFonts w:hint="eastAsia" w:ascii="宋体" w:hAnsi="宋体" w:eastAsia="宋体" w:cs="宋体"/>
                <w:kern w:val="0"/>
                <w:sz w:val="21"/>
                <w:szCs w:val="21"/>
                <w:highlight w:val="none"/>
              </w:rPr>
              <w:t>30%）</w:t>
            </w:r>
            <w:r>
              <w:rPr>
                <w:rFonts w:hint="eastAsia" w:ascii="宋体" w:hAnsi="宋体" w:eastAsia="宋体" w:cs="宋体"/>
                <w:spacing w:val="-15"/>
                <w:kern w:val="0"/>
                <w:sz w:val="21"/>
                <w:szCs w:val="21"/>
                <w:highlight w:val="none"/>
              </w:rPr>
              <w:t xml:space="preserve">的，扣 </w:t>
            </w:r>
            <w:r>
              <w:rPr>
                <w:rFonts w:hint="eastAsia" w:ascii="宋体" w:hAnsi="宋体" w:eastAsia="宋体" w:cs="宋体"/>
                <w:kern w:val="0"/>
                <w:sz w:val="21"/>
                <w:szCs w:val="21"/>
                <w:highlight w:val="none"/>
              </w:rPr>
              <w:t>5</w:t>
            </w:r>
            <w:r>
              <w:rPr>
                <w:rFonts w:hint="eastAsia" w:ascii="宋体" w:hAnsi="宋体" w:eastAsia="宋体" w:cs="宋体"/>
                <w:spacing w:val="-12"/>
                <w:kern w:val="0"/>
                <w:sz w:val="21"/>
                <w:szCs w:val="21"/>
                <w:highlight w:val="none"/>
              </w:rPr>
              <w:t xml:space="preserve"> 分；本项指标累计每月最高扣分 </w:t>
            </w:r>
            <w:r>
              <w:rPr>
                <w:rFonts w:hint="eastAsia" w:ascii="宋体" w:hAnsi="宋体" w:eastAsia="宋体" w:cs="宋体"/>
                <w:kern w:val="0"/>
                <w:sz w:val="21"/>
                <w:szCs w:val="21"/>
                <w:highlight w:val="none"/>
              </w:rPr>
              <w:t>10分。</w:t>
            </w:r>
          </w:p>
        </w:tc>
        <w:tc>
          <w:tcPr>
            <w:tcW w:w="234" w:type="pct"/>
            <w:shd w:val="clear" w:color="auto" w:fill="FFFFFF" w:themeFill="background1"/>
            <w:vAlign w:val="center"/>
          </w:tcPr>
          <w:p w14:paraId="321476A3">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30D54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338" w:type="pct"/>
            <w:vMerge w:val="restart"/>
            <w:shd w:val="clear" w:color="auto" w:fill="FFFFFF" w:themeFill="background1"/>
            <w:vAlign w:val="center"/>
          </w:tcPr>
          <w:p w14:paraId="38F0B29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流程管理</w:t>
            </w:r>
          </w:p>
        </w:tc>
        <w:tc>
          <w:tcPr>
            <w:tcW w:w="284" w:type="pct"/>
            <w:vMerge w:val="restart"/>
            <w:shd w:val="clear" w:color="auto" w:fill="FFFFFF" w:themeFill="background1"/>
            <w:vAlign w:val="center"/>
          </w:tcPr>
          <w:p w14:paraId="08ED0AD4">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35分</w:t>
            </w:r>
          </w:p>
        </w:tc>
        <w:tc>
          <w:tcPr>
            <w:tcW w:w="399" w:type="pct"/>
            <w:shd w:val="clear" w:color="auto" w:fill="FFFFFF" w:themeFill="background1"/>
            <w:vAlign w:val="center"/>
          </w:tcPr>
          <w:p w14:paraId="5DEC636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配送及时性评价指标</w:t>
            </w:r>
          </w:p>
        </w:tc>
        <w:tc>
          <w:tcPr>
            <w:tcW w:w="343" w:type="pct"/>
            <w:shd w:val="clear" w:color="auto" w:fill="FFFFFF" w:themeFill="background1"/>
            <w:vAlign w:val="center"/>
          </w:tcPr>
          <w:p w14:paraId="77255967">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10 分</w:t>
            </w:r>
          </w:p>
        </w:tc>
        <w:tc>
          <w:tcPr>
            <w:tcW w:w="869" w:type="pct"/>
            <w:shd w:val="clear" w:color="auto" w:fill="FFFFFF" w:themeFill="background1"/>
            <w:vAlign w:val="center"/>
          </w:tcPr>
          <w:p w14:paraId="471B1276">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考核供应商能否准时送</w:t>
            </w:r>
          </w:p>
          <w:p w14:paraId="22BC3EAC">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货。</w:t>
            </w:r>
          </w:p>
        </w:tc>
        <w:tc>
          <w:tcPr>
            <w:tcW w:w="2529" w:type="pct"/>
            <w:shd w:val="clear" w:color="auto" w:fill="FFFFFF" w:themeFill="background1"/>
            <w:vAlign w:val="center"/>
          </w:tcPr>
          <w:p w14:paraId="73470218">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spacing w:val="-1"/>
                <w:kern w:val="0"/>
                <w:sz w:val="21"/>
                <w:szCs w:val="21"/>
                <w:highlight w:val="none"/>
              </w:rPr>
              <w:t>供应商每日按学校要求时间</w:t>
            </w:r>
            <w:r>
              <w:rPr>
                <w:rFonts w:hint="eastAsia" w:ascii="宋体" w:hAnsi="宋体" w:eastAsia="宋体" w:cs="宋体"/>
                <w:kern w:val="0"/>
                <w:sz w:val="21"/>
                <w:szCs w:val="21"/>
                <w:highlight w:val="none"/>
              </w:rPr>
              <w:t>准时送达食材</w:t>
            </w:r>
            <w:r>
              <w:rPr>
                <w:rFonts w:hint="eastAsia" w:ascii="宋体" w:hAnsi="宋体" w:eastAsia="宋体" w:cs="宋体"/>
                <w:spacing w:val="-8"/>
                <w:kern w:val="0"/>
                <w:sz w:val="21"/>
                <w:szCs w:val="21"/>
                <w:highlight w:val="none"/>
              </w:rPr>
              <w:t>的</w:t>
            </w:r>
            <w:r>
              <w:rPr>
                <w:rFonts w:hint="eastAsia" w:ascii="宋体" w:hAnsi="宋体" w:eastAsia="宋体" w:cs="宋体"/>
                <w:kern w:val="0"/>
                <w:sz w:val="21"/>
                <w:szCs w:val="21"/>
                <w:highlight w:val="none"/>
              </w:rPr>
              <w:t>（因不可抗力造成的延迟或配送失败除外</w:t>
            </w:r>
            <w:r>
              <w:rPr>
                <w:rFonts w:hint="eastAsia" w:ascii="宋体" w:hAnsi="宋体" w:eastAsia="宋体" w:cs="宋体"/>
                <w:spacing w:val="-9"/>
                <w:kern w:val="0"/>
                <w:sz w:val="21"/>
                <w:szCs w:val="21"/>
                <w:highlight w:val="none"/>
              </w:rPr>
              <w:t>）</w:t>
            </w:r>
            <w:r>
              <w:rPr>
                <w:rFonts w:hint="eastAsia" w:ascii="宋体" w:hAnsi="宋体" w:eastAsia="宋体" w:cs="宋体"/>
                <w:spacing w:val="-24"/>
                <w:kern w:val="0"/>
                <w:sz w:val="21"/>
                <w:szCs w:val="21"/>
                <w:highlight w:val="none"/>
              </w:rPr>
              <w:t xml:space="preserve">，得 </w:t>
            </w:r>
            <w:r>
              <w:rPr>
                <w:rFonts w:hint="eastAsia" w:ascii="宋体" w:hAnsi="宋体" w:eastAsia="宋体" w:cs="宋体"/>
                <w:kern w:val="0"/>
                <w:sz w:val="21"/>
                <w:szCs w:val="21"/>
                <w:highlight w:val="none"/>
              </w:rPr>
              <w:t>10</w:t>
            </w:r>
            <w:r>
              <w:rPr>
                <w:rFonts w:hint="eastAsia" w:ascii="宋体" w:hAnsi="宋体" w:eastAsia="宋体" w:cs="宋体"/>
                <w:spacing w:val="-15"/>
                <w:kern w:val="0"/>
                <w:sz w:val="21"/>
                <w:szCs w:val="21"/>
                <w:highlight w:val="none"/>
              </w:rPr>
              <w:t xml:space="preserve"> 分；迟于</w:t>
            </w:r>
            <w:r>
              <w:rPr>
                <w:rFonts w:hint="eastAsia" w:ascii="宋体" w:hAnsi="宋体" w:eastAsia="宋体" w:cs="宋体"/>
                <w:spacing w:val="-1"/>
                <w:kern w:val="0"/>
                <w:sz w:val="21"/>
                <w:szCs w:val="21"/>
                <w:highlight w:val="none"/>
              </w:rPr>
              <w:t>学校要求时间</w:t>
            </w:r>
            <w:r>
              <w:rPr>
                <w:rFonts w:hint="eastAsia" w:ascii="宋体" w:hAnsi="宋体" w:eastAsia="宋体" w:cs="宋体"/>
                <w:spacing w:val="-12"/>
                <w:kern w:val="0"/>
                <w:sz w:val="21"/>
                <w:szCs w:val="21"/>
                <w:highlight w:val="none"/>
              </w:rPr>
              <w:t xml:space="preserve">配送的，每迟到 </w:t>
            </w:r>
            <w:r>
              <w:rPr>
                <w:rFonts w:hint="eastAsia" w:ascii="宋体" w:hAnsi="宋体" w:eastAsia="宋体" w:cs="宋体"/>
                <w:kern w:val="0"/>
                <w:sz w:val="21"/>
                <w:szCs w:val="21"/>
                <w:highlight w:val="none"/>
              </w:rPr>
              <w:t>10</w:t>
            </w:r>
            <w:r>
              <w:rPr>
                <w:rFonts w:hint="eastAsia" w:ascii="宋体" w:hAnsi="宋体" w:eastAsia="宋体" w:cs="宋体"/>
                <w:spacing w:val="-25"/>
                <w:kern w:val="0"/>
                <w:sz w:val="21"/>
                <w:szCs w:val="21"/>
                <w:highlight w:val="none"/>
              </w:rPr>
              <w:t xml:space="preserve"> 分钟扣 </w:t>
            </w:r>
            <w:r>
              <w:rPr>
                <w:rFonts w:hint="eastAsia" w:ascii="宋体" w:hAnsi="宋体" w:eastAsia="宋体" w:cs="宋体"/>
                <w:kern w:val="0"/>
                <w:sz w:val="21"/>
                <w:szCs w:val="21"/>
                <w:highlight w:val="none"/>
              </w:rPr>
              <w:t>2分；本项指标累计每月最高扣分 10 分。</w:t>
            </w:r>
          </w:p>
        </w:tc>
        <w:tc>
          <w:tcPr>
            <w:tcW w:w="234" w:type="pct"/>
            <w:shd w:val="clear" w:color="auto" w:fill="FFFFFF" w:themeFill="background1"/>
            <w:vAlign w:val="center"/>
          </w:tcPr>
          <w:p w14:paraId="22A6E325">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06BF2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trPr>
        <w:tc>
          <w:tcPr>
            <w:tcW w:w="338" w:type="pct"/>
            <w:vMerge w:val="continue"/>
            <w:shd w:val="clear" w:color="auto" w:fill="FFFFFF" w:themeFill="background1"/>
            <w:vAlign w:val="center"/>
          </w:tcPr>
          <w:p w14:paraId="34DEBEA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284" w:type="pct"/>
            <w:vMerge w:val="continue"/>
            <w:shd w:val="clear" w:color="auto" w:fill="FFFFFF" w:themeFill="background1"/>
            <w:vAlign w:val="center"/>
          </w:tcPr>
          <w:p w14:paraId="11481C3F">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399" w:type="pct"/>
            <w:shd w:val="clear" w:color="auto" w:fill="FFFFFF" w:themeFill="background1"/>
            <w:vAlign w:val="center"/>
          </w:tcPr>
          <w:p w14:paraId="7BBB1053">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应急响应能力评价指标</w:t>
            </w:r>
          </w:p>
        </w:tc>
        <w:tc>
          <w:tcPr>
            <w:tcW w:w="343" w:type="pct"/>
            <w:shd w:val="clear" w:color="auto" w:fill="FFFFFF" w:themeFill="background1"/>
            <w:vAlign w:val="center"/>
          </w:tcPr>
          <w:p w14:paraId="2BC24528">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10 分</w:t>
            </w:r>
          </w:p>
        </w:tc>
        <w:tc>
          <w:tcPr>
            <w:tcW w:w="869" w:type="pct"/>
            <w:shd w:val="clear" w:color="auto" w:fill="FFFFFF" w:themeFill="background1"/>
            <w:vAlign w:val="center"/>
          </w:tcPr>
          <w:p w14:paraId="31E51D4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考核供应商是否按照校</w:t>
            </w:r>
          </w:p>
          <w:p w14:paraId="5118F854">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spacing w:val="-3"/>
                <w:kern w:val="0"/>
                <w:sz w:val="21"/>
                <w:szCs w:val="21"/>
                <w:highlight w:val="none"/>
              </w:rPr>
              <w:t>方的要求，以最</w:t>
            </w:r>
            <w:r>
              <w:rPr>
                <w:rFonts w:hint="eastAsia" w:ascii="宋体" w:hAnsi="宋体" w:eastAsia="宋体" w:cs="宋体"/>
                <w:spacing w:val="-2"/>
                <w:kern w:val="0"/>
                <w:sz w:val="21"/>
                <w:szCs w:val="21"/>
                <w:highlight w:val="none"/>
              </w:rPr>
              <w:t>快的速度，按照招标时的承诺进行应急处理。</w:t>
            </w:r>
          </w:p>
        </w:tc>
        <w:tc>
          <w:tcPr>
            <w:tcW w:w="2529" w:type="pct"/>
            <w:shd w:val="clear" w:color="auto" w:fill="FFFFFF" w:themeFill="background1"/>
            <w:vAlign w:val="center"/>
          </w:tcPr>
          <w:p w14:paraId="0608037C">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spacing w:val="-1"/>
                <w:kern w:val="0"/>
                <w:sz w:val="21"/>
                <w:szCs w:val="21"/>
                <w:highlight w:val="none"/>
              </w:rPr>
            </w:pPr>
            <w:r>
              <w:rPr>
                <w:rFonts w:hint="eastAsia" w:ascii="宋体" w:hAnsi="宋体" w:eastAsia="宋体" w:cs="宋体"/>
                <w:kern w:val="0"/>
                <w:sz w:val="21"/>
                <w:szCs w:val="21"/>
                <w:highlight w:val="none"/>
              </w:rPr>
              <w:t>供应商每次都能够按照合同签订时约定的应急方案，及时响应</w:t>
            </w:r>
            <w:r>
              <w:rPr>
                <w:rFonts w:hint="eastAsia" w:ascii="宋体" w:hAnsi="宋体" w:eastAsia="宋体" w:cs="宋体"/>
                <w:spacing w:val="-8"/>
                <w:kern w:val="0"/>
                <w:sz w:val="21"/>
                <w:szCs w:val="21"/>
                <w:highlight w:val="none"/>
              </w:rPr>
              <w:t>校</w:t>
            </w:r>
            <w:r>
              <w:rPr>
                <w:rFonts w:hint="eastAsia" w:ascii="宋体" w:hAnsi="宋体" w:eastAsia="宋体" w:cs="宋体"/>
                <w:spacing w:val="-11"/>
                <w:kern w:val="0"/>
                <w:sz w:val="21"/>
                <w:szCs w:val="21"/>
                <w:highlight w:val="none"/>
              </w:rPr>
              <w:t xml:space="preserve">方的要求，得 </w:t>
            </w:r>
            <w:r>
              <w:rPr>
                <w:rFonts w:hint="eastAsia" w:ascii="宋体" w:hAnsi="宋体" w:eastAsia="宋体" w:cs="宋体"/>
                <w:kern w:val="0"/>
                <w:sz w:val="21"/>
                <w:szCs w:val="21"/>
                <w:highlight w:val="none"/>
              </w:rPr>
              <w:t>10</w:t>
            </w:r>
            <w:r>
              <w:rPr>
                <w:rFonts w:hint="eastAsia" w:ascii="宋体" w:hAnsi="宋体" w:eastAsia="宋体" w:cs="宋体"/>
                <w:spacing w:val="-10"/>
                <w:kern w:val="0"/>
                <w:sz w:val="21"/>
                <w:szCs w:val="21"/>
                <w:highlight w:val="none"/>
              </w:rPr>
              <w:t xml:space="preserve"> 分；供应商不能按照</w:t>
            </w:r>
            <w:r>
              <w:rPr>
                <w:rFonts w:hint="eastAsia" w:ascii="宋体" w:hAnsi="宋体" w:eastAsia="宋体" w:cs="宋体"/>
                <w:kern w:val="0"/>
                <w:sz w:val="21"/>
                <w:szCs w:val="21"/>
                <w:highlight w:val="none"/>
              </w:rPr>
              <w:t>合同签订时约定的应急方案，存在延迟响应校方要求且延迟时间不超过半小时（含半小时）</w:t>
            </w:r>
            <w:r>
              <w:rPr>
                <w:rFonts w:hint="eastAsia" w:ascii="宋体" w:hAnsi="宋体" w:eastAsia="宋体" w:cs="宋体"/>
                <w:spacing w:val="-7"/>
                <w:kern w:val="0"/>
                <w:sz w:val="21"/>
                <w:szCs w:val="21"/>
                <w:highlight w:val="none"/>
              </w:rPr>
              <w:t xml:space="preserve">的，每延迟一次扣 </w:t>
            </w:r>
            <w:r>
              <w:rPr>
                <w:rFonts w:hint="eastAsia" w:ascii="宋体" w:hAnsi="宋体" w:eastAsia="宋体" w:cs="宋体"/>
                <w:kern w:val="0"/>
                <w:sz w:val="21"/>
                <w:szCs w:val="21"/>
                <w:highlight w:val="none"/>
              </w:rPr>
              <w:t>2</w:t>
            </w:r>
            <w:r>
              <w:rPr>
                <w:rFonts w:hint="eastAsia" w:ascii="宋体" w:hAnsi="宋体" w:eastAsia="宋体" w:cs="宋体"/>
                <w:spacing w:val="-8"/>
                <w:kern w:val="0"/>
                <w:sz w:val="21"/>
                <w:szCs w:val="21"/>
                <w:highlight w:val="none"/>
              </w:rPr>
              <w:t xml:space="preserve"> 分；供应商延迟响应校方要求超过半个小时的，或者供应商未响应校 </w:t>
            </w:r>
            <w:r>
              <w:rPr>
                <w:rFonts w:hint="eastAsia" w:ascii="宋体" w:hAnsi="宋体" w:eastAsia="宋体" w:cs="宋体"/>
                <w:spacing w:val="-13"/>
                <w:kern w:val="0"/>
                <w:sz w:val="21"/>
                <w:szCs w:val="21"/>
                <w:highlight w:val="none"/>
              </w:rPr>
              <w:t xml:space="preserve">方要求的，每发生一次扣 </w:t>
            </w:r>
            <w:r>
              <w:rPr>
                <w:rFonts w:hint="eastAsia" w:ascii="宋体" w:hAnsi="宋体" w:eastAsia="宋体" w:cs="宋体"/>
                <w:kern w:val="0"/>
                <w:sz w:val="21"/>
                <w:szCs w:val="21"/>
                <w:highlight w:val="none"/>
              </w:rPr>
              <w:t>5</w:t>
            </w:r>
            <w:r>
              <w:rPr>
                <w:rFonts w:hint="eastAsia" w:ascii="宋体" w:hAnsi="宋体" w:eastAsia="宋体" w:cs="宋体"/>
                <w:spacing w:val="-12"/>
                <w:kern w:val="0"/>
                <w:sz w:val="21"/>
                <w:szCs w:val="21"/>
                <w:highlight w:val="none"/>
              </w:rPr>
              <w:t xml:space="preserve"> 分。本项指标累计每月最高扣分 </w:t>
            </w:r>
            <w:r>
              <w:rPr>
                <w:rFonts w:hint="eastAsia" w:ascii="宋体" w:hAnsi="宋体" w:eastAsia="宋体" w:cs="宋体"/>
                <w:kern w:val="0"/>
                <w:sz w:val="21"/>
                <w:szCs w:val="21"/>
                <w:highlight w:val="none"/>
              </w:rPr>
              <w:t>10分。</w:t>
            </w:r>
          </w:p>
        </w:tc>
        <w:tc>
          <w:tcPr>
            <w:tcW w:w="234" w:type="pct"/>
            <w:shd w:val="clear" w:color="auto" w:fill="FFFFFF" w:themeFill="background1"/>
            <w:vAlign w:val="center"/>
          </w:tcPr>
          <w:p w14:paraId="6799991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5CA3C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338" w:type="pct"/>
            <w:vMerge w:val="continue"/>
            <w:shd w:val="clear" w:color="auto" w:fill="FFFFFF" w:themeFill="background1"/>
            <w:vAlign w:val="center"/>
          </w:tcPr>
          <w:p w14:paraId="748A2F3B">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284" w:type="pct"/>
            <w:vMerge w:val="continue"/>
            <w:shd w:val="clear" w:color="auto" w:fill="FFFFFF" w:themeFill="background1"/>
            <w:vAlign w:val="center"/>
          </w:tcPr>
          <w:p w14:paraId="0689560A">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399" w:type="pct"/>
            <w:shd w:val="clear" w:color="auto" w:fill="FFFFFF" w:themeFill="background1"/>
            <w:vAlign w:val="center"/>
          </w:tcPr>
          <w:p w14:paraId="4C793770">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索证制度评价指标</w:t>
            </w:r>
          </w:p>
        </w:tc>
        <w:tc>
          <w:tcPr>
            <w:tcW w:w="343" w:type="pct"/>
            <w:shd w:val="clear" w:color="auto" w:fill="FFFFFF" w:themeFill="background1"/>
            <w:vAlign w:val="center"/>
          </w:tcPr>
          <w:p w14:paraId="4F84333F">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18C0791C">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考核供应商的食材追踪体系建立情况</w:t>
            </w:r>
          </w:p>
        </w:tc>
        <w:tc>
          <w:tcPr>
            <w:tcW w:w="2529" w:type="pct"/>
            <w:shd w:val="clear" w:color="auto" w:fill="FFFFFF" w:themeFill="background1"/>
            <w:vAlign w:val="center"/>
          </w:tcPr>
          <w:p w14:paraId="24869039">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spacing w:val="-1"/>
                <w:kern w:val="0"/>
                <w:sz w:val="21"/>
                <w:szCs w:val="21"/>
                <w:highlight w:val="none"/>
              </w:rPr>
            </w:pPr>
            <w:r>
              <w:rPr>
                <w:rFonts w:hint="eastAsia" w:ascii="宋体" w:hAnsi="宋体" w:eastAsia="宋体" w:cs="宋体"/>
                <w:kern w:val="0"/>
                <w:sz w:val="21"/>
                <w:szCs w:val="21"/>
                <w:highlight w:val="none"/>
              </w:rPr>
              <w:t>供应商按照《餐饮业食品索证管理规定》，建立了食材追踪体系，并有专门的台账档案，能随时查明货物来源或产地，能及</w:t>
            </w:r>
            <w:r>
              <w:rPr>
                <w:rFonts w:hint="eastAsia" w:ascii="宋体" w:hAnsi="宋体" w:eastAsia="宋体" w:cs="宋体"/>
                <w:spacing w:val="-4"/>
                <w:kern w:val="0"/>
                <w:sz w:val="21"/>
                <w:szCs w:val="21"/>
                <w:highlight w:val="none"/>
              </w:rPr>
              <w:t xml:space="preserve">时提供相关的票、据、证等材料的，得 </w:t>
            </w:r>
            <w:r>
              <w:rPr>
                <w:rFonts w:hint="eastAsia" w:ascii="宋体" w:hAnsi="宋体" w:eastAsia="宋体" w:cs="宋体"/>
                <w:kern w:val="0"/>
                <w:sz w:val="21"/>
                <w:szCs w:val="21"/>
                <w:highlight w:val="none"/>
              </w:rPr>
              <w:t>5</w:t>
            </w:r>
            <w:r>
              <w:rPr>
                <w:rFonts w:hint="eastAsia" w:ascii="宋体" w:hAnsi="宋体" w:eastAsia="宋体" w:cs="宋体"/>
                <w:spacing w:val="-15"/>
                <w:kern w:val="0"/>
                <w:sz w:val="21"/>
                <w:szCs w:val="21"/>
                <w:highlight w:val="none"/>
              </w:rPr>
              <w:t xml:space="preserve"> 分；校</w:t>
            </w:r>
            <w:r>
              <w:rPr>
                <w:rFonts w:hint="eastAsia" w:ascii="宋体" w:hAnsi="宋体" w:eastAsia="宋体" w:cs="宋体"/>
                <w:kern w:val="0"/>
                <w:sz w:val="21"/>
                <w:szCs w:val="21"/>
                <w:highlight w:val="none"/>
              </w:rPr>
              <w:t>方对食材进行抽检，每发现一次相关的票、据、证等材料不齐全的或</w:t>
            </w:r>
            <w:r>
              <w:rPr>
                <w:rFonts w:hint="eastAsia" w:ascii="宋体" w:hAnsi="宋体" w:eastAsia="宋体" w:cs="宋体"/>
                <w:spacing w:val="-6"/>
                <w:kern w:val="0"/>
                <w:sz w:val="21"/>
                <w:szCs w:val="21"/>
                <w:highlight w:val="none"/>
              </w:rPr>
              <w:t xml:space="preserve">者无法查明货物来源或产地的，扣 </w:t>
            </w:r>
            <w:r>
              <w:rPr>
                <w:rFonts w:hint="eastAsia" w:ascii="宋体" w:hAnsi="宋体" w:eastAsia="宋体" w:cs="宋体"/>
                <w:kern w:val="0"/>
                <w:sz w:val="21"/>
                <w:szCs w:val="21"/>
                <w:highlight w:val="none"/>
              </w:rPr>
              <w:t>1</w:t>
            </w:r>
            <w:r>
              <w:rPr>
                <w:rFonts w:hint="eastAsia" w:ascii="宋体" w:hAnsi="宋体" w:eastAsia="宋体" w:cs="宋体"/>
                <w:spacing w:val="-30"/>
                <w:kern w:val="0"/>
                <w:sz w:val="21"/>
                <w:szCs w:val="21"/>
                <w:highlight w:val="none"/>
              </w:rPr>
              <w:t xml:space="preserve"> 分</w:t>
            </w:r>
            <w:r>
              <w:rPr>
                <w:rFonts w:hint="eastAsia" w:ascii="宋体" w:hAnsi="宋体" w:eastAsia="宋体" w:cs="宋体"/>
                <w:kern w:val="0"/>
                <w:sz w:val="21"/>
                <w:szCs w:val="21"/>
                <w:highlight w:val="none"/>
              </w:rPr>
              <w:t>/</w:t>
            </w:r>
            <w:r>
              <w:rPr>
                <w:rFonts w:hint="eastAsia" w:ascii="宋体" w:hAnsi="宋体" w:eastAsia="宋体" w:cs="宋体"/>
                <w:spacing w:val="-6"/>
                <w:kern w:val="0"/>
                <w:sz w:val="21"/>
                <w:szCs w:val="21"/>
                <w:highlight w:val="none"/>
              </w:rPr>
              <w:t>品种；本项目指标累计</w:t>
            </w:r>
            <w:r>
              <w:rPr>
                <w:rFonts w:hint="eastAsia" w:ascii="宋体" w:hAnsi="宋体" w:eastAsia="宋体" w:cs="宋体"/>
                <w:kern w:val="0"/>
                <w:sz w:val="21"/>
                <w:szCs w:val="21"/>
                <w:highlight w:val="none"/>
              </w:rPr>
              <w:t>每月最高扣分 5 分。</w:t>
            </w:r>
          </w:p>
        </w:tc>
        <w:tc>
          <w:tcPr>
            <w:tcW w:w="234" w:type="pct"/>
            <w:shd w:val="clear" w:color="auto" w:fill="FFFFFF" w:themeFill="background1"/>
            <w:vAlign w:val="center"/>
          </w:tcPr>
          <w:p w14:paraId="33465C7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1474C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trPr>
        <w:tc>
          <w:tcPr>
            <w:tcW w:w="338" w:type="pct"/>
            <w:vMerge w:val="continue"/>
            <w:shd w:val="clear" w:color="auto" w:fill="FFFFFF" w:themeFill="background1"/>
            <w:vAlign w:val="center"/>
          </w:tcPr>
          <w:p w14:paraId="58DE9707">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284" w:type="pct"/>
            <w:vMerge w:val="continue"/>
            <w:shd w:val="clear" w:color="auto" w:fill="FFFFFF" w:themeFill="background1"/>
            <w:vAlign w:val="center"/>
          </w:tcPr>
          <w:p w14:paraId="467F332B">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399" w:type="pct"/>
            <w:shd w:val="clear" w:color="auto" w:fill="FFFFFF" w:themeFill="background1"/>
            <w:vAlign w:val="center"/>
          </w:tcPr>
          <w:p w14:paraId="49B89051">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信息化评价指标</w:t>
            </w:r>
          </w:p>
        </w:tc>
        <w:tc>
          <w:tcPr>
            <w:tcW w:w="343" w:type="pct"/>
            <w:shd w:val="clear" w:color="auto" w:fill="FFFFFF" w:themeFill="background1"/>
            <w:vAlign w:val="center"/>
          </w:tcPr>
          <w:p w14:paraId="327397F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kern w:val="0"/>
                <w:sz w:val="21"/>
                <w:szCs w:val="21"/>
                <w:highlight w:val="none"/>
              </w:rPr>
            </w:pPr>
          </w:p>
          <w:p w14:paraId="1F14A7A4">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5E4F1A13">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考核供应商是否按要求运用信息化平台。</w:t>
            </w:r>
          </w:p>
        </w:tc>
        <w:tc>
          <w:tcPr>
            <w:tcW w:w="2529" w:type="pct"/>
            <w:shd w:val="clear" w:color="auto" w:fill="FFFFFF" w:themeFill="background1"/>
            <w:vAlign w:val="center"/>
          </w:tcPr>
          <w:p w14:paraId="7F297277">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eastAsia" w:ascii="宋体" w:hAnsi="宋体" w:eastAsia="宋体" w:cs="宋体"/>
                <w:color w:val="auto"/>
                <w:spacing w:val="-1"/>
                <w:kern w:val="0"/>
                <w:sz w:val="21"/>
                <w:szCs w:val="21"/>
                <w:highlight w:val="none"/>
              </w:rPr>
            </w:pPr>
            <w:r>
              <w:rPr>
                <w:rFonts w:hint="eastAsia" w:ascii="宋体" w:hAnsi="宋体" w:eastAsia="宋体" w:cs="宋体"/>
                <w:kern w:val="0"/>
                <w:sz w:val="21"/>
                <w:szCs w:val="21"/>
                <w:highlight w:val="none"/>
              </w:rPr>
              <w:t>供应商每次全面、及时、准确上传追溯信息，相关品名、规格、批次等数据真实完整</w:t>
            </w:r>
            <w:r>
              <w:rPr>
                <w:rFonts w:hint="eastAsia" w:ascii="宋体" w:hAnsi="宋体" w:eastAsia="宋体" w:cs="宋体"/>
                <w:spacing w:val="-12"/>
                <w:kern w:val="0"/>
                <w:sz w:val="21"/>
                <w:szCs w:val="21"/>
                <w:highlight w:val="none"/>
              </w:rPr>
              <w:t xml:space="preserve">，得 </w:t>
            </w:r>
            <w:r>
              <w:rPr>
                <w:rFonts w:hint="eastAsia" w:ascii="宋体" w:hAnsi="宋体" w:eastAsia="宋体" w:cs="宋体"/>
                <w:kern w:val="0"/>
                <w:sz w:val="21"/>
                <w:szCs w:val="21"/>
                <w:highlight w:val="none"/>
              </w:rPr>
              <w:t>5</w:t>
            </w:r>
            <w:r>
              <w:rPr>
                <w:rFonts w:hint="eastAsia" w:ascii="宋体" w:hAnsi="宋体" w:eastAsia="宋体" w:cs="宋体"/>
                <w:spacing w:val="-8"/>
                <w:kern w:val="0"/>
                <w:sz w:val="21"/>
                <w:szCs w:val="21"/>
                <w:highlight w:val="none"/>
              </w:rPr>
              <w:t xml:space="preserve"> 分；每发现一次上传信息不完整、不真实</w:t>
            </w:r>
            <w:r>
              <w:rPr>
                <w:rFonts w:hint="eastAsia" w:ascii="宋体" w:hAnsi="宋体" w:eastAsia="宋体" w:cs="宋体"/>
                <w:spacing w:val="-7"/>
                <w:kern w:val="0"/>
                <w:sz w:val="21"/>
                <w:szCs w:val="21"/>
                <w:highlight w:val="none"/>
              </w:rPr>
              <w:t xml:space="preserve">，扣 </w:t>
            </w:r>
            <w:r>
              <w:rPr>
                <w:rFonts w:hint="eastAsia" w:ascii="宋体" w:hAnsi="宋体" w:eastAsia="宋体" w:cs="宋体"/>
                <w:kern w:val="0"/>
                <w:sz w:val="21"/>
                <w:szCs w:val="21"/>
                <w:highlight w:val="none"/>
              </w:rPr>
              <w:t>1</w:t>
            </w:r>
            <w:r>
              <w:rPr>
                <w:rFonts w:hint="eastAsia" w:ascii="宋体" w:hAnsi="宋体" w:eastAsia="宋体" w:cs="宋体"/>
                <w:spacing w:val="-12"/>
                <w:kern w:val="0"/>
                <w:sz w:val="21"/>
                <w:szCs w:val="21"/>
                <w:highlight w:val="none"/>
              </w:rPr>
              <w:t xml:space="preserve"> 分；本项目指标累计每月最高扣分 </w:t>
            </w:r>
            <w:r>
              <w:rPr>
                <w:rFonts w:hint="eastAsia" w:ascii="宋体" w:hAnsi="宋体" w:eastAsia="宋体" w:cs="宋体"/>
                <w:kern w:val="0"/>
                <w:sz w:val="21"/>
                <w:szCs w:val="21"/>
                <w:highlight w:val="none"/>
              </w:rPr>
              <w:t>5</w:t>
            </w:r>
            <w:r>
              <w:rPr>
                <w:rFonts w:hint="eastAsia" w:ascii="宋体" w:hAnsi="宋体" w:eastAsia="宋体" w:cs="宋体"/>
                <w:spacing w:val="-20"/>
                <w:kern w:val="0"/>
                <w:sz w:val="21"/>
                <w:szCs w:val="21"/>
                <w:highlight w:val="none"/>
              </w:rPr>
              <w:t xml:space="preserve"> 分。</w:t>
            </w:r>
          </w:p>
        </w:tc>
        <w:tc>
          <w:tcPr>
            <w:tcW w:w="234" w:type="pct"/>
            <w:shd w:val="clear" w:color="auto" w:fill="FFFFFF" w:themeFill="background1"/>
            <w:vAlign w:val="center"/>
          </w:tcPr>
          <w:p w14:paraId="7CAAC9E3">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19610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338" w:type="pct"/>
            <w:vMerge w:val="continue"/>
            <w:shd w:val="clear" w:color="auto" w:fill="FFFFFF" w:themeFill="background1"/>
            <w:vAlign w:val="center"/>
          </w:tcPr>
          <w:p w14:paraId="2EB00697">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284" w:type="pct"/>
            <w:vMerge w:val="continue"/>
            <w:shd w:val="clear" w:color="auto" w:fill="FFFFFF" w:themeFill="background1"/>
            <w:vAlign w:val="center"/>
          </w:tcPr>
          <w:p w14:paraId="1F8CCCE2">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399" w:type="pct"/>
            <w:shd w:val="clear" w:color="auto" w:fill="FFFFFF" w:themeFill="background1"/>
            <w:vAlign w:val="center"/>
          </w:tcPr>
          <w:p w14:paraId="451D682E">
            <w:pPr>
              <w:keepNext w:val="0"/>
              <w:keepLines w:val="0"/>
              <w:pageBreakBefore w:val="0"/>
              <w:widowControl w:val="0"/>
              <w:kinsoku/>
              <w:wordWrap/>
              <w:overflowPunct/>
              <w:topLinePunct w:val="0"/>
              <w:autoSpaceDE w:val="0"/>
              <w:autoSpaceDN w:val="0"/>
              <w:bidi w:val="0"/>
              <w:adjustRightInd w:val="0"/>
              <w:snapToGrid/>
              <w:spacing w:line="240" w:lineRule="auto"/>
              <w:ind w:left="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单据管理评价指标</w:t>
            </w:r>
          </w:p>
        </w:tc>
        <w:tc>
          <w:tcPr>
            <w:tcW w:w="343" w:type="pct"/>
            <w:shd w:val="clear" w:color="auto" w:fill="FFFFFF" w:themeFill="background1"/>
            <w:vAlign w:val="center"/>
          </w:tcPr>
          <w:p w14:paraId="4B04556F">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31B2F0DC">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考核供应商送货单据是否齐全、清晰。</w:t>
            </w:r>
          </w:p>
        </w:tc>
        <w:tc>
          <w:tcPr>
            <w:tcW w:w="2529" w:type="pct"/>
            <w:shd w:val="clear" w:color="auto" w:fill="FFFFFF" w:themeFill="background1"/>
            <w:vAlign w:val="center"/>
          </w:tcPr>
          <w:p w14:paraId="51367259">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left"/>
              <w:textAlignment w:val="auto"/>
              <w:rPr>
                <w:rFonts w:hint="eastAsia" w:ascii="宋体" w:hAnsi="宋体" w:eastAsia="宋体" w:cs="宋体"/>
                <w:color w:val="auto"/>
                <w:spacing w:val="-1"/>
                <w:kern w:val="0"/>
                <w:sz w:val="21"/>
                <w:szCs w:val="21"/>
                <w:highlight w:val="none"/>
              </w:rPr>
            </w:pPr>
            <w:r>
              <w:rPr>
                <w:rFonts w:hint="eastAsia" w:ascii="宋体" w:hAnsi="宋体" w:eastAsia="宋体" w:cs="宋体"/>
                <w:kern w:val="0"/>
                <w:sz w:val="21"/>
                <w:szCs w:val="21"/>
                <w:highlight w:val="none"/>
              </w:rPr>
              <w:t>供应商每次提供的送货单（结算凭证）</w:t>
            </w:r>
            <w:r>
              <w:rPr>
                <w:rFonts w:hint="eastAsia" w:ascii="宋体" w:hAnsi="宋体" w:eastAsia="宋体" w:cs="宋体"/>
                <w:spacing w:val="-2"/>
                <w:kern w:val="0"/>
                <w:sz w:val="21"/>
                <w:szCs w:val="21"/>
                <w:highlight w:val="none"/>
              </w:rPr>
              <w:t>项目齐全，及其打印清</w:t>
            </w:r>
            <w:r>
              <w:rPr>
                <w:rFonts w:hint="eastAsia" w:ascii="宋体" w:hAnsi="宋体" w:eastAsia="宋体" w:cs="宋体"/>
                <w:spacing w:val="-12"/>
                <w:kern w:val="0"/>
                <w:sz w:val="21"/>
                <w:szCs w:val="21"/>
                <w:highlight w:val="none"/>
              </w:rPr>
              <w:t xml:space="preserve">晰的，得 </w:t>
            </w:r>
            <w:r>
              <w:rPr>
                <w:rFonts w:hint="eastAsia" w:ascii="宋体" w:hAnsi="宋体" w:eastAsia="宋体" w:cs="宋体"/>
                <w:kern w:val="0"/>
                <w:sz w:val="21"/>
                <w:szCs w:val="21"/>
                <w:highlight w:val="none"/>
              </w:rPr>
              <w:t>5</w:t>
            </w:r>
            <w:r>
              <w:rPr>
                <w:rFonts w:hint="eastAsia" w:ascii="宋体" w:hAnsi="宋体" w:eastAsia="宋体" w:cs="宋体"/>
                <w:spacing w:val="-8"/>
                <w:kern w:val="0"/>
                <w:sz w:val="21"/>
                <w:szCs w:val="21"/>
                <w:highlight w:val="none"/>
              </w:rPr>
              <w:t xml:space="preserve"> 分；每发现一次送货单</w:t>
            </w:r>
            <w:r>
              <w:rPr>
                <w:rFonts w:hint="eastAsia" w:ascii="宋体" w:hAnsi="宋体" w:eastAsia="宋体" w:cs="宋体"/>
                <w:kern w:val="0"/>
                <w:sz w:val="21"/>
                <w:szCs w:val="21"/>
                <w:highlight w:val="none"/>
              </w:rPr>
              <w:t>（结算凭证）</w:t>
            </w:r>
            <w:r>
              <w:rPr>
                <w:rFonts w:hint="eastAsia" w:ascii="宋体" w:hAnsi="宋体" w:eastAsia="宋体" w:cs="宋体"/>
                <w:spacing w:val="-3"/>
                <w:kern w:val="0"/>
                <w:sz w:val="21"/>
                <w:szCs w:val="21"/>
                <w:highlight w:val="none"/>
              </w:rPr>
              <w:t>项目不齐全或</w:t>
            </w:r>
            <w:r>
              <w:rPr>
                <w:rFonts w:hint="eastAsia" w:ascii="宋体" w:hAnsi="宋体" w:eastAsia="宋体" w:cs="宋体"/>
                <w:spacing w:val="-7"/>
                <w:kern w:val="0"/>
                <w:sz w:val="21"/>
                <w:szCs w:val="21"/>
                <w:highlight w:val="none"/>
              </w:rPr>
              <w:t xml:space="preserve">者打印不清晰，扣 </w:t>
            </w:r>
            <w:r>
              <w:rPr>
                <w:rFonts w:hint="eastAsia" w:ascii="宋体" w:hAnsi="宋体" w:eastAsia="宋体" w:cs="宋体"/>
                <w:kern w:val="0"/>
                <w:sz w:val="21"/>
                <w:szCs w:val="21"/>
                <w:highlight w:val="none"/>
              </w:rPr>
              <w:t>1</w:t>
            </w:r>
            <w:r>
              <w:rPr>
                <w:rFonts w:hint="eastAsia" w:ascii="宋体" w:hAnsi="宋体" w:eastAsia="宋体" w:cs="宋体"/>
                <w:spacing w:val="-12"/>
                <w:kern w:val="0"/>
                <w:sz w:val="21"/>
                <w:szCs w:val="21"/>
                <w:highlight w:val="none"/>
              </w:rPr>
              <w:t xml:space="preserve"> 分；本项目指标累计每月最高扣分 </w:t>
            </w:r>
            <w:r>
              <w:rPr>
                <w:rFonts w:hint="eastAsia" w:ascii="宋体" w:hAnsi="宋体" w:eastAsia="宋体" w:cs="宋体"/>
                <w:kern w:val="0"/>
                <w:sz w:val="21"/>
                <w:szCs w:val="21"/>
                <w:highlight w:val="none"/>
              </w:rPr>
              <w:t>5</w:t>
            </w:r>
            <w:r>
              <w:rPr>
                <w:rFonts w:hint="eastAsia" w:ascii="宋体" w:hAnsi="宋体" w:eastAsia="宋体" w:cs="宋体"/>
                <w:spacing w:val="-20"/>
                <w:kern w:val="0"/>
                <w:sz w:val="21"/>
                <w:szCs w:val="21"/>
                <w:highlight w:val="none"/>
              </w:rPr>
              <w:t xml:space="preserve"> 分。</w:t>
            </w:r>
          </w:p>
        </w:tc>
        <w:tc>
          <w:tcPr>
            <w:tcW w:w="234" w:type="pct"/>
            <w:shd w:val="clear" w:color="auto" w:fill="FFFFFF" w:themeFill="background1"/>
            <w:vAlign w:val="center"/>
          </w:tcPr>
          <w:p w14:paraId="504E1C8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53123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338" w:type="pct"/>
            <w:shd w:val="clear" w:color="auto" w:fill="FFFFFF" w:themeFill="background1"/>
            <w:vAlign w:val="center"/>
          </w:tcPr>
          <w:p w14:paraId="5B3484A5">
            <w:pPr>
              <w:autoSpaceDE w:val="0"/>
              <w:autoSpaceDN w:val="0"/>
              <w:adjustRightInd w:val="0"/>
              <w:spacing w:line="242" w:lineRule="auto"/>
              <w:ind w:left="148" w:leftChars="0" w:right="138"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价格管理</w:t>
            </w:r>
          </w:p>
        </w:tc>
        <w:tc>
          <w:tcPr>
            <w:tcW w:w="284" w:type="pct"/>
            <w:shd w:val="clear" w:color="auto" w:fill="FFFFFF" w:themeFill="background1"/>
            <w:vAlign w:val="center"/>
          </w:tcPr>
          <w:p w14:paraId="605B9577">
            <w:pPr>
              <w:autoSpaceDE w:val="0"/>
              <w:autoSpaceDN w:val="0"/>
              <w:adjustRightInd w:val="0"/>
              <w:ind w:left="114" w:leftChars="0" w:right="106"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399" w:type="pct"/>
            <w:shd w:val="clear" w:color="auto" w:fill="FFFFFF" w:themeFill="background1"/>
            <w:vAlign w:val="center"/>
          </w:tcPr>
          <w:p w14:paraId="6264C77C">
            <w:pPr>
              <w:autoSpaceDE w:val="0"/>
              <w:autoSpaceDN w:val="0"/>
              <w:adjustRightInd w:val="0"/>
              <w:spacing w:before="195" w:line="242" w:lineRule="auto"/>
              <w:ind w:left="129" w:leftChars="0" w:right="117"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价格合理性评价指标</w:t>
            </w:r>
          </w:p>
        </w:tc>
        <w:tc>
          <w:tcPr>
            <w:tcW w:w="343" w:type="pct"/>
            <w:shd w:val="clear" w:color="auto" w:fill="FFFFFF" w:themeFill="background1"/>
            <w:vAlign w:val="center"/>
          </w:tcPr>
          <w:p w14:paraId="425DC2D0">
            <w:pPr>
              <w:autoSpaceDE w:val="0"/>
              <w:autoSpaceDN w:val="0"/>
              <w:adjustRightInd w:val="0"/>
              <w:ind w:left="180" w:leftChars="0" w:right="172"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4AD35A8C">
            <w:pPr>
              <w:autoSpaceDE w:val="0"/>
              <w:autoSpaceDN w:val="0"/>
              <w:adjustRightInd w:val="0"/>
              <w:spacing w:before="3" w:line="242" w:lineRule="auto"/>
              <w:ind w:left="108" w:right="122"/>
              <w:jc w:val="center"/>
              <w:rPr>
                <w:rFonts w:hint="eastAsia" w:ascii="宋体" w:hAnsi="宋体" w:eastAsia="宋体" w:cs="宋体"/>
                <w:color w:val="auto"/>
                <w:kern w:val="0"/>
                <w:sz w:val="21"/>
                <w:szCs w:val="21"/>
                <w:highlight w:val="none"/>
              </w:rPr>
            </w:pPr>
            <w:r>
              <w:rPr>
                <w:rFonts w:hint="eastAsia" w:ascii="宋体" w:hAnsi="宋体" w:eastAsia="宋体" w:cs="宋体"/>
                <w:spacing w:val="-2"/>
                <w:kern w:val="0"/>
                <w:sz w:val="21"/>
                <w:szCs w:val="21"/>
                <w:highlight w:val="none"/>
              </w:rPr>
              <w:t>考核供应商是否建立了完善的报价机制；是否存在临时补货物品价格虚高的情况；是否存在对账单价格乱报、错报等的情况；是否存在月</w:t>
            </w:r>
            <w:r>
              <w:rPr>
                <w:rFonts w:hint="eastAsia" w:ascii="宋体" w:hAnsi="宋体" w:eastAsia="宋体" w:cs="宋体"/>
                <w:kern w:val="0"/>
                <w:sz w:val="21"/>
                <w:szCs w:val="21"/>
                <w:highlight w:val="none"/>
              </w:rPr>
              <w:t>度结算对账不及时情况等。</w:t>
            </w:r>
          </w:p>
        </w:tc>
        <w:tc>
          <w:tcPr>
            <w:tcW w:w="2529" w:type="pct"/>
            <w:shd w:val="clear" w:color="auto" w:fill="FFFFFF" w:themeFill="background1"/>
            <w:vAlign w:val="center"/>
          </w:tcPr>
          <w:p w14:paraId="41828B56">
            <w:pPr>
              <w:autoSpaceDE w:val="0"/>
              <w:autoSpaceDN w:val="0"/>
              <w:adjustRightInd w:val="0"/>
              <w:spacing w:before="3" w:line="242" w:lineRule="auto"/>
              <w:ind w:left="107" w:right="-29"/>
              <w:jc w:val="left"/>
              <w:rPr>
                <w:rFonts w:hint="eastAsia" w:ascii="宋体" w:hAnsi="宋体" w:eastAsia="宋体" w:cs="宋体"/>
                <w:color w:val="auto"/>
                <w:spacing w:val="-7"/>
                <w:kern w:val="0"/>
                <w:sz w:val="21"/>
                <w:szCs w:val="21"/>
                <w:highlight w:val="none"/>
              </w:rPr>
            </w:pPr>
            <w:r>
              <w:rPr>
                <w:rFonts w:hint="eastAsia" w:ascii="宋体" w:hAnsi="宋体" w:eastAsia="宋体" w:cs="宋体"/>
                <w:kern w:val="0"/>
                <w:sz w:val="21"/>
                <w:szCs w:val="21"/>
                <w:highlight w:val="none"/>
              </w:rPr>
              <w:t>按照规定时间依时报价，且结算价格严格按照招标文件及供应</w:t>
            </w:r>
            <w:r>
              <w:rPr>
                <w:rFonts w:hint="eastAsia" w:ascii="宋体" w:hAnsi="宋体" w:eastAsia="宋体" w:cs="宋体"/>
                <w:spacing w:val="-3"/>
                <w:kern w:val="0"/>
                <w:sz w:val="21"/>
                <w:szCs w:val="21"/>
                <w:highlight w:val="none"/>
              </w:rPr>
              <w:t xml:space="preserve">商承诺的折扣率规定执行，没有虚高、乱报、错报的行为发生， </w:t>
            </w:r>
            <w:r>
              <w:rPr>
                <w:rFonts w:hint="eastAsia" w:ascii="宋体" w:hAnsi="宋体" w:eastAsia="宋体" w:cs="宋体"/>
                <w:spacing w:val="-32"/>
                <w:kern w:val="0"/>
                <w:sz w:val="21"/>
                <w:szCs w:val="21"/>
                <w:highlight w:val="none"/>
              </w:rPr>
              <w:t xml:space="preserve">得 </w:t>
            </w:r>
            <w:r>
              <w:rPr>
                <w:rFonts w:hint="eastAsia" w:ascii="宋体" w:hAnsi="宋体" w:eastAsia="宋体" w:cs="宋体"/>
                <w:kern w:val="0"/>
                <w:sz w:val="21"/>
                <w:szCs w:val="21"/>
                <w:highlight w:val="none"/>
              </w:rPr>
              <w:t>5</w:t>
            </w:r>
            <w:r>
              <w:rPr>
                <w:rFonts w:hint="eastAsia" w:ascii="宋体" w:hAnsi="宋体" w:eastAsia="宋体" w:cs="宋体"/>
                <w:spacing w:val="-10"/>
                <w:kern w:val="0"/>
                <w:sz w:val="21"/>
                <w:szCs w:val="21"/>
                <w:highlight w:val="none"/>
              </w:rPr>
              <w:t>分；没有在规定时间内完成本月报价，每发生一次延迟扣</w:t>
            </w:r>
            <w:r>
              <w:rPr>
                <w:rFonts w:hint="eastAsia" w:ascii="宋体" w:hAnsi="宋体" w:eastAsia="宋体" w:cs="宋体"/>
                <w:kern w:val="0"/>
                <w:sz w:val="21"/>
                <w:szCs w:val="21"/>
                <w:highlight w:val="none"/>
              </w:rPr>
              <w:t>1</w:t>
            </w:r>
            <w:r>
              <w:rPr>
                <w:rFonts w:hint="eastAsia" w:ascii="宋体" w:hAnsi="宋体" w:eastAsia="宋体" w:cs="宋体"/>
                <w:spacing w:val="-10"/>
                <w:kern w:val="0"/>
                <w:sz w:val="21"/>
                <w:szCs w:val="21"/>
                <w:highlight w:val="none"/>
              </w:rPr>
              <w:t xml:space="preserve"> 分；每发现一次没有按照供应商承诺的折扣率报价，扣 </w:t>
            </w:r>
            <w:r>
              <w:rPr>
                <w:rFonts w:hint="eastAsia" w:ascii="宋体" w:hAnsi="宋体" w:eastAsia="宋体" w:cs="宋体"/>
                <w:kern w:val="0"/>
                <w:sz w:val="21"/>
                <w:szCs w:val="21"/>
                <w:highlight w:val="none"/>
              </w:rPr>
              <w:t>1</w:t>
            </w:r>
            <w:r>
              <w:rPr>
                <w:rFonts w:hint="eastAsia" w:ascii="宋体" w:hAnsi="宋体" w:eastAsia="宋体" w:cs="宋体"/>
                <w:spacing w:val="-25"/>
                <w:kern w:val="0"/>
                <w:sz w:val="21"/>
                <w:szCs w:val="21"/>
                <w:highlight w:val="none"/>
              </w:rPr>
              <w:t xml:space="preserve"> 分；</w:t>
            </w:r>
            <w:r>
              <w:rPr>
                <w:rFonts w:hint="eastAsia" w:ascii="宋体" w:hAnsi="宋体" w:eastAsia="宋体" w:cs="宋体"/>
                <w:kern w:val="0"/>
                <w:sz w:val="21"/>
                <w:szCs w:val="21"/>
                <w:highlight w:val="none"/>
              </w:rPr>
              <w:t>每发生一次虚高、乱报或错报行为，扣1分；本项指标累计每月最高扣分5分。</w:t>
            </w:r>
          </w:p>
        </w:tc>
        <w:tc>
          <w:tcPr>
            <w:tcW w:w="234" w:type="pct"/>
            <w:shd w:val="clear" w:color="auto" w:fill="FFFFFF" w:themeFill="background1"/>
            <w:vAlign w:val="center"/>
          </w:tcPr>
          <w:p w14:paraId="2006223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17591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338" w:type="pct"/>
            <w:vMerge w:val="restart"/>
            <w:shd w:val="clear" w:color="auto" w:fill="FFFFFF" w:themeFill="background1"/>
            <w:vAlign w:val="center"/>
          </w:tcPr>
          <w:p w14:paraId="13E9B683">
            <w:pPr>
              <w:autoSpaceDE w:val="0"/>
              <w:autoSpaceDN w:val="0"/>
              <w:adjustRightInd w:val="0"/>
              <w:spacing w:line="242" w:lineRule="auto"/>
              <w:ind w:left="148" w:leftChars="0" w:right="138"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安全卫生</w:t>
            </w:r>
          </w:p>
        </w:tc>
        <w:tc>
          <w:tcPr>
            <w:tcW w:w="284" w:type="pct"/>
            <w:vMerge w:val="restart"/>
            <w:shd w:val="clear" w:color="auto" w:fill="FFFFFF" w:themeFill="background1"/>
            <w:vAlign w:val="center"/>
          </w:tcPr>
          <w:p w14:paraId="0CCEE8CA">
            <w:pPr>
              <w:autoSpaceDE w:val="0"/>
              <w:autoSpaceDN w:val="0"/>
              <w:adjustRightInd w:val="0"/>
              <w:ind w:left="114" w:leftChars="0" w:right="103"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15</w:t>
            </w:r>
          </w:p>
        </w:tc>
        <w:tc>
          <w:tcPr>
            <w:tcW w:w="399" w:type="pct"/>
            <w:shd w:val="clear" w:color="auto" w:fill="FFFFFF" w:themeFill="background1"/>
            <w:vAlign w:val="center"/>
          </w:tcPr>
          <w:p w14:paraId="607D0927">
            <w:pPr>
              <w:autoSpaceDE w:val="0"/>
              <w:autoSpaceDN w:val="0"/>
              <w:adjustRightInd w:val="0"/>
              <w:spacing w:before="158" w:line="242" w:lineRule="auto"/>
              <w:ind w:left="129" w:leftChars="0" w:right="117"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食材安全性评价指标</w:t>
            </w:r>
          </w:p>
        </w:tc>
        <w:tc>
          <w:tcPr>
            <w:tcW w:w="343" w:type="pct"/>
            <w:shd w:val="clear" w:color="auto" w:fill="FFFFFF" w:themeFill="background1"/>
            <w:vAlign w:val="center"/>
          </w:tcPr>
          <w:p w14:paraId="59C00E35">
            <w:pPr>
              <w:autoSpaceDE w:val="0"/>
              <w:autoSpaceDN w:val="0"/>
              <w:adjustRightInd w:val="0"/>
              <w:spacing w:before="194"/>
              <w:ind w:left="180" w:leftChars="0" w:right="172"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10 分</w:t>
            </w:r>
          </w:p>
        </w:tc>
        <w:tc>
          <w:tcPr>
            <w:tcW w:w="869" w:type="pct"/>
            <w:shd w:val="clear" w:color="auto" w:fill="FFFFFF" w:themeFill="background1"/>
            <w:vAlign w:val="center"/>
          </w:tcPr>
          <w:p w14:paraId="2ECBC092">
            <w:pPr>
              <w:autoSpaceDE w:val="0"/>
              <w:autoSpaceDN w:val="0"/>
              <w:adjustRightInd w:val="0"/>
              <w:spacing w:before="1" w:line="242" w:lineRule="auto"/>
              <w:ind w:left="108" w:leftChars="0" w:right="122" w:rightChars="0"/>
              <w:jc w:val="center"/>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考核食材安全检测指标是否符合国家相关规定</w:t>
            </w:r>
          </w:p>
        </w:tc>
        <w:tc>
          <w:tcPr>
            <w:tcW w:w="2529" w:type="pct"/>
            <w:shd w:val="clear" w:color="auto" w:fill="FFFFFF" w:themeFill="background1"/>
            <w:vAlign w:val="center"/>
          </w:tcPr>
          <w:p w14:paraId="4B20148F">
            <w:pPr>
              <w:autoSpaceDE w:val="0"/>
              <w:autoSpaceDN w:val="0"/>
              <w:adjustRightInd w:val="0"/>
              <w:spacing w:before="2" w:line="242" w:lineRule="auto"/>
              <w:ind w:left="107" w:right="64"/>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校方不定期对配送物品进行食品安全抽检（如农药超标检测等），</w:t>
            </w:r>
            <w:r>
              <w:rPr>
                <w:rFonts w:hint="eastAsia" w:ascii="宋体" w:hAnsi="宋体" w:eastAsia="宋体" w:cs="宋体"/>
                <w:spacing w:val="-3"/>
                <w:kern w:val="0"/>
                <w:sz w:val="21"/>
                <w:szCs w:val="21"/>
                <w:highlight w:val="none"/>
              </w:rPr>
              <w:t xml:space="preserve">各项指标符合国家相关规范标准的要求，得 </w:t>
            </w:r>
            <w:r>
              <w:rPr>
                <w:rFonts w:hint="eastAsia" w:ascii="宋体" w:hAnsi="宋体" w:eastAsia="宋体" w:cs="宋体"/>
                <w:kern w:val="0"/>
                <w:sz w:val="21"/>
                <w:szCs w:val="21"/>
                <w:highlight w:val="none"/>
              </w:rPr>
              <w:t>10</w:t>
            </w:r>
            <w:r>
              <w:rPr>
                <w:rFonts w:hint="eastAsia" w:ascii="宋体" w:hAnsi="宋体" w:eastAsia="宋体" w:cs="宋体"/>
                <w:spacing w:val="-26"/>
                <w:kern w:val="0"/>
                <w:sz w:val="21"/>
                <w:szCs w:val="21"/>
                <w:highlight w:val="none"/>
              </w:rPr>
              <w:t xml:space="preserve"> 分；</w:t>
            </w:r>
            <w:r>
              <w:rPr>
                <w:rFonts w:hint="eastAsia" w:ascii="宋体" w:hAnsi="宋体" w:eastAsia="宋体" w:cs="宋体"/>
                <w:kern w:val="0"/>
                <w:sz w:val="21"/>
                <w:szCs w:val="21"/>
                <w:highlight w:val="none"/>
              </w:rPr>
              <w:t>每存在一项指标不符合国家相关规范标准的要求，扣 5 分；本项目指标累计每月最高扣分 10 分。</w:t>
            </w:r>
          </w:p>
        </w:tc>
        <w:tc>
          <w:tcPr>
            <w:tcW w:w="234" w:type="pct"/>
            <w:shd w:val="clear" w:color="auto" w:fill="FFFFFF" w:themeFill="background1"/>
            <w:vAlign w:val="center"/>
          </w:tcPr>
          <w:p w14:paraId="796497A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068F1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trPr>
        <w:tc>
          <w:tcPr>
            <w:tcW w:w="338" w:type="pct"/>
            <w:vMerge w:val="continue"/>
            <w:shd w:val="clear" w:color="auto" w:fill="FFFFFF" w:themeFill="background1"/>
            <w:vAlign w:val="center"/>
          </w:tcPr>
          <w:p w14:paraId="4BA59984">
            <w:pPr>
              <w:jc w:val="center"/>
              <w:rPr>
                <w:rFonts w:hint="eastAsia" w:ascii="宋体" w:hAnsi="宋体" w:eastAsia="宋体" w:cs="宋体"/>
                <w:color w:val="auto"/>
                <w:kern w:val="0"/>
                <w:sz w:val="21"/>
                <w:szCs w:val="21"/>
                <w:highlight w:val="none"/>
              </w:rPr>
            </w:pPr>
          </w:p>
        </w:tc>
        <w:tc>
          <w:tcPr>
            <w:tcW w:w="284" w:type="pct"/>
            <w:vMerge w:val="continue"/>
            <w:shd w:val="clear" w:color="auto" w:fill="FFFFFF" w:themeFill="background1"/>
            <w:vAlign w:val="center"/>
          </w:tcPr>
          <w:p w14:paraId="72117AC3">
            <w:pPr>
              <w:jc w:val="center"/>
              <w:rPr>
                <w:rFonts w:hint="eastAsia" w:ascii="宋体" w:hAnsi="宋体" w:eastAsia="宋体" w:cs="宋体"/>
                <w:color w:val="auto"/>
                <w:kern w:val="0"/>
                <w:sz w:val="21"/>
                <w:szCs w:val="21"/>
                <w:highlight w:val="none"/>
              </w:rPr>
            </w:pPr>
          </w:p>
        </w:tc>
        <w:tc>
          <w:tcPr>
            <w:tcW w:w="399" w:type="pct"/>
            <w:shd w:val="clear" w:color="auto" w:fill="FFFFFF" w:themeFill="background1"/>
            <w:vAlign w:val="center"/>
          </w:tcPr>
          <w:p w14:paraId="0A37E95D">
            <w:pPr>
              <w:autoSpaceDE w:val="0"/>
              <w:autoSpaceDN w:val="0"/>
              <w:adjustRightInd w:val="0"/>
              <w:spacing w:before="158" w:line="242" w:lineRule="auto"/>
              <w:ind w:left="129" w:leftChars="0" w:right="117"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配送人员评价指标</w:t>
            </w:r>
          </w:p>
        </w:tc>
        <w:tc>
          <w:tcPr>
            <w:tcW w:w="343" w:type="pct"/>
            <w:shd w:val="clear" w:color="auto" w:fill="FFFFFF" w:themeFill="background1"/>
            <w:vAlign w:val="center"/>
          </w:tcPr>
          <w:p w14:paraId="2469DE55">
            <w:pPr>
              <w:autoSpaceDE w:val="0"/>
              <w:autoSpaceDN w:val="0"/>
              <w:adjustRightInd w:val="0"/>
              <w:ind w:left="180" w:leftChars="0" w:right="172"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3354CDE5">
            <w:pPr>
              <w:autoSpaceDE w:val="0"/>
              <w:autoSpaceDN w:val="0"/>
              <w:adjustRightInd w:val="0"/>
              <w:spacing w:before="158" w:line="242" w:lineRule="auto"/>
              <w:ind w:left="108" w:leftChars="0" w:right="122" w:rightChars="0"/>
              <w:jc w:val="center"/>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考核配送人员的综合素质。</w:t>
            </w:r>
          </w:p>
        </w:tc>
        <w:tc>
          <w:tcPr>
            <w:tcW w:w="2529" w:type="pct"/>
            <w:shd w:val="clear" w:color="auto" w:fill="FFFFFF" w:themeFill="background1"/>
            <w:vAlign w:val="center"/>
          </w:tcPr>
          <w:p w14:paraId="059036A2">
            <w:pPr>
              <w:autoSpaceDE w:val="0"/>
              <w:autoSpaceDN w:val="0"/>
              <w:adjustRightInd w:val="0"/>
              <w:spacing w:before="2" w:line="240" w:lineRule="auto"/>
              <w:ind w:left="107" w:leftChars="0" w:right="-29"/>
              <w:jc w:val="left"/>
              <w:rPr>
                <w:rFonts w:hint="eastAsia" w:ascii="宋体" w:hAnsi="宋体" w:eastAsia="宋体" w:cs="宋体"/>
                <w:color w:val="auto"/>
                <w:kern w:val="0"/>
                <w:sz w:val="21"/>
                <w:szCs w:val="21"/>
                <w:highlight w:val="none"/>
              </w:rPr>
            </w:pPr>
            <w:r>
              <w:rPr>
                <w:rFonts w:hint="eastAsia" w:ascii="宋体" w:hAnsi="宋体" w:eastAsia="宋体" w:cs="宋体"/>
                <w:spacing w:val="-6"/>
                <w:kern w:val="0"/>
                <w:sz w:val="21"/>
                <w:szCs w:val="21"/>
                <w:highlight w:val="none"/>
              </w:rPr>
              <w:t xml:space="preserve">每一名配送人员均持有健康证，配送时段统一穿工服，得 </w:t>
            </w:r>
            <w:r>
              <w:rPr>
                <w:rFonts w:hint="eastAsia" w:ascii="宋体" w:hAnsi="宋体" w:eastAsia="宋体" w:cs="宋体"/>
                <w:kern w:val="0"/>
                <w:sz w:val="21"/>
                <w:szCs w:val="21"/>
                <w:highlight w:val="none"/>
              </w:rPr>
              <w:t>5</w:t>
            </w:r>
            <w:r>
              <w:rPr>
                <w:rFonts w:hint="eastAsia" w:ascii="宋体" w:hAnsi="宋体" w:eastAsia="宋体" w:cs="宋体"/>
                <w:spacing w:val="-24"/>
                <w:kern w:val="0"/>
                <w:sz w:val="21"/>
                <w:szCs w:val="21"/>
                <w:highlight w:val="none"/>
              </w:rPr>
              <w:t xml:space="preserve"> 分；</w:t>
            </w:r>
            <w:r>
              <w:rPr>
                <w:rFonts w:hint="eastAsia" w:ascii="宋体" w:hAnsi="宋体" w:eastAsia="宋体" w:cs="宋体"/>
                <w:spacing w:val="-6"/>
                <w:kern w:val="0"/>
                <w:sz w:val="21"/>
                <w:szCs w:val="21"/>
                <w:highlight w:val="none"/>
              </w:rPr>
              <w:t xml:space="preserve">每发现一次配送人员未统一着装，扣 </w:t>
            </w:r>
            <w:r>
              <w:rPr>
                <w:rFonts w:hint="eastAsia" w:ascii="宋体" w:hAnsi="宋体" w:eastAsia="宋体" w:cs="宋体"/>
                <w:kern w:val="0"/>
                <w:sz w:val="21"/>
                <w:szCs w:val="21"/>
                <w:highlight w:val="none"/>
              </w:rPr>
              <w:t>1</w:t>
            </w:r>
            <w:r>
              <w:rPr>
                <w:rFonts w:hint="eastAsia" w:ascii="宋体" w:hAnsi="宋体" w:eastAsia="宋体" w:cs="宋体"/>
                <w:spacing w:val="-30"/>
                <w:kern w:val="0"/>
                <w:sz w:val="21"/>
                <w:szCs w:val="21"/>
                <w:highlight w:val="none"/>
              </w:rPr>
              <w:t xml:space="preserve"> 分</w:t>
            </w:r>
            <w:r>
              <w:rPr>
                <w:rFonts w:hint="eastAsia" w:ascii="宋体" w:hAnsi="宋体" w:eastAsia="宋体" w:cs="宋体"/>
                <w:kern w:val="0"/>
                <w:sz w:val="21"/>
                <w:szCs w:val="21"/>
                <w:highlight w:val="none"/>
              </w:rPr>
              <w:t>/</w:t>
            </w:r>
            <w:r>
              <w:rPr>
                <w:rFonts w:hint="eastAsia" w:ascii="宋体" w:hAnsi="宋体" w:eastAsia="宋体" w:cs="宋体"/>
                <w:spacing w:val="-4"/>
                <w:kern w:val="0"/>
                <w:sz w:val="21"/>
                <w:szCs w:val="21"/>
                <w:highlight w:val="none"/>
              </w:rPr>
              <w:t>人；发现一次配送人</w:t>
            </w:r>
            <w:r>
              <w:rPr>
                <w:rFonts w:hint="eastAsia" w:ascii="宋体" w:hAnsi="宋体" w:eastAsia="宋体" w:cs="宋体"/>
                <w:kern w:val="0"/>
                <w:sz w:val="21"/>
                <w:szCs w:val="21"/>
                <w:highlight w:val="none"/>
              </w:rPr>
              <w:t>员无健康证，扣 5 分；本项指标累计每月最高扣分 5 分。</w:t>
            </w:r>
          </w:p>
        </w:tc>
        <w:tc>
          <w:tcPr>
            <w:tcW w:w="234" w:type="pct"/>
            <w:shd w:val="clear" w:color="auto" w:fill="FFFFFF" w:themeFill="background1"/>
            <w:vAlign w:val="center"/>
          </w:tcPr>
          <w:p w14:paraId="74D34C82">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76BBC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trPr>
        <w:tc>
          <w:tcPr>
            <w:tcW w:w="338" w:type="pct"/>
            <w:vMerge w:val="restart"/>
            <w:shd w:val="clear" w:color="auto" w:fill="FFFFFF" w:themeFill="background1"/>
            <w:vAlign w:val="center"/>
          </w:tcPr>
          <w:p w14:paraId="6464D8F9">
            <w:pPr>
              <w:autoSpaceDE w:val="0"/>
              <w:autoSpaceDN w:val="0"/>
              <w:adjustRightInd w:val="0"/>
              <w:spacing w:before="1" w:line="242" w:lineRule="auto"/>
              <w:ind w:left="148" w:leftChars="0" w:right="138"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服务质量</w:t>
            </w:r>
          </w:p>
        </w:tc>
        <w:tc>
          <w:tcPr>
            <w:tcW w:w="284" w:type="pct"/>
            <w:vMerge w:val="restart"/>
            <w:shd w:val="clear" w:color="auto" w:fill="FFFFFF" w:themeFill="background1"/>
            <w:vAlign w:val="center"/>
          </w:tcPr>
          <w:p w14:paraId="655E0D8A">
            <w:pPr>
              <w:autoSpaceDE w:val="0"/>
              <w:autoSpaceDN w:val="0"/>
              <w:adjustRightInd w:val="0"/>
              <w:spacing w:before="1"/>
              <w:ind w:left="164" w:lef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10 分</w:t>
            </w:r>
          </w:p>
        </w:tc>
        <w:tc>
          <w:tcPr>
            <w:tcW w:w="399" w:type="pct"/>
            <w:shd w:val="clear" w:color="auto" w:fill="FFFFFF" w:themeFill="background1"/>
            <w:vAlign w:val="center"/>
          </w:tcPr>
          <w:p w14:paraId="6C9170C5">
            <w:pPr>
              <w:autoSpaceDE w:val="0"/>
              <w:autoSpaceDN w:val="0"/>
              <w:adjustRightInd w:val="0"/>
              <w:spacing w:before="160" w:line="242" w:lineRule="auto"/>
              <w:ind w:left="129" w:leftChars="0" w:right="117"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服务态度评价指标</w:t>
            </w:r>
          </w:p>
        </w:tc>
        <w:tc>
          <w:tcPr>
            <w:tcW w:w="343" w:type="pct"/>
            <w:shd w:val="clear" w:color="auto" w:fill="FFFFFF" w:themeFill="background1"/>
            <w:vAlign w:val="center"/>
          </w:tcPr>
          <w:p w14:paraId="4C86D6B5">
            <w:pPr>
              <w:autoSpaceDE w:val="0"/>
              <w:autoSpaceDN w:val="0"/>
              <w:adjustRightInd w:val="0"/>
              <w:spacing w:before="5"/>
              <w:jc w:val="center"/>
              <w:rPr>
                <w:rFonts w:hint="eastAsia" w:ascii="宋体" w:hAnsi="宋体" w:eastAsia="宋体" w:cs="宋体"/>
                <w:kern w:val="0"/>
                <w:sz w:val="21"/>
                <w:szCs w:val="21"/>
                <w:highlight w:val="none"/>
              </w:rPr>
            </w:pPr>
          </w:p>
          <w:p w14:paraId="5099BDD8">
            <w:pPr>
              <w:autoSpaceDE w:val="0"/>
              <w:autoSpaceDN w:val="0"/>
              <w:adjustRightInd w:val="0"/>
              <w:ind w:left="180" w:leftChars="0" w:right="172"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5732EE75">
            <w:pPr>
              <w:autoSpaceDE w:val="0"/>
              <w:autoSpaceDN w:val="0"/>
              <w:adjustRightInd w:val="0"/>
              <w:spacing w:before="160" w:line="242" w:lineRule="auto"/>
              <w:ind w:left="108" w:leftChars="0" w:right="122" w:rightChars="0"/>
              <w:jc w:val="center"/>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考核供应商服务态度是否良好。</w:t>
            </w:r>
          </w:p>
        </w:tc>
        <w:tc>
          <w:tcPr>
            <w:tcW w:w="2529" w:type="pct"/>
            <w:shd w:val="clear" w:color="auto" w:fill="FFFFFF" w:themeFill="background1"/>
            <w:vAlign w:val="center"/>
          </w:tcPr>
          <w:p w14:paraId="18802013">
            <w:pPr>
              <w:autoSpaceDE w:val="0"/>
              <w:autoSpaceDN w:val="0"/>
              <w:adjustRightInd w:val="0"/>
              <w:spacing w:before="4" w:line="242" w:lineRule="auto"/>
              <w:ind w:left="107" w:leftChars="0" w:right="184"/>
              <w:jc w:val="left"/>
              <w:rPr>
                <w:rFonts w:hint="eastAsia" w:ascii="宋体" w:hAnsi="宋体" w:eastAsia="宋体" w:cs="宋体"/>
                <w:color w:val="auto"/>
                <w:kern w:val="0"/>
                <w:sz w:val="21"/>
                <w:szCs w:val="21"/>
                <w:highlight w:val="none"/>
              </w:rPr>
            </w:pPr>
            <w:r>
              <w:rPr>
                <w:rFonts w:hint="eastAsia" w:ascii="宋体" w:hAnsi="宋体" w:eastAsia="宋体" w:cs="宋体"/>
                <w:spacing w:val="-1"/>
                <w:kern w:val="0"/>
                <w:sz w:val="21"/>
                <w:szCs w:val="21"/>
                <w:highlight w:val="none"/>
              </w:rPr>
              <w:t>工作人员工作认真，服务热情周到，运送搬运文明，无投诉事</w:t>
            </w:r>
            <w:r>
              <w:rPr>
                <w:rFonts w:hint="eastAsia" w:ascii="宋体" w:hAnsi="宋体" w:eastAsia="宋体" w:cs="宋体"/>
                <w:spacing w:val="-10"/>
                <w:kern w:val="0"/>
                <w:sz w:val="21"/>
                <w:szCs w:val="21"/>
                <w:highlight w:val="none"/>
              </w:rPr>
              <w:t xml:space="preserve">件发生，得 </w:t>
            </w:r>
            <w:r>
              <w:rPr>
                <w:rFonts w:hint="eastAsia" w:ascii="宋体" w:hAnsi="宋体" w:eastAsia="宋体" w:cs="宋体"/>
                <w:kern w:val="0"/>
                <w:sz w:val="21"/>
                <w:szCs w:val="21"/>
                <w:highlight w:val="none"/>
              </w:rPr>
              <w:t>5</w:t>
            </w:r>
            <w:r>
              <w:rPr>
                <w:rFonts w:hint="eastAsia" w:ascii="宋体" w:hAnsi="宋体" w:eastAsia="宋体" w:cs="宋体"/>
                <w:spacing w:val="-18"/>
                <w:kern w:val="0"/>
                <w:sz w:val="21"/>
                <w:szCs w:val="21"/>
                <w:highlight w:val="none"/>
              </w:rPr>
              <w:t xml:space="preserve"> 分；每接到 </w:t>
            </w:r>
            <w:r>
              <w:rPr>
                <w:rFonts w:hint="eastAsia" w:ascii="宋体" w:hAnsi="宋体" w:eastAsia="宋体" w:cs="宋体"/>
                <w:kern w:val="0"/>
                <w:sz w:val="21"/>
                <w:szCs w:val="21"/>
                <w:highlight w:val="none"/>
              </w:rPr>
              <w:t>1</w:t>
            </w:r>
            <w:r>
              <w:rPr>
                <w:rFonts w:hint="eastAsia" w:ascii="宋体" w:hAnsi="宋体" w:eastAsia="宋体" w:cs="宋体"/>
                <w:spacing w:val="-16"/>
                <w:kern w:val="0"/>
                <w:sz w:val="21"/>
                <w:szCs w:val="21"/>
                <w:highlight w:val="none"/>
              </w:rPr>
              <w:t xml:space="preserve"> 次有效投诉扣 </w:t>
            </w:r>
            <w:r>
              <w:rPr>
                <w:rFonts w:hint="eastAsia" w:ascii="宋体" w:hAnsi="宋体" w:eastAsia="宋体" w:cs="宋体"/>
                <w:kern w:val="0"/>
                <w:sz w:val="21"/>
                <w:szCs w:val="21"/>
                <w:highlight w:val="none"/>
              </w:rPr>
              <w:t>5</w:t>
            </w:r>
            <w:r>
              <w:rPr>
                <w:rFonts w:hint="eastAsia" w:ascii="宋体" w:hAnsi="宋体" w:eastAsia="宋体" w:cs="宋体"/>
                <w:spacing w:val="-9"/>
                <w:kern w:val="0"/>
                <w:sz w:val="21"/>
                <w:szCs w:val="21"/>
                <w:highlight w:val="none"/>
              </w:rPr>
              <w:t xml:space="preserve"> 分；本项指标累计</w:t>
            </w:r>
            <w:r>
              <w:rPr>
                <w:rFonts w:hint="eastAsia" w:ascii="宋体" w:hAnsi="宋体" w:eastAsia="宋体" w:cs="宋体"/>
                <w:kern w:val="0"/>
                <w:sz w:val="21"/>
                <w:szCs w:val="21"/>
                <w:highlight w:val="none"/>
              </w:rPr>
              <w:t>每月最高扣分 5 分。</w:t>
            </w:r>
          </w:p>
        </w:tc>
        <w:tc>
          <w:tcPr>
            <w:tcW w:w="234" w:type="pct"/>
            <w:shd w:val="clear" w:color="auto" w:fill="FFFFFF" w:themeFill="background1"/>
            <w:vAlign w:val="center"/>
          </w:tcPr>
          <w:p w14:paraId="693891BA">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6C0B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338" w:type="pct"/>
            <w:vMerge w:val="continue"/>
            <w:shd w:val="clear" w:color="auto" w:fill="FFFFFF" w:themeFill="background1"/>
            <w:vAlign w:val="center"/>
          </w:tcPr>
          <w:p w14:paraId="57FD5109">
            <w:pPr>
              <w:jc w:val="center"/>
              <w:rPr>
                <w:rFonts w:hint="eastAsia" w:ascii="宋体" w:hAnsi="宋体" w:eastAsia="宋体" w:cs="宋体"/>
                <w:color w:val="auto"/>
                <w:kern w:val="0"/>
                <w:sz w:val="21"/>
                <w:szCs w:val="21"/>
                <w:highlight w:val="none"/>
              </w:rPr>
            </w:pPr>
          </w:p>
        </w:tc>
        <w:tc>
          <w:tcPr>
            <w:tcW w:w="284" w:type="pct"/>
            <w:vMerge w:val="continue"/>
            <w:shd w:val="clear" w:color="auto" w:fill="FFFFFF" w:themeFill="background1"/>
            <w:vAlign w:val="center"/>
          </w:tcPr>
          <w:p w14:paraId="4B9BCF03">
            <w:pPr>
              <w:jc w:val="center"/>
              <w:rPr>
                <w:rFonts w:hint="eastAsia" w:ascii="宋体" w:hAnsi="宋体" w:eastAsia="宋体" w:cs="宋体"/>
                <w:color w:val="auto"/>
                <w:kern w:val="0"/>
                <w:sz w:val="21"/>
                <w:szCs w:val="21"/>
                <w:highlight w:val="none"/>
              </w:rPr>
            </w:pPr>
          </w:p>
        </w:tc>
        <w:tc>
          <w:tcPr>
            <w:tcW w:w="399" w:type="pct"/>
            <w:shd w:val="clear" w:color="auto" w:fill="FFFFFF" w:themeFill="background1"/>
            <w:vAlign w:val="center"/>
          </w:tcPr>
          <w:p w14:paraId="57AF9611">
            <w:pPr>
              <w:autoSpaceDE w:val="0"/>
              <w:autoSpaceDN w:val="0"/>
              <w:adjustRightInd w:val="0"/>
              <w:spacing w:line="242" w:lineRule="auto"/>
              <w:ind w:left="129" w:leftChars="0" w:right="117"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反馈整改评价指标</w:t>
            </w:r>
          </w:p>
        </w:tc>
        <w:tc>
          <w:tcPr>
            <w:tcW w:w="343" w:type="pct"/>
            <w:shd w:val="clear" w:color="auto" w:fill="FFFFFF" w:themeFill="background1"/>
            <w:vAlign w:val="center"/>
          </w:tcPr>
          <w:p w14:paraId="1655B270">
            <w:pPr>
              <w:autoSpaceDE w:val="0"/>
              <w:autoSpaceDN w:val="0"/>
              <w:adjustRightInd w:val="0"/>
              <w:spacing w:before="195"/>
              <w:ind w:left="180" w:leftChars="0" w:right="172"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5 分</w:t>
            </w:r>
          </w:p>
        </w:tc>
        <w:tc>
          <w:tcPr>
            <w:tcW w:w="869" w:type="pct"/>
            <w:shd w:val="clear" w:color="auto" w:fill="FFFFFF" w:themeFill="background1"/>
            <w:vAlign w:val="center"/>
          </w:tcPr>
          <w:p w14:paraId="58173423">
            <w:pPr>
              <w:autoSpaceDE w:val="0"/>
              <w:autoSpaceDN w:val="0"/>
              <w:adjustRightInd w:val="0"/>
              <w:spacing w:before="3"/>
              <w:ind w:left="108"/>
              <w:jc w:val="center"/>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考核供应商是否对校方、考评小组的反馈意见进行认真及时的整改。</w:t>
            </w:r>
          </w:p>
        </w:tc>
        <w:tc>
          <w:tcPr>
            <w:tcW w:w="2529" w:type="pct"/>
            <w:shd w:val="clear" w:color="auto" w:fill="FFFFFF" w:themeFill="background1"/>
            <w:vAlign w:val="center"/>
          </w:tcPr>
          <w:p w14:paraId="193C8873">
            <w:pPr>
              <w:autoSpaceDE w:val="0"/>
              <w:autoSpaceDN w:val="0"/>
              <w:adjustRightInd w:val="0"/>
              <w:spacing w:before="159" w:line="242" w:lineRule="auto"/>
              <w:ind w:left="107" w:leftChars="0" w:right="-29"/>
              <w:jc w:val="left"/>
              <w:rPr>
                <w:rFonts w:hint="eastAsia" w:ascii="宋体" w:hAnsi="宋体" w:eastAsia="宋体" w:cs="宋体"/>
                <w:color w:val="auto"/>
                <w:kern w:val="0"/>
                <w:sz w:val="21"/>
                <w:szCs w:val="21"/>
                <w:highlight w:val="none"/>
              </w:rPr>
            </w:pPr>
            <w:r>
              <w:rPr>
                <w:rFonts w:hint="eastAsia" w:ascii="宋体" w:hAnsi="宋体" w:eastAsia="宋体" w:cs="宋体"/>
                <w:spacing w:val="-4"/>
                <w:kern w:val="0"/>
                <w:sz w:val="21"/>
                <w:szCs w:val="21"/>
                <w:highlight w:val="none"/>
              </w:rPr>
              <w:t xml:space="preserve">对校方、考评小组的反馈意见虚心接受，认真及时更改， </w:t>
            </w:r>
            <w:r>
              <w:rPr>
                <w:rFonts w:hint="eastAsia" w:ascii="宋体" w:hAnsi="宋体" w:eastAsia="宋体" w:cs="宋体"/>
                <w:spacing w:val="-32"/>
                <w:kern w:val="0"/>
                <w:sz w:val="21"/>
                <w:szCs w:val="21"/>
                <w:highlight w:val="none"/>
              </w:rPr>
              <w:t xml:space="preserve">得 </w:t>
            </w:r>
            <w:r>
              <w:rPr>
                <w:rFonts w:hint="eastAsia" w:ascii="宋体" w:hAnsi="宋体" w:eastAsia="宋体" w:cs="宋体"/>
                <w:kern w:val="0"/>
                <w:sz w:val="21"/>
                <w:szCs w:val="21"/>
                <w:highlight w:val="none"/>
              </w:rPr>
              <w:t>5</w:t>
            </w:r>
            <w:r>
              <w:rPr>
                <w:rFonts w:hint="eastAsia" w:ascii="宋体" w:hAnsi="宋体" w:eastAsia="宋体" w:cs="宋体"/>
                <w:spacing w:val="-12"/>
                <w:kern w:val="0"/>
                <w:sz w:val="21"/>
                <w:szCs w:val="21"/>
                <w:highlight w:val="none"/>
              </w:rPr>
              <w:t xml:space="preserve"> 分；对校</w:t>
            </w:r>
            <w:r>
              <w:rPr>
                <w:rFonts w:hint="eastAsia" w:ascii="宋体" w:hAnsi="宋体" w:eastAsia="宋体" w:cs="宋体"/>
                <w:kern w:val="0"/>
                <w:sz w:val="21"/>
                <w:szCs w:val="21"/>
                <w:highlight w:val="none"/>
              </w:rPr>
              <w:t>方、考评小组的反馈意见没有及时整改，每发现一次扣 1 分；本项指标累计每月最高扣分 5 分。</w:t>
            </w:r>
          </w:p>
        </w:tc>
        <w:tc>
          <w:tcPr>
            <w:tcW w:w="234" w:type="pct"/>
            <w:shd w:val="clear" w:color="auto" w:fill="FFFFFF" w:themeFill="background1"/>
            <w:vAlign w:val="center"/>
          </w:tcPr>
          <w:p w14:paraId="4E076B12">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4B788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4765" w:type="pct"/>
            <w:gridSpan w:val="6"/>
            <w:shd w:val="clear" w:color="auto" w:fill="FFFFFF" w:themeFill="background1"/>
            <w:vAlign w:val="center"/>
          </w:tcPr>
          <w:p w14:paraId="2271025B">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服务供应商月度考核总得分</w:t>
            </w:r>
          </w:p>
        </w:tc>
        <w:tc>
          <w:tcPr>
            <w:tcW w:w="234" w:type="pct"/>
            <w:shd w:val="clear" w:color="auto" w:fill="FFFFFF" w:themeFill="background1"/>
            <w:vAlign w:val="center"/>
          </w:tcPr>
          <w:p w14:paraId="45B7AB67">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bl>
    <w:p w14:paraId="7764EEE8">
      <w:pPr>
        <w:tabs>
          <w:tab w:val="left" w:pos="11071"/>
        </w:tabs>
        <w:spacing w:before="62"/>
        <w:ind w:left="291"/>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考</w:t>
      </w:r>
      <w:r>
        <w:rPr>
          <w:rFonts w:hint="eastAsia" w:ascii="仿宋" w:hAnsi="仿宋" w:eastAsia="仿宋" w:cs="仿宋"/>
          <w:color w:val="auto"/>
          <w:spacing w:val="-3"/>
          <w:sz w:val="24"/>
          <w:szCs w:val="24"/>
          <w:highlight w:val="none"/>
        </w:rPr>
        <w:t>评</w:t>
      </w:r>
      <w:r>
        <w:rPr>
          <w:rFonts w:hint="eastAsia" w:ascii="仿宋" w:hAnsi="仿宋" w:eastAsia="仿宋" w:cs="仿宋"/>
          <w:color w:val="auto"/>
          <w:sz w:val="24"/>
          <w:szCs w:val="24"/>
          <w:highlight w:val="none"/>
        </w:rPr>
        <w:t>人员签名</w:t>
      </w:r>
      <w:r>
        <w:rPr>
          <w:rFonts w:hint="eastAsia" w:ascii="仿宋" w:hAnsi="仿宋" w:eastAsia="仿宋" w:cs="仿宋"/>
          <w:color w:val="auto"/>
          <w:sz w:val="24"/>
          <w:szCs w:val="24"/>
          <w:highlight w:val="none"/>
          <w:lang w:eastAsia="zh-CN"/>
        </w:rPr>
        <w:t>：</w:t>
      </w:r>
    </w:p>
    <w:p w14:paraId="61040D4F">
      <w:pPr>
        <w:tabs>
          <w:tab w:val="left" w:pos="11071"/>
        </w:tabs>
        <w:spacing w:before="62"/>
        <w:ind w:left="291"/>
        <w:jc w:val="left"/>
        <w:rPr>
          <w:sz w:val="20"/>
          <w:highlight w:val="none"/>
        </w:rPr>
      </w:pPr>
      <w:r>
        <w:rPr>
          <w:rFonts w:hint="eastAsia" w:ascii="仿宋" w:hAnsi="仿宋" w:eastAsia="仿宋" w:cs="仿宋"/>
          <w:color w:val="auto"/>
          <w:sz w:val="24"/>
          <w:szCs w:val="24"/>
          <w:highlight w:val="none"/>
        </w:rPr>
        <w:t>考</w:t>
      </w:r>
      <w:r>
        <w:rPr>
          <w:rFonts w:hint="eastAsia" w:ascii="仿宋" w:hAnsi="仿宋" w:eastAsia="仿宋" w:cs="仿宋"/>
          <w:color w:val="auto"/>
          <w:spacing w:val="-3"/>
          <w:sz w:val="24"/>
          <w:szCs w:val="24"/>
          <w:highlight w:val="none"/>
        </w:rPr>
        <w:t>评</w:t>
      </w:r>
      <w:r>
        <w:rPr>
          <w:rFonts w:hint="eastAsia" w:ascii="仿宋" w:hAnsi="仿宋" w:eastAsia="仿宋" w:cs="仿宋"/>
          <w:color w:val="auto"/>
          <w:sz w:val="24"/>
          <w:szCs w:val="24"/>
          <w:highlight w:val="none"/>
        </w:rPr>
        <w:t>时间：</w:t>
      </w:r>
    </w:p>
    <w:p w14:paraId="745684E6">
      <w:pPr>
        <w:spacing w:before="4"/>
        <w:rPr>
          <w:sz w:val="20"/>
          <w:highlight w:val="none"/>
        </w:rPr>
      </w:pPr>
    </w:p>
    <w:p w14:paraId="5D7F2159">
      <w:pPr>
        <w:pStyle w:val="18"/>
        <w:spacing w:before="2"/>
        <w:rPr>
          <w:rFonts w:ascii="方正舒体"/>
          <w:sz w:val="13"/>
          <w:highlight w:val="none"/>
        </w:rPr>
      </w:pPr>
    </w:p>
    <w:p w14:paraId="45D82C65">
      <w:pPr>
        <w:rPr>
          <w:rFonts w:hint="eastAsia"/>
          <w:kern w:val="2"/>
          <w:highlight w:val="none"/>
        </w:rPr>
      </w:pPr>
      <w:r>
        <w:rPr>
          <w:rFonts w:hint="eastAsia"/>
          <w:kern w:val="2"/>
          <w:highlight w:val="none"/>
        </w:rPr>
        <w:br w:type="page"/>
      </w:r>
    </w:p>
    <w:p w14:paraId="329EE4EA">
      <w:pPr>
        <w:pStyle w:val="7"/>
        <w:ind w:firstLine="0"/>
        <w:outlineLvl w:val="2"/>
        <w:rPr>
          <w:rFonts w:hint="eastAsia" w:ascii="宋体" w:hAnsi="宋体"/>
          <w:b/>
          <w:bCs/>
          <w:szCs w:val="21"/>
          <w:highlight w:val="none"/>
        </w:rPr>
      </w:pPr>
      <w:r>
        <w:rPr>
          <w:rFonts w:hint="eastAsia" w:ascii="宋体" w:hAnsi="宋体"/>
          <w:b/>
          <w:bCs/>
          <w:sz w:val="24"/>
          <w:szCs w:val="21"/>
          <w:highlight w:val="none"/>
        </w:rPr>
        <w:t xml:space="preserve">附件三 </w:t>
      </w:r>
      <w:r>
        <w:rPr>
          <w:rFonts w:ascii="宋体" w:hAnsi="宋体"/>
          <w:b/>
          <w:bCs/>
          <w:sz w:val="24"/>
          <w:szCs w:val="21"/>
          <w:highlight w:val="none"/>
        </w:rPr>
        <w:t xml:space="preserve"> </w:t>
      </w:r>
      <w:r>
        <w:rPr>
          <w:rFonts w:hint="eastAsia" w:ascii="宋体" w:hAnsi="宋体"/>
          <w:b/>
          <w:bCs/>
          <w:sz w:val="24"/>
          <w:szCs w:val="21"/>
          <w:highlight w:val="none"/>
        </w:rPr>
        <w:t>供应商</w:t>
      </w:r>
      <w:r>
        <w:rPr>
          <w:rFonts w:hint="eastAsia" w:ascii="宋体" w:hAnsi="宋体"/>
          <w:b/>
          <w:bCs/>
          <w:sz w:val="24"/>
          <w:szCs w:val="21"/>
          <w:highlight w:val="none"/>
          <w:lang w:val="en-US" w:eastAsia="zh-CN"/>
        </w:rPr>
        <w:t>年</w:t>
      </w:r>
      <w:r>
        <w:rPr>
          <w:rFonts w:hint="eastAsia" w:ascii="宋体" w:hAnsi="宋体"/>
          <w:b/>
          <w:bCs/>
          <w:sz w:val="24"/>
          <w:szCs w:val="21"/>
          <w:highlight w:val="none"/>
        </w:rPr>
        <w:t>度综合评议考核表</w:t>
      </w:r>
    </w:p>
    <w:p w14:paraId="2556C4A5">
      <w:pPr>
        <w:rPr>
          <w:rFonts w:eastAsia="仿宋"/>
          <w:highlight w:val="none"/>
        </w:rPr>
      </w:pPr>
      <w:r>
        <w:rPr>
          <w:rFonts w:hint="eastAsia"/>
          <w:highlight w:val="none"/>
        </w:rPr>
        <w:t xml:space="preserve">  </w:t>
      </w:r>
    </w:p>
    <w:tbl>
      <w:tblPr>
        <w:tblStyle w:val="42"/>
        <w:tblW w:w="53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autofit"/>
        <w:tblCellMar>
          <w:top w:w="0" w:type="dxa"/>
          <w:left w:w="0" w:type="dxa"/>
          <w:bottom w:w="0" w:type="dxa"/>
          <w:right w:w="0" w:type="dxa"/>
        </w:tblCellMar>
      </w:tblPr>
      <w:tblGrid>
        <w:gridCol w:w="1059"/>
        <w:gridCol w:w="2385"/>
        <w:gridCol w:w="3615"/>
        <w:gridCol w:w="1401"/>
        <w:gridCol w:w="399"/>
      </w:tblGrid>
      <w:tr w14:paraId="022E9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3" w:hRule="atLeast"/>
          <w:jc w:val="center"/>
        </w:trPr>
        <w:tc>
          <w:tcPr>
            <w:tcW w:w="594" w:type="pct"/>
            <w:shd w:val="clear" w:color="auto" w:fill="FFFFFF" w:themeFill="background1"/>
            <w:vAlign w:val="center"/>
          </w:tcPr>
          <w:p w14:paraId="352796FF">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w w:val="95"/>
                <w:kern w:val="0"/>
                <w:sz w:val="21"/>
                <w:szCs w:val="21"/>
                <w:highlight w:val="none"/>
              </w:rPr>
              <w:t>一级指标</w:t>
            </w:r>
          </w:p>
        </w:tc>
        <w:tc>
          <w:tcPr>
            <w:tcW w:w="1338" w:type="pct"/>
            <w:shd w:val="clear" w:color="auto" w:fill="FFFFFF" w:themeFill="background1"/>
            <w:vAlign w:val="center"/>
          </w:tcPr>
          <w:p w14:paraId="2F1AB95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二级指标</w:t>
            </w:r>
          </w:p>
        </w:tc>
        <w:tc>
          <w:tcPr>
            <w:tcW w:w="2028" w:type="pct"/>
            <w:shd w:val="clear" w:color="auto" w:fill="FFFFFF" w:themeFill="background1"/>
            <w:vAlign w:val="center"/>
          </w:tcPr>
          <w:p w14:paraId="7452A12C">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考核内容</w:t>
            </w:r>
          </w:p>
        </w:tc>
        <w:tc>
          <w:tcPr>
            <w:tcW w:w="784" w:type="pct"/>
            <w:shd w:val="clear" w:color="auto" w:fill="FFFFFF" w:themeFill="background1"/>
            <w:vAlign w:val="center"/>
          </w:tcPr>
          <w:p w14:paraId="37A746E1">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default" w:ascii="宋体" w:hAnsi="宋体" w:eastAsia="宋体" w:cs="宋体"/>
                <w:b/>
                <w:color w:val="auto"/>
                <w:kern w:val="0"/>
                <w:sz w:val="21"/>
                <w:szCs w:val="21"/>
                <w:highlight w:val="none"/>
                <w:lang w:val="en-US" w:eastAsia="zh-CN"/>
              </w:rPr>
            </w:pPr>
            <w:r>
              <w:rPr>
                <w:rFonts w:hint="eastAsia" w:ascii="宋体" w:hAnsi="宋体" w:cs="宋体"/>
                <w:b/>
                <w:color w:val="auto"/>
                <w:kern w:val="0"/>
                <w:sz w:val="21"/>
                <w:szCs w:val="21"/>
                <w:highlight w:val="none"/>
                <w:lang w:val="en-US" w:eastAsia="zh-CN"/>
              </w:rPr>
              <w:t>考核结果</w:t>
            </w:r>
          </w:p>
        </w:tc>
        <w:tc>
          <w:tcPr>
            <w:tcW w:w="224" w:type="pct"/>
            <w:shd w:val="clear" w:color="auto" w:fill="FFFFFF" w:themeFill="background1"/>
            <w:vAlign w:val="center"/>
          </w:tcPr>
          <w:p w14:paraId="0343E1D1">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b/>
                <w:color w:val="auto"/>
                <w:kern w:val="0"/>
                <w:sz w:val="21"/>
                <w:szCs w:val="21"/>
                <w:highlight w:val="none"/>
                <w:lang w:val="en-US" w:eastAsia="zh-CN"/>
              </w:rPr>
            </w:pPr>
            <w:r>
              <w:rPr>
                <w:rFonts w:hint="eastAsia" w:ascii="宋体" w:hAnsi="宋体" w:cs="宋体"/>
                <w:b/>
                <w:color w:val="auto"/>
                <w:kern w:val="0"/>
                <w:sz w:val="21"/>
                <w:szCs w:val="21"/>
                <w:highlight w:val="none"/>
                <w:lang w:val="en-US" w:eastAsia="zh-CN"/>
              </w:rPr>
              <w:t>备注</w:t>
            </w:r>
          </w:p>
        </w:tc>
      </w:tr>
      <w:tr w14:paraId="2EC89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3" w:hRule="atLeast"/>
          <w:jc w:val="center"/>
        </w:trPr>
        <w:tc>
          <w:tcPr>
            <w:tcW w:w="594" w:type="pct"/>
            <w:vMerge w:val="restart"/>
            <w:shd w:val="clear" w:color="auto" w:fill="FFFFFF" w:themeFill="background1"/>
            <w:vAlign w:val="center"/>
          </w:tcPr>
          <w:p w14:paraId="57B76F57">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食材管理</w:t>
            </w:r>
          </w:p>
        </w:tc>
        <w:tc>
          <w:tcPr>
            <w:tcW w:w="1338" w:type="pct"/>
            <w:shd w:val="clear" w:color="auto" w:fill="FFFFFF" w:themeFill="background1"/>
            <w:vAlign w:val="center"/>
          </w:tcPr>
          <w:p w14:paraId="4F7EC0A5">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食材质量评价指标</w:t>
            </w:r>
          </w:p>
        </w:tc>
        <w:tc>
          <w:tcPr>
            <w:tcW w:w="2028" w:type="pct"/>
            <w:shd w:val="clear" w:color="auto" w:fill="FFFFFF" w:themeFill="background1"/>
            <w:vAlign w:val="center"/>
          </w:tcPr>
          <w:p w14:paraId="4A8BD75B">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考核内容配送物品是否</w:t>
            </w:r>
            <w:r>
              <w:rPr>
                <w:rFonts w:hint="eastAsia" w:ascii="宋体" w:hAnsi="宋体" w:eastAsia="宋体" w:cs="宋体"/>
                <w:spacing w:val="-12"/>
                <w:kern w:val="0"/>
                <w:sz w:val="21"/>
                <w:szCs w:val="21"/>
                <w:highlight w:val="none"/>
              </w:rPr>
              <w:t>存在霉烂、变质、过期、</w:t>
            </w:r>
            <w:r>
              <w:rPr>
                <w:rFonts w:hint="eastAsia" w:ascii="宋体" w:hAnsi="宋体" w:eastAsia="宋体" w:cs="宋体"/>
                <w:kern w:val="0"/>
                <w:sz w:val="21"/>
                <w:szCs w:val="21"/>
                <w:highlight w:val="none"/>
              </w:rPr>
              <w:t>破损、品种不达标等不符《深圳市学校食堂食材采购验收参考标准》中对质量要求的情况， 是否存在以次充好达不到学校要求等的情况。</w:t>
            </w:r>
          </w:p>
        </w:tc>
        <w:tc>
          <w:tcPr>
            <w:tcW w:w="784" w:type="pct"/>
            <w:shd w:val="clear" w:color="auto" w:fill="FFFFFF" w:themeFill="background1"/>
            <w:vAlign w:val="center"/>
          </w:tcPr>
          <w:p w14:paraId="42DF9E4F">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2677505F">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0414B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jc w:val="center"/>
        </w:trPr>
        <w:tc>
          <w:tcPr>
            <w:tcW w:w="594" w:type="pct"/>
            <w:vMerge w:val="continue"/>
            <w:shd w:val="clear" w:color="auto" w:fill="FFFFFF" w:themeFill="background1"/>
            <w:vAlign w:val="center"/>
          </w:tcPr>
          <w:p w14:paraId="53117419">
            <w:pPr>
              <w:keepNext w:val="0"/>
              <w:keepLines w:val="0"/>
              <w:pageBreakBefore w:val="0"/>
              <w:widowControl w:val="0"/>
              <w:kinsoku/>
              <w:wordWrap/>
              <w:overflowPunct/>
              <w:topLinePunct w:val="0"/>
              <w:bidi w:val="0"/>
              <w:snapToGrid/>
              <w:spacing w:line="240" w:lineRule="auto"/>
              <w:ind w:left="0" w:right="0"/>
              <w:jc w:val="center"/>
              <w:textAlignment w:val="auto"/>
              <w:rPr>
                <w:rFonts w:hint="eastAsia" w:ascii="宋体" w:hAnsi="宋体" w:eastAsia="宋体" w:cs="宋体"/>
                <w:color w:val="auto"/>
                <w:sz w:val="21"/>
                <w:szCs w:val="21"/>
                <w:highlight w:val="none"/>
              </w:rPr>
            </w:pPr>
          </w:p>
        </w:tc>
        <w:tc>
          <w:tcPr>
            <w:tcW w:w="1338" w:type="pct"/>
            <w:shd w:val="clear" w:color="auto" w:fill="FFFFFF" w:themeFill="background1"/>
            <w:vAlign w:val="center"/>
          </w:tcPr>
          <w:p w14:paraId="4016B85D">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食材数量评价指标</w:t>
            </w:r>
          </w:p>
        </w:tc>
        <w:tc>
          <w:tcPr>
            <w:tcW w:w="2028" w:type="pct"/>
            <w:shd w:val="clear" w:color="auto" w:fill="FFFFFF" w:themeFill="background1"/>
            <w:vAlign w:val="center"/>
          </w:tcPr>
          <w:p w14:paraId="25EFF3CC">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考核供应商是否按照校</w:t>
            </w:r>
            <w:r>
              <w:rPr>
                <w:rFonts w:hint="eastAsia" w:ascii="宋体" w:hAnsi="宋体" w:eastAsia="宋体" w:cs="宋体"/>
                <w:spacing w:val="-3"/>
                <w:kern w:val="0"/>
                <w:sz w:val="21"/>
                <w:szCs w:val="21"/>
                <w:highlight w:val="none"/>
              </w:rPr>
              <w:t>方订单品种和数</w:t>
            </w:r>
            <w:r>
              <w:rPr>
                <w:rFonts w:hint="eastAsia" w:ascii="宋体" w:hAnsi="宋体" w:eastAsia="宋体" w:cs="宋体"/>
                <w:spacing w:val="-2"/>
                <w:kern w:val="0"/>
                <w:sz w:val="21"/>
                <w:szCs w:val="21"/>
                <w:highlight w:val="none"/>
              </w:rPr>
              <w:t>量进行配送物品，是否存在缺斤少两的情况。</w:t>
            </w:r>
          </w:p>
        </w:tc>
        <w:tc>
          <w:tcPr>
            <w:tcW w:w="784" w:type="pct"/>
            <w:shd w:val="clear" w:color="auto" w:fill="FFFFFF" w:themeFill="background1"/>
            <w:vAlign w:val="center"/>
          </w:tcPr>
          <w:p w14:paraId="765EAC96">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4F20722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511CA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restart"/>
            <w:shd w:val="clear" w:color="auto" w:fill="FFFFFF" w:themeFill="background1"/>
            <w:vAlign w:val="center"/>
          </w:tcPr>
          <w:p w14:paraId="216DC6D0">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流程管理</w:t>
            </w:r>
          </w:p>
        </w:tc>
        <w:tc>
          <w:tcPr>
            <w:tcW w:w="1338" w:type="pct"/>
            <w:shd w:val="clear" w:color="auto" w:fill="FFFFFF" w:themeFill="background1"/>
            <w:vAlign w:val="center"/>
          </w:tcPr>
          <w:p w14:paraId="6DB93F16">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配送及时性评价指标</w:t>
            </w:r>
          </w:p>
        </w:tc>
        <w:tc>
          <w:tcPr>
            <w:tcW w:w="2028" w:type="pct"/>
            <w:shd w:val="clear" w:color="auto" w:fill="FFFFFF" w:themeFill="background1"/>
            <w:vAlign w:val="center"/>
          </w:tcPr>
          <w:p w14:paraId="6236C5BB">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考核供应商能否准时送货。</w:t>
            </w:r>
          </w:p>
        </w:tc>
        <w:tc>
          <w:tcPr>
            <w:tcW w:w="784" w:type="pct"/>
            <w:shd w:val="clear" w:color="auto" w:fill="FFFFFF" w:themeFill="background1"/>
            <w:vAlign w:val="center"/>
          </w:tcPr>
          <w:p w14:paraId="0E2AD1AB">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707C4E7A">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41D33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307" w:hRule="atLeast"/>
          <w:jc w:val="center"/>
        </w:trPr>
        <w:tc>
          <w:tcPr>
            <w:tcW w:w="594" w:type="pct"/>
            <w:vMerge w:val="continue"/>
            <w:shd w:val="clear" w:color="auto" w:fill="FFFFFF" w:themeFill="background1"/>
            <w:vAlign w:val="center"/>
          </w:tcPr>
          <w:p w14:paraId="5EB426DE">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1338" w:type="pct"/>
            <w:shd w:val="clear" w:color="auto" w:fill="FFFFFF" w:themeFill="background1"/>
            <w:vAlign w:val="center"/>
          </w:tcPr>
          <w:p w14:paraId="00794697">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应急响应能力评价指标</w:t>
            </w:r>
          </w:p>
        </w:tc>
        <w:tc>
          <w:tcPr>
            <w:tcW w:w="2028" w:type="pct"/>
            <w:shd w:val="clear" w:color="auto" w:fill="FFFFFF" w:themeFill="background1"/>
            <w:vAlign w:val="center"/>
          </w:tcPr>
          <w:p w14:paraId="20ED8005">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考核供应商是否按照</w:t>
            </w:r>
            <w:r>
              <w:rPr>
                <w:rFonts w:hint="eastAsia" w:ascii="宋体" w:hAnsi="宋体" w:eastAsia="宋体" w:cs="宋体"/>
                <w:spacing w:val="-3"/>
                <w:kern w:val="0"/>
                <w:sz w:val="21"/>
                <w:szCs w:val="21"/>
                <w:highlight w:val="none"/>
              </w:rPr>
              <w:t>要求，以最</w:t>
            </w:r>
            <w:r>
              <w:rPr>
                <w:rFonts w:hint="eastAsia" w:ascii="宋体" w:hAnsi="宋体" w:eastAsia="宋体" w:cs="宋体"/>
                <w:spacing w:val="-2"/>
                <w:kern w:val="0"/>
                <w:sz w:val="21"/>
                <w:szCs w:val="21"/>
                <w:highlight w:val="none"/>
              </w:rPr>
              <w:t>快的速度，按照招标时的承诺进行应急处理。</w:t>
            </w:r>
          </w:p>
        </w:tc>
        <w:tc>
          <w:tcPr>
            <w:tcW w:w="784" w:type="pct"/>
            <w:shd w:val="clear" w:color="auto" w:fill="FFFFFF" w:themeFill="background1"/>
            <w:vAlign w:val="center"/>
          </w:tcPr>
          <w:p w14:paraId="5174EDCD">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spacing w:val="-1"/>
                <w:kern w:val="0"/>
                <w:sz w:val="21"/>
                <w:szCs w:val="21"/>
                <w:highlight w:val="none"/>
              </w:rPr>
            </w:pPr>
          </w:p>
        </w:tc>
        <w:tc>
          <w:tcPr>
            <w:tcW w:w="224" w:type="pct"/>
            <w:shd w:val="clear" w:color="auto" w:fill="FFFFFF" w:themeFill="background1"/>
            <w:vAlign w:val="center"/>
          </w:tcPr>
          <w:p w14:paraId="0D9E431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47588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continue"/>
            <w:shd w:val="clear" w:color="auto" w:fill="FFFFFF" w:themeFill="background1"/>
            <w:vAlign w:val="center"/>
          </w:tcPr>
          <w:p w14:paraId="2F0027F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1338" w:type="pct"/>
            <w:shd w:val="clear" w:color="auto" w:fill="FFFFFF" w:themeFill="background1"/>
            <w:vAlign w:val="center"/>
          </w:tcPr>
          <w:p w14:paraId="3FE83CD9">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索证制度评价指标</w:t>
            </w:r>
          </w:p>
        </w:tc>
        <w:tc>
          <w:tcPr>
            <w:tcW w:w="2028" w:type="pct"/>
            <w:shd w:val="clear" w:color="auto" w:fill="FFFFFF" w:themeFill="background1"/>
            <w:vAlign w:val="center"/>
          </w:tcPr>
          <w:p w14:paraId="0EB49D40">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考核供应商的食材追踪体系建立情况</w:t>
            </w:r>
          </w:p>
        </w:tc>
        <w:tc>
          <w:tcPr>
            <w:tcW w:w="784" w:type="pct"/>
            <w:shd w:val="clear" w:color="auto" w:fill="FFFFFF" w:themeFill="background1"/>
            <w:vAlign w:val="center"/>
          </w:tcPr>
          <w:p w14:paraId="138C7C89">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spacing w:val="-1"/>
                <w:kern w:val="0"/>
                <w:sz w:val="21"/>
                <w:szCs w:val="21"/>
                <w:highlight w:val="none"/>
              </w:rPr>
            </w:pPr>
          </w:p>
        </w:tc>
        <w:tc>
          <w:tcPr>
            <w:tcW w:w="224" w:type="pct"/>
            <w:shd w:val="clear" w:color="auto" w:fill="FFFFFF" w:themeFill="background1"/>
            <w:vAlign w:val="center"/>
          </w:tcPr>
          <w:p w14:paraId="34811A79">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30D1C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continue"/>
            <w:shd w:val="clear" w:color="auto" w:fill="FFFFFF" w:themeFill="background1"/>
            <w:vAlign w:val="center"/>
          </w:tcPr>
          <w:p w14:paraId="2DF1A923">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1338" w:type="pct"/>
            <w:shd w:val="clear" w:color="auto" w:fill="FFFFFF" w:themeFill="background1"/>
            <w:vAlign w:val="center"/>
          </w:tcPr>
          <w:p w14:paraId="7C21C437">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信息化评价指标</w:t>
            </w:r>
          </w:p>
        </w:tc>
        <w:tc>
          <w:tcPr>
            <w:tcW w:w="2028" w:type="pct"/>
            <w:shd w:val="clear" w:color="auto" w:fill="FFFFFF" w:themeFill="background1"/>
            <w:vAlign w:val="center"/>
          </w:tcPr>
          <w:p w14:paraId="345ED8BF">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考核供应商是否按要求运用信息化平台。</w:t>
            </w:r>
          </w:p>
        </w:tc>
        <w:tc>
          <w:tcPr>
            <w:tcW w:w="784" w:type="pct"/>
            <w:shd w:val="clear" w:color="auto" w:fill="FFFFFF" w:themeFill="background1"/>
            <w:vAlign w:val="center"/>
          </w:tcPr>
          <w:p w14:paraId="3947C562">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eastAsia" w:ascii="宋体" w:hAnsi="宋体" w:eastAsia="宋体" w:cs="宋体"/>
                <w:color w:val="auto"/>
                <w:spacing w:val="-1"/>
                <w:kern w:val="0"/>
                <w:sz w:val="21"/>
                <w:szCs w:val="21"/>
                <w:highlight w:val="none"/>
              </w:rPr>
            </w:pPr>
          </w:p>
        </w:tc>
        <w:tc>
          <w:tcPr>
            <w:tcW w:w="224" w:type="pct"/>
            <w:shd w:val="clear" w:color="auto" w:fill="FFFFFF" w:themeFill="background1"/>
            <w:vAlign w:val="center"/>
          </w:tcPr>
          <w:p w14:paraId="0ED373FD">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4A4E3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continue"/>
            <w:shd w:val="clear" w:color="auto" w:fill="FFFFFF" w:themeFill="background1"/>
            <w:vAlign w:val="center"/>
          </w:tcPr>
          <w:p w14:paraId="034ECD4A">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c>
          <w:tcPr>
            <w:tcW w:w="1338" w:type="pct"/>
            <w:shd w:val="clear" w:color="auto" w:fill="FFFFFF" w:themeFill="background1"/>
            <w:vAlign w:val="center"/>
          </w:tcPr>
          <w:p w14:paraId="2469BB2D">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单据管理评价指标</w:t>
            </w:r>
          </w:p>
        </w:tc>
        <w:tc>
          <w:tcPr>
            <w:tcW w:w="2028" w:type="pct"/>
            <w:shd w:val="clear" w:color="auto" w:fill="FFFFFF" w:themeFill="background1"/>
            <w:vAlign w:val="center"/>
          </w:tcPr>
          <w:p w14:paraId="6C6AA843">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考核供应商送货单据是否齐全、清晰。</w:t>
            </w:r>
          </w:p>
        </w:tc>
        <w:tc>
          <w:tcPr>
            <w:tcW w:w="784" w:type="pct"/>
            <w:shd w:val="clear" w:color="auto" w:fill="FFFFFF" w:themeFill="background1"/>
            <w:vAlign w:val="center"/>
          </w:tcPr>
          <w:p w14:paraId="2244301C">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left"/>
              <w:textAlignment w:val="auto"/>
              <w:rPr>
                <w:rFonts w:hint="eastAsia" w:ascii="宋体" w:hAnsi="宋体" w:eastAsia="宋体" w:cs="宋体"/>
                <w:color w:val="auto"/>
                <w:spacing w:val="-1"/>
                <w:kern w:val="0"/>
                <w:sz w:val="21"/>
                <w:szCs w:val="21"/>
                <w:highlight w:val="none"/>
              </w:rPr>
            </w:pPr>
          </w:p>
        </w:tc>
        <w:tc>
          <w:tcPr>
            <w:tcW w:w="224" w:type="pct"/>
            <w:shd w:val="clear" w:color="auto" w:fill="FFFFFF" w:themeFill="background1"/>
            <w:vAlign w:val="center"/>
          </w:tcPr>
          <w:p w14:paraId="035699F8">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2441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shd w:val="clear" w:color="auto" w:fill="FFFFFF" w:themeFill="background1"/>
            <w:vAlign w:val="center"/>
          </w:tcPr>
          <w:p w14:paraId="070FEB04">
            <w:pPr>
              <w:autoSpaceDE w:val="0"/>
              <w:autoSpaceDN w:val="0"/>
              <w:adjustRightInd w:val="0"/>
              <w:ind w:left="114" w:leftChars="0" w:right="106"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价格管理</w:t>
            </w:r>
          </w:p>
        </w:tc>
        <w:tc>
          <w:tcPr>
            <w:tcW w:w="1338" w:type="pct"/>
            <w:shd w:val="clear" w:color="auto" w:fill="FFFFFF" w:themeFill="background1"/>
            <w:vAlign w:val="center"/>
          </w:tcPr>
          <w:p w14:paraId="3F121AD0">
            <w:pPr>
              <w:autoSpaceDE w:val="0"/>
              <w:autoSpaceDN w:val="0"/>
              <w:adjustRightInd w:val="0"/>
              <w:ind w:left="180" w:leftChars="0" w:right="172"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价格合理性评价指标</w:t>
            </w:r>
          </w:p>
        </w:tc>
        <w:tc>
          <w:tcPr>
            <w:tcW w:w="2028" w:type="pct"/>
            <w:shd w:val="clear" w:color="auto" w:fill="FFFFFF" w:themeFill="background1"/>
            <w:vAlign w:val="center"/>
          </w:tcPr>
          <w:p w14:paraId="26154CFD">
            <w:pPr>
              <w:autoSpaceDE w:val="0"/>
              <w:autoSpaceDN w:val="0"/>
              <w:adjustRightInd w:val="0"/>
              <w:spacing w:before="3" w:line="242" w:lineRule="auto"/>
              <w:ind w:left="108" w:right="122"/>
              <w:jc w:val="left"/>
              <w:rPr>
                <w:rFonts w:hint="eastAsia" w:ascii="宋体" w:hAnsi="宋体" w:eastAsia="宋体" w:cs="宋体"/>
                <w:color w:val="auto"/>
                <w:kern w:val="0"/>
                <w:sz w:val="21"/>
                <w:szCs w:val="21"/>
                <w:highlight w:val="none"/>
              </w:rPr>
            </w:pPr>
            <w:r>
              <w:rPr>
                <w:rFonts w:hint="eastAsia" w:ascii="宋体" w:hAnsi="宋体" w:eastAsia="宋体" w:cs="宋体"/>
                <w:spacing w:val="-2"/>
                <w:kern w:val="0"/>
                <w:sz w:val="21"/>
                <w:szCs w:val="21"/>
                <w:highlight w:val="none"/>
              </w:rPr>
              <w:t>考核供应商是否建立了完善的报价机制；是否存在临时补货物品价格虚高的情况；是否存在对账单价格乱报、错报等的情况；是否存在月</w:t>
            </w:r>
            <w:r>
              <w:rPr>
                <w:rFonts w:hint="eastAsia" w:ascii="宋体" w:hAnsi="宋体" w:eastAsia="宋体" w:cs="宋体"/>
                <w:kern w:val="0"/>
                <w:sz w:val="21"/>
                <w:szCs w:val="21"/>
                <w:highlight w:val="none"/>
              </w:rPr>
              <w:t>度结算对账不及时情况等。</w:t>
            </w:r>
          </w:p>
        </w:tc>
        <w:tc>
          <w:tcPr>
            <w:tcW w:w="784" w:type="pct"/>
            <w:shd w:val="clear" w:color="auto" w:fill="FFFFFF" w:themeFill="background1"/>
            <w:vAlign w:val="center"/>
          </w:tcPr>
          <w:p w14:paraId="132174A3">
            <w:pPr>
              <w:autoSpaceDE w:val="0"/>
              <w:autoSpaceDN w:val="0"/>
              <w:adjustRightInd w:val="0"/>
              <w:spacing w:before="3" w:line="242" w:lineRule="auto"/>
              <w:ind w:left="107" w:right="-29"/>
              <w:jc w:val="left"/>
              <w:rPr>
                <w:rFonts w:hint="eastAsia" w:ascii="宋体" w:hAnsi="宋体" w:eastAsia="宋体" w:cs="宋体"/>
                <w:color w:val="auto"/>
                <w:spacing w:val="-7"/>
                <w:kern w:val="0"/>
                <w:sz w:val="21"/>
                <w:szCs w:val="21"/>
                <w:highlight w:val="none"/>
              </w:rPr>
            </w:pPr>
          </w:p>
        </w:tc>
        <w:tc>
          <w:tcPr>
            <w:tcW w:w="224" w:type="pct"/>
            <w:shd w:val="clear" w:color="auto" w:fill="FFFFFF" w:themeFill="background1"/>
            <w:vAlign w:val="center"/>
          </w:tcPr>
          <w:p w14:paraId="368BD585">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18AE4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restart"/>
            <w:shd w:val="clear" w:color="auto" w:fill="FFFFFF" w:themeFill="background1"/>
            <w:vAlign w:val="center"/>
          </w:tcPr>
          <w:p w14:paraId="6F8A4881">
            <w:pPr>
              <w:autoSpaceDE w:val="0"/>
              <w:autoSpaceDN w:val="0"/>
              <w:adjustRightInd w:val="0"/>
              <w:ind w:left="114" w:leftChars="0" w:right="103" w:righ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安全卫生</w:t>
            </w:r>
          </w:p>
        </w:tc>
        <w:tc>
          <w:tcPr>
            <w:tcW w:w="1338" w:type="pct"/>
            <w:shd w:val="clear" w:color="auto" w:fill="FFFFFF" w:themeFill="background1"/>
            <w:vAlign w:val="center"/>
          </w:tcPr>
          <w:p w14:paraId="5788DDFA">
            <w:pPr>
              <w:autoSpaceDE w:val="0"/>
              <w:autoSpaceDN w:val="0"/>
              <w:adjustRightInd w:val="0"/>
              <w:spacing w:before="194"/>
              <w:ind w:left="180" w:leftChars="0" w:right="172"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食材安全性评价指标</w:t>
            </w:r>
          </w:p>
        </w:tc>
        <w:tc>
          <w:tcPr>
            <w:tcW w:w="2028" w:type="pct"/>
            <w:shd w:val="clear" w:color="auto" w:fill="FFFFFF" w:themeFill="background1"/>
            <w:vAlign w:val="center"/>
          </w:tcPr>
          <w:p w14:paraId="06F83BDC">
            <w:pPr>
              <w:autoSpaceDE w:val="0"/>
              <w:autoSpaceDN w:val="0"/>
              <w:adjustRightInd w:val="0"/>
              <w:spacing w:before="1" w:line="242" w:lineRule="auto"/>
              <w:ind w:left="108" w:leftChars="0" w:right="122" w:rightChars="0"/>
              <w:jc w:val="left"/>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考核食材安全检测指标是否符合国家相关规定</w:t>
            </w:r>
          </w:p>
        </w:tc>
        <w:tc>
          <w:tcPr>
            <w:tcW w:w="784" w:type="pct"/>
            <w:shd w:val="clear" w:color="auto" w:fill="FFFFFF" w:themeFill="background1"/>
            <w:vAlign w:val="center"/>
          </w:tcPr>
          <w:p w14:paraId="444CF64C">
            <w:pPr>
              <w:autoSpaceDE w:val="0"/>
              <w:autoSpaceDN w:val="0"/>
              <w:adjustRightInd w:val="0"/>
              <w:spacing w:before="2" w:line="242" w:lineRule="auto"/>
              <w:ind w:left="107" w:right="64"/>
              <w:jc w:val="left"/>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69F92144">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7E1D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continue"/>
            <w:shd w:val="clear" w:color="auto" w:fill="FFFFFF" w:themeFill="background1"/>
            <w:vAlign w:val="center"/>
          </w:tcPr>
          <w:p w14:paraId="1D2432C2">
            <w:pPr>
              <w:jc w:val="center"/>
              <w:rPr>
                <w:rFonts w:hint="eastAsia" w:ascii="宋体" w:hAnsi="宋体" w:eastAsia="宋体" w:cs="宋体"/>
                <w:color w:val="auto"/>
                <w:kern w:val="0"/>
                <w:sz w:val="21"/>
                <w:szCs w:val="21"/>
                <w:highlight w:val="none"/>
              </w:rPr>
            </w:pPr>
          </w:p>
        </w:tc>
        <w:tc>
          <w:tcPr>
            <w:tcW w:w="1338" w:type="pct"/>
            <w:shd w:val="clear" w:color="auto" w:fill="FFFFFF" w:themeFill="background1"/>
            <w:vAlign w:val="center"/>
          </w:tcPr>
          <w:p w14:paraId="3BAAD5C1">
            <w:pPr>
              <w:autoSpaceDE w:val="0"/>
              <w:autoSpaceDN w:val="0"/>
              <w:adjustRightInd w:val="0"/>
              <w:ind w:left="180" w:leftChars="0" w:right="172"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配送人员评价指标</w:t>
            </w:r>
          </w:p>
        </w:tc>
        <w:tc>
          <w:tcPr>
            <w:tcW w:w="2028" w:type="pct"/>
            <w:shd w:val="clear" w:color="auto" w:fill="FFFFFF" w:themeFill="background1"/>
            <w:vAlign w:val="center"/>
          </w:tcPr>
          <w:p w14:paraId="5D3F55D1">
            <w:pPr>
              <w:autoSpaceDE w:val="0"/>
              <w:autoSpaceDN w:val="0"/>
              <w:adjustRightInd w:val="0"/>
              <w:spacing w:before="158" w:line="242" w:lineRule="auto"/>
              <w:ind w:left="108" w:leftChars="0" w:right="122" w:rightChars="0"/>
              <w:jc w:val="left"/>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考核配送人员的综合素质。</w:t>
            </w:r>
          </w:p>
        </w:tc>
        <w:tc>
          <w:tcPr>
            <w:tcW w:w="784" w:type="pct"/>
            <w:shd w:val="clear" w:color="auto" w:fill="FFFFFF" w:themeFill="background1"/>
            <w:vAlign w:val="center"/>
          </w:tcPr>
          <w:p w14:paraId="2F06AA6A">
            <w:pPr>
              <w:autoSpaceDE w:val="0"/>
              <w:autoSpaceDN w:val="0"/>
              <w:adjustRightInd w:val="0"/>
              <w:spacing w:before="2" w:line="240" w:lineRule="auto"/>
              <w:ind w:left="107" w:leftChars="0" w:right="-29"/>
              <w:jc w:val="left"/>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32DDCB59">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5B450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restart"/>
            <w:shd w:val="clear" w:color="auto" w:fill="FFFFFF" w:themeFill="background1"/>
            <w:vAlign w:val="center"/>
          </w:tcPr>
          <w:p w14:paraId="3D10A4C4">
            <w:pPr>
              <w:autoSpaceDE w:val="0"/>
              <w:autoSpaceDN w:val="0"/>
              <w:adjustRightInd w:val="0"/>
              <w:spacing w:before="1"/>
              <w:ind w:left="164" w:leftChars="0"/>
              <w:jc w:val="center"/>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服务质量</w:t>
            </w:r>
          </w:p>
        </w:tc>
        <w:tc>
          <w:tcPr>
            <w:tcW w:w="1338" w:type="pct"/>
            <w:shd w:val="clear" w:color="auto" w:fill="FFFFFF" w:themeFill="background1"/>
            <w:vAlign w:val="center"/>
          </w:tcPr>
          <w:p w14:paraId="227E23A5">
            <w:pPr>
              <w:autoSpaceDE w:val="0"/>
              <w:autoSpaceDN w:val="0"/>
              <w:adjustRightInd w:val="0"/>
              <w:ind w:left="180" w:leftChars="0" w:right="172"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服务态度评价指标</w:t>
            </w:r>
          </w:p>
        </w:tc>
        <w:tc>
          <w:tcPr>
            <w:tcW w:w="2028" w:type="pct"/>
            <w:shd w:val="clear" w:color="auto" w:fill="FFFFFF" w:themeFill="background1"/>
            <w:vAlign w:val="center"/>
          </w:tcPr>
          <w:p w14:paraId="6410A1D0">
            <w:pPr>
              <w:autoSpaceDE w:val="0"/>
              <w:autoSpaceDN w:val="0"/>
              <w:adjustRightInd w:val="0"/>
              <w:spacing w:before="160" w:line="242" w:lineRule="auto"/>
              <w:ind w:left="108" w:leftChars="0" w:right="122" w:rightChars="0"/>
              <w:jc w:val="left"/>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考核供应商服务态度是否良好。</w:t>
            </w:r>
          </w:p>
        </w:tc>
        <w:tc>
          <w:tcPr>
            <w:tcW w:w="784" w:type="pct"/>
            <w:shd w:val="clear" w:color="auto" w:fill="FFFFFF" w:themeFill="background1"/>
            <w:vAlign w:val="center"/>
          </w:tcPr>
          <w:p w14:paraId="64A5EB8E">
            <w:pPr>
              <w:autoSpaceDE w:val="0"/>
              <w:autoSpaceDN w:val="0"/>
              <w:adjustRightInd w:val="0"/>
              <w:spacing w:before="4" w:line="242" w:lineRule="auto"/>
              <w:ind w:left="107" w:leftChars="0" w:right="184"/>
              <w:jc w:val="left"/>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56502A38">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2A1DA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0" w:type="dxa"/>
            <w:bottom w:w="0" w:type="dxa"/>
            <w:right w:w="0" w:type="dxa"/>
          </w:tblCellMar>
        </w:tblPrEx>
        <w:trPr>
          <w:trHeight w:val="622" w:hRule="atLeast"/>
          <w:jc w:val="center"/>
        </w:trPr>
        <w:tc>
          <w:tcPr>
            <w:tcW w:w="594" w:type="pct"/>
            <w:vMerge w:val="continue"/>
            <w:shd w:val="clear" w:color="auto" w:fill="FFFFFF" w:themeFill="background1"/>
            <w:vAlign w:val="center"/>
          </w:tcPr>
          <w:p w14:paraId="16706A5F">
            <w:pPr>
              <w:jc w:val="center"/>
              <w:rPr>
                <w:rFonts w:hint="eastAsia" w:ascii="宋体" w:hAnsi="宋体" w:eastAsia="宋体" w:cs="宋体"/>
                <w:color w:val="auto"/>
                <w:kern w:val="0"/>
                <w:sz w:val="21"/>
                <w:szCs w:val="21"/>
                <w:highlight w:val="none"/>
              </w:rPr>
            </w:pPr>
          </w:p>
        </w:tc>
        <w:tc>
          <w:tcPr>
            <w:tcW w:w="1338" w:type="pct"/>
            <w:shd w:val="clear" w:color="auto" w:fill="FFFFFF" w:themeFill="background1"/>
            <w:vAlign w:val="center"/>
          </w:tcPr>
          <w:p w14:paraId="65E31102">
            <w:pPr>
              <w:autoSpaceDE w:val="0"/>
              <w:autoSpaceDN w:val="0"/>
              <w:adjustRightInd w:val="0"/>
              <w:spacing w:before="195"/>
              <w:ind w:left="180" w:leftChars="0" w:right="172" w:rightChars="0"/>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反馈整改评价指标</w:t>
            </w:r>
          </w:p>
        </w:tc>
        <w:tc>
          <w:tcPr>
            <w:tcW w:w="2028" w:type="pct"/>
            <w:shd w:val="clear" w:color="auto" w:fill="FFFFFF" w:themeFill="background1"/>
            <w:vAlign w:val="center"/>
          </w:tcPr>
          <w:p w14:paraId="14E0739E">
            <w:pPr>
              <w:autoSpaceDE w:val="0"/>
              <w:autoSpaceDN w:val="0"/>
              <w:adjustRightInd w:val="0"/>
              <w:spacing w:before="3"/>
              <w:ind w:left="108"/>
              <w:jc w:val="left"/>
              <w:rPr>
                <w:rFonts w:hint="eastAsia" w:ascii="宋体" w:hAnsi="宋体" w:eastAsia="宋体" w:cs="宋体"/>
                <w:color w:val="auto"/>
                <w:spacing w:val="-2"/>
                <w:kern w:val="0"/>
                <w:sz w:val="21"/>
                <w:szCs w:val="21"/>
                <w:highlight w:val="none"/>
              </w:rPr>
            </w:pPr>
            <w:r>
              <w:rPr>
                <w:rFonts w:hint="eastAsia" w:ascii="宋体" w:hAnsi="宋体" w:eastAsia="宋体" w:cs="宋体"/>
                <w:kern w:val="0"/>
                <w:sz w:val="21"/>
                <w:szCs w:val="21"/>
                <w:highlight w:val="none"/>
              </w:rPr>
              <w:t>考核供应商是否对校方、考评小组的反馈意见进行认真及时的整改。</w:t>
            </w:r>
          </w:p>
        </w:tc>
        <w:tc>
          <w:tcPr>
            <w:tcW w:w="784" w:type="pct"/>
            <w:shd w:val="clear" w:color="auto" w:fill="FFFFFF" w:themeFill="background1"/>
            <w:vAlign w:val="center"/>
          </w:tcPr>
          <w:p w14:paraId="41D91901">
            <w:pPr>
              <w:autoSpaceDE w:val="0"/>
              <w:autoSpaceDN w:val="0"/>
              <w:adjustRightInd w:val="0"/>
              <w:spacing w:before="159" w:line="242" w:lineRule="auto"/>
              <w:ind w:left="107" w:leftChars="0" w:right="-29"/>
              <w:jc w:val="left"/>
              <w:rPr>
                <w:rFonts w:hint="eastAsia" w:ascii="宋体" w:hAnsi="宋体" w:eastAsia="宋体" w:cs="宋体"/>
                <w:color w:val="auto"/>
                <w:kern w:val="0"/>
                <w:sz w:val="21"/>
                <w:szCs w:val="21"/>
                <w:highlight w:val="none"/>
              </w:rPr>
            </w:pPr>
          </w:p>
        </w:tc>
        <w:tc>
          <w:tcPr>
            <w:tcW w:w="224" w:type="pct"/>
            <w:shd w:val="clear" w:color="auto" w:fill="FFFFFF" w:themeFill="background1"/>
            <w:vAlign w:val="center"/>
          </w:tcPr>
          <w:p w14:paraId="2BB05836">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6F6CD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jc w:val="center"/>
        </w:trPr>
        <w:tc>
          <w:tcPr>
            <w:tcW w:w="4746" w:type="pct"/>
            <w:gridSpan w:val="4"/>
            <w:shd w:val="clear" w:color="auto" w:fill="FFFFFF" w:themeFill="background1"/>
            <w:vAlign w:val="center"/>
          </w:tcPr>
          <w:p w14:paraId="602A0A3E">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综合评价：</w:t>
            </w:r>
          </w:p>
        </w:tc>
        <w:tc>
          <w:tcPr>
            <w:tcW w:w="224" w:type="pct"/>
            <w:shd w:val="clear" w:color="auto" w:fill="FFFFFF" w:themeFill="background1"/>
            <w:vAlign w:val="center"/>
          </w:tcPr>
          <w:p w14:paraId="42322E63">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r w14:paraId="1EADF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4746" w:type="pct"/>
            <w:gridSpan w:val="4"/>
            <w:shd w:val="clear" w:color="auto" w:fill="FFFFFF" w:themeFill="background1"/>
            <w:vAlign w:val="center"/>
          </w:tcPr>
          <w:p w14:paraId="22D4AA2E">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jc w:val="left"/>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考核人员签字：</w:t>
            </w:r>
          </w:p>
          <w:p w14:paraId="083193BB">
            <w:pPr>
              <w:keepNext w:val="0"/>
              <w:keepLines w:val="0"/>
              <w:pageBreakBefore w:val="0"/>
              <w:widowControl w:val="0"/>
              <w:kinsoku/>
              <w:wordWrap w:val="0"/>
              <w:overflowPunct/>
              <w:topLinePunct w:val="0"/>
              <w:autoSpaceDE w:val="0"/>
              <w:autoSpaceDN w:val="0"/>
              <w:bidi w:val="0"/>
              <w:adjustRightInd w:val="0"/>
              <w:snapToGrid/>
              <w:spacing w:line="240" w:lineRule="auto"/>
              <w:ind w:left="0" w:leftChars="0" w:right="0"/>
              <w:jc w:val="right"/>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 xml:space="preserve">日期：   年  月   日 </w:t>
            </w:r>
          </w:p>
        </w:tc>
        <w:tc>
          <w:tcPr>
            <w:tcW w:w="224" w:type="pct"/>
            <w:shd w:val="clear" w:color="auto" w:fill="FFFFFF" w:themeFill="background1"/>
            <w:vAlign w:val="center"/>
          </w:tcPr>
          <w:p w14:paraId="42813501">
            <w:pPr>
              <w:keepNext w:val="0"/>
              <w:keepLines w:val="0"/>
              <w:pageBreakBefore w:val="0"/>
              <w:widowControl w:val="0"/>
              <w:kinsoku/>
              <w:wordWrap/>
              <w:overflowPunct/>
              <w:topLinePunct w:val="0"/>
              <w:autoSpaceDE w:val="0"/>
              <w:autoSpaceDN w:val="0"/>
              <w:bidi w:val="0"/>
              <w:adjustRightInd w:val="0"/>
              <w:snapToGrid/>
              <w:spacing w:line="240" w:lineRule="auto"/>
              <w:ind w:left="0" w:right="0"/>
              <w:jc w:val="center"/>
              <w:textAlignment w:val="auto"/>
              <w:rPr>
                <w:rFonts w:hint="eastAsia" w:ascii="宋体" w:hAnsi="宋体" w:eastAsia="宋体" w:cs="宋体"/>
                <w:color w:val="auto"/>
                <w:kern w:val="0"/>
                <w:sz w:val="21"/>
                <w:szCs w:val="21"/>
                <w:highlight w:val="none"/>
              </w:rPr>
            </w:pPr>
          </w:p>
        </w:tc>
      </w:tr>
    </w:tbl>
    <w:p w14:paraId="554C9FD0"/>
    <w:p w14:paraId="2A8EDE20">
      <w:pPr>
        <w:pStyle w:val="3"/>
        <w:spacing w:before="120" w:beforeLines="50" w:after="120" w:afterLines="50"/>
        <w:rPr>
          <w:szCs w:val="24"/>
        </w:rPr>
      </w:pPr>
      <w:r>
        <w:rPr>
          <w:rFonts w:hint="eastAsia"/>
          <w:szCs w:val="24"/>
          <w:lang w:val="en-US" w:eastAsia="zh-CN"/>
        </w:rPr>
        <w:t>七</w:t>
      </w:r>
      <w:r>
        <w:rPr>
          <w:rFonts w:hint="eastAsia"/>
          <w:szCs w:val="24"/>
        </w:rPr>
        <w:t>、其他重要条款</w:t>
      </w:r>
    </w:p>
    <w:p w14:paraId="11A9625A">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F7F2F77">
      <w:pPr>
        <w:pStyle w:val="7"/>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C2FAD62">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6BA1A4D2">
      <w:pPr>
        <w:ind w:firstLine="420" w:firstLineChars="200"/>
        <w:rPr>
          <w:bCs/>
          <w:szCs w:val="21"/>
        </w:rPr>
      </w:pPr>
      <w:r>
        <w:rPr>
          <w:rFonts w:hint="eastAsia"/>
          <w:bCs/>
          <w:szCs w:val="21"/>
        </w:rPr>
        <w:t>4</w:t>
      </w:r>
      <w:r>
        <w:rPr>
          <w:rFonts w:hint="eastAsia"/>
          <w:bCs/>
          <w:szCs w:val="21"/>
          <w:lang w:val="en-US" w:eastAsia="zh-CN"/>
        </w:rPr>
        <w:t>.</w:t>
      </w:r>
      <w:r>
        <w:rPr>
          <w:rFonts w:hint="eastAsia"/>
          <w:bCs/>
          <w:szCs w:val="21"/>
        </w:rPr>
        <w:t>除政府采购合同继续履行将损害国家利益和社会公共利益外，双方当事人不得擅自变更、中止或者终止合同。</w:t>
      </w:r>
    </w:p>
    <w:p w14:paraId="2AED5220">
      <w:pPr>
        <w:ind w:firstLine="420" w:firstLineChars="200"/>
        <w:rPr>
          <w:bCs/>
          <w:szCs w:val="21"/>
        </w:rPr>
      </w:pPr>
      <w:r>
        <w:rPr>
          <w:rFonts w:hint="eastAsia"/>
          <w:bCs/>
          <w:szCs w:val="21"/>
        </w:rPr>
        <w:t>5</w:t>
      </w:r>
      <w:r>
        <w:rPr>
          <w:rFonts w:hint="eastAsia"/>
          <w:bCs/>
          <w:szCs w:val="21"/>
          <w:lang w:val="en-US" w:eastAsia="zh-CN"/>
        </w:rPr>
        <w:t>.</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bCs/>
          <w:szCs w:val="21"/>
        </w:rPr>
        <w:t>为供应商信用信息的查询渠道，相关信息以开标当日的查询结果为准。</w:t>
      </w:r>
    </w:p>
    <w:p w14:paraId="713BB763">
      <w:r>
        <w:rPr>
          <w:rFonts w:hint="eastAsia"/>
        </w:rPr>
        <w:br w:type="page"/>
      </w:r>
    </w:p>
    <w:p w14:paraId="372B17E7">
      <w:pPr>
        <w:pStyle w:val="3"/>
        <w:rPr>
          <w:kern w:val="2"/>
        </w:rPr>
      </w:pPr>
      <w:r>
        <w:rPr>
          <w:rFonts w:hint="eastAsia"/>
          <w:kern w:val="2"/>
        </w:rPr>
        <w:t>第四章 投标文件组成要求及格式</w:t>
      </w:r>
    </w:p>
    <w:p w14:paraId="7CECC937">
      <w:pPr>
        <w:rPr>
          <w:rStyle w:val="65"/>
          <w:sz w:val="24"/>
        </w:rPr>
      </w:pPr>
      <w:r>
        <w:rPr>
          <w:rStyle w:val="65"/>
          <w:rFonts w:hint="eastAsia"/>
          <w:sz w:val="24"/>
        </w:rPr>
        <w:t>特别提醒：</w:t>
      </w:r>
    </w:p>
    <w:p w14:paraId="5F659AA5">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B8D7FD5">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725006E1">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03190" cy="4043045"/>
                    </a:xfrm>
                    <a:prstGeom prst="rect">
                      <a:avLst/>
                    </a:prstGeom>
                  </pic:spPr>
                </pic:pic>
              </a:graphicData>
            </a:graphic>
          </wp:inline>
        </w:drawing>
      </w:r>
    </w:p>
    <w:p w14:paraId="45949EFA">
      <w:pPr>
        <w:ind w:firstLine="480" w:firstLineChars="200"/>
        <w:rPr>
          <w:rFonts w:ascii="仿宋_GB2312" w:eastAsia="仿宋_GB2312"/>
          <w:b/>
          <w:bCs/>
          <w:color w:val="FF0000"/>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b/>
          <w:bCs/>
          <w:color w:val="FF0000"/>
          <w:sz w:val="24"/>
        </w:rPr>
        <w:t>如投标人将必须放于投标文件正文（信息公开部分）的内容放入投标文件附件（非信息公开部分），将作投标无效处理。</w:t>
      </w:r>
    </w:p>
    <w:p w14:paraId="580EB7EC">
      <w:pPr>
        <w:ind w:firstLine="480" w:firstLineChars="200"/>
        <w:rPr>
          <w:rFonts w:ascii="仿宋_GB2312" w:eastAsia="仿宋_GB2312"/>
          <w:sz w:val="24"/>
        </w:rPr>
      </w:pPr>
    </w:p>
    <w:p w14:paraId="227A86AE">
      <w:pPr>
        <w:ind w:firstLine="480" w:firstLineChars="200"/>
        <w:rPr>
          <w:rFonts w:ascii="仿宋_GB2312" w:eastAsia="仿宋_GB2312"/>
          <w:sz w:val="24"/>
        </w:rPr>
      </w:pPr>
    </w:p>
    <w:p w14:paraId="18CE5401">
      <w:pPr>
        <w:ind w:firstLine="482" w:firstLineChars="200"/>
        <w:rPr>
          <w:rFonts w:ascii="宋体" w:hAnsi="宋体"/>
          <w:b/>
          <w:sz w:val="24"/>
        </w:rPr>
      </w:pPr>
    </w:p>
    <w:p w14:paraId="2C5AAFDE">
      <w:pPr>
        <w:rPr>
          <w:rFonts w:ascii="宋体" w:hAnsi="宋体"/>
          <w:sz w:val="24"/>
        </w:rPr>
      </w:pPr>
      <w:r>
        <w:rPr>
          <w:rFonts w:hint="eastAsia" w:ascii="宋体" w:hAnsi="宋体"/>
          <w:sz w:val="24"/>
        </w:rPr>
        <w:br w:type="page"/>
      </w:r>
    </w:p>
    <w:p w14:paraId="6C125DB5">
      <w:pPr>
        <w:rPr>
          <w:rFonts w:ascii="宋体" w:hAnsi="宋体"/>
          <w:sz w:val="24"/>
        </w:rPr>
      </w:pPr>
      <w:r>
        <w:rPr>
          <w:rFonts w:hint="eastAsia" w:ascii="宋体" w:hAnsi="宋体"/>
          <w:sz w:val="24"/>
        </w:rPr>
        <w:t>投标文件组成：</w:t>
      </w:r>
    </w:p>
    <w:p w14:paraId="0115032E">
      <w:pPr>
        <w:ind w:firstLine="1200" w:firstLineChars="500"/>
        <w:outlineLvl w:val="0"/>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0FFB183D">
      <w:pPr>
        <w:ind w:left="718" w:leftChars="342" w:firstLine="1417" w:firstLineChars="675"/>
        <w:rPr>
          <w:szCs w:val="21"/>
        </w:rPr>
      </w:pPr>
      <w:r>
        <w:rPr>
          <w:rFonts w:hint="eastAsia"/>
          <w:szCs w:val="21"/>
        </w:rPr>
        <w:t>（1）</w:t>
      </w:r>
      <w:bookmarkStart w:id="35" w:name="_Hlk72070784"/>
      <w:r>
        <w:rPr>
          <w:rFonts w:hint="eastAsia"/>
          <w:szCs w:val="21"/>
        </w:rPr>
        <w:t>投标函</w:t>
      </w:r>
      <w:bookmarkEnd w:id="35"/>
    </w:p>
    <w:p w14:paraId="43DBF71A">
      <w:pPr>
        <w:ind w:left="718" w:leftChars="342" w:firstLine="1417" w:firstLineChars="675"/>
        <w:rPr>
          <w:szCs w:val="21"/>
        </w:rPr>
      </w:pPr>
      <w:r>
        <w:rPr>
          <w:rFonts w:hint="eastAsia"/>
          <w:szCs w:val="21"/>
        </w:rPr>
        <w:t>（2）</w:t>
      </w:r>
      <w:bookmarkStart w:id="36" w:name="_Hlk72062521"/>
      <w:r>
        <w:rPr>
          <w:rFonts w:hint="eastAsia"/>
          <w:szCs w:val="21"/>
        </w:rPr>
        <w:t>政府采购投标及履约承诺函</w:t>
      </w:r>
      <w:bookmarkEnd w:id="36"/>
    </w:p>
    <w:p w14:paraId="267C24E3">
      <w:pPr>
        <w:ind w:left="718" w:leftChars="342" w:firstLine="1417" w:firstLineChars="675"/>
        <w:rPr>
          <w:rFonts w:hint="eastAsia"/>
          <w:szCs w:val="21"/>
        </w:rPr>
      </w:pPr>
      <w:r>
        <w:rPr>
          <w:rFonts w:hint="eastAsia"/>
          <w:szCs w:val="21"/>
        </w:rPr>
        <w:t>（</w:t>
      </w:r>
      <w:r>
        <w:rPr>
          <w:szCs w:val="21"/>
        </w:rPr>
        <w:t>3</w:t>
      </w:r>
      <w:r>
        <w:rPr>
          <w:rFonts w:hint="eastAsia"/>
          <w:szCs w:val="21"/>
        </w:rPr>
        <w:t>）投标人情况及资格证明文件</w:t>
      </w:r>
    </w:p>
    <w:p w14:paraId="3AE13A43">
      <w:pPr>
        <w:ind w:left="718" w:leftChars="342" w:firstLine="1417" w:firstLineChars="675"/>
        <w:rPr>
          <w:szCs w:val="21"/>
        </w:rPr>
      </w:pPr>
      <w:r>
        <w:rPr>
          <w:rFonts w:hint="eastAsia"/>
          <w:szCs w:val="21"/>
        </w:rPr>
        <w:t>（</w:t>
      </w:r>
      <w:r>
        <w:rPr>
          <w:rFonts w:hint="eastAsia"/>
          <w:szCs w:val="21"/>
          <w:lang w:val="en-US" w:eastAsia="zh-CN"/>
        </w:rPr>
        <w:t>4</w:t>
      </w:r>
      <w:r>
        <w:rPr>
          <w:rFonts w:hint="eastAsia"/>
          <w:szCs w:val="21"/>
        </w:rPr>
        <w:t>）</w:t>
      </w:r>
      <w:r>
        <w:rPr>
          <w:rFonts w:hint="eastAsia" w:ascii="Times New Roman" w:hAnsi="Times New Roman" w:eastAsia="宋体" w:cs="Times New Roman"/>
          <w:b w:val="0"/>
          <w:bCs w:val="0"/>
          <w:kern w:val="2"/>
          <w:sz w:val="21"/>
          <w:szCs w:val="21"/>
          <w:lang w:val="en-US" w:eastAsia="zh-CN" w:bidi="ar-SA"/>
        </w:rPr>
        <w:t>投标人通过相关认证情况</w:t>
      </w:r>
      <w:r>
        <w:rPr>
          <w:rFonts w:hint="eastAsia"/>
          <w:szCs w:val="21"/>
        </w:rPr>
        <w:t>（格式自定）</w:t>
      </w:r>
    </w:p>
    <w:p w14:paraId="07FD1E63">
      <w:pPr>
        <w:ind w:left="718" w:leftChars="342" w:firstLine="1417" w:firstLineChars="675"/>
        <w:rPr>
          <w:rFonts w:ascii="Times New Roman" w:hAnsi="Times New Roman" w:eastAsia="宋体" w:cs="Times New Roman"/>
          <w:b w:val="0"/>
          <w:bCs w:val="0"/>
          <w:kern w:val="2"/>
          <w:sz w:val="21"/>
          <w:szCs w:val="21"/>
          <w:lang w:val="en-US" w:eastAsia="zh-CN" w:bidi="ar-SA"/>
        </w:rPr>
      </w:pPr>
      <w:r>
        <w:rPr>
          <w:rFonts w:hint="eastAsia"/>
          <w:szCs w:val="21"/>
        </w:rPr>
        <w:t>（</w:t>
      </w:r>
      <w:r>
        <w:rPr>
          <w:rFonts w:hint="eastAsia"/>
          <w:szCs w:val="21"/>
          <w:lang w:val="en-US" w:eastAsia="zh-CN"/>
        </w:rPr>
        <w:t>5</w:t>
      </w:r>
      <w:r>
        <w:rPr>
          <w:rFonts w:hint="eastAsia"/>
          <w:szCs w:val="21"/>
        </w:rPr>
        <w:t>）</w:t>
      </w:r>
      <w:r>
        <w:rPr>
          <w:rFonts w:hint="eastAsia" w:ascii="Times New Roman" w:hAnsi="Times New Roman" w:eastAsia="宋体" w:cs="Times New Roman"/>
          <w:b w:val="0"/>
          <w:bCs w:val="0"/>
          <w:kern w:val="2"/>
          <w:sz w:val="21"/>
          <w:szCs w:val="21"/>
          <w:lang w:val="en-US" w:eastAsia="zh-CN" w:bidi="ar-SA"/>
        </w:rPr>
        <w:t>信息化能力</w:t>
      </w:r>
      <w:r>
        <w:rPr>
          <w:rFonts w:hint="eastAsia"/>
          <w:szCs w:val="21"/>
        </w:rPr>
        <w:t>（格式自定）</w:t>
      </w:r>
    </w:p>
    <w:p w14:paraId="00F261FA">
      <w:pPr>
        <w:ind w:firstLine="1200" w:firstLineChars="500"/>
        <w:outlineLvl w:val="0"/>
        <w:rPr>
          <w:rFonts w:hint="eastAsia" w:ascii="宋体" w:hAnsi="宋体"/>
          <w:sz w:val="24"/>
        </w:rPr>
      </w:pPr>
    </w:p>
    <w:p w14:paraId="22B8A358">
      <w:pPr>
        <w:ind w:firstLine="1200" w:firstLineChars="500"/>
        <w:outlineLvl w:val="0"/>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4661C277">
      <w:pPr>
        <w:ind w:firstLine="2100" w:firstLineChars="1000"/>
        <w:rPr>
          <w:szCs w:val="21"/>
        </w:rPr>
      </w:pPr>
      <w:bookmarkStart w:id="37" w:name="OLE_LINK1"/>
      <w:r>
        <w:rPr>
          <w:rFonts w:hint="eastAsia"/>
          <w:szCs w:val="21"/>
        </w:rPr>
        <w:t>（1）供应商基本情况表</w:t>
      </w:r>
    </w:p>
    <w:p w14:paraId="47485669">
      <w:pPr>
        <w:ind w:firstLine="2100" w:firstLineChars="1000"/>
        <w:rPr>
          <w:szCs w:val="21"/>
        </w:rPr>
      </w:pPr>
      <w:r>
        <w:rPr>
          <w:rFonts w:hint="eastAsia"/>
          <w:szCs w:val="21"/>
        </w:rPr>
        <w:t>（2）法定代表人（负责人）证明书</w:t>
      </w:r>
    </w:p>
    <w:p w14:paraId="4565B7F2">
      <w:pPr>
        <w:ind w:left="718" w:leftChars="342" w:firstLine="1417" w:firstLineChars="675"/>
        <w:rPr>
          <w:szCs w:val="21"/>
        </w:rPr>
      </w:pPr>
      <w:r>
        <w:rPr>
          <w:rFonts w:hint="eastAsia"/>
          <w:szCs w:val="21"/>
        </w:rPr>
        <w:t>（3）投标文件签署授权委托书</w:t>
      </w:r>
    </w:p>
    <w:p w14:paraId="18EE57DB">
      <w:pPr>
        <w:ind w:left="718" w:leftChars="342" w:firstLine="1417" w:firstLineChars="675"/>
        <w:rPr>
          <w:szCs w:val="21"/>
        </w:rPr>
      </w:pPr>
      <w:r>
        <w:rPr>
          <w:rFonts w:hint="eastAsia"/>
          <w:szCs w:val="21"/>
        </w:rPr>
        <w:t>（4）项目详细报价</w:t>
      </w:r>
    </w:p>
    <w:p w14:paraId="0349C83E">
      <w:pPr>
        <w:ind w:left="718" w:leftChars="342" w:firstLine="1417" w:firstLineChars="675"/>
        <w:rPr>
          <w:szCs w:val="21"/>
        </w:rPr>
      </w:pPr>
      <w:r>
        <w:rPr>
          <w:rFonts w:hint="eastAsia"/>
          <w:szCs w:val="21"/>
        </w:rPr>
        <w:t>（5）</w:t>
      </w:r>
      <w:r>
        <w:rPr>
          <w:szCs w:val="21"/>
        </w:rPr>
        <w:t>实质性条款响应情况表</w:t>
      </w:r>
    </w:p>
    <w:bookmarkEnd w:id="37"/>
    <w:p w14:paraId="27F09DAA">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）技术要求偏离表</w:t>
      </w:r>
    </w:p>
    <w:p w14:paraId="54161DC2">
      <w:pPr>
        <w:ind w:left="718" w:leftChars="342" w:firstLine="1417" w:firstLineChars="675"/>
        <w:rPr>
          <w:szCs w:val="21"/>
        </w:rPr>
      </w:pPr>
      <w:r>
        <w:rPr>
          <w:rFonts w:hint="eastAsia"/>
          <w:szCs w:val="21"/>
        </w:rPr>
        <w:t>（</w:t>
      </w:r>
      <w:r>
        <w:rPr>
          <w:rFonts w:hint="eastAsia"/>
          <w:szCs w:val="21"/>
          <w:lang w:val="en-US" w:eastAsia="zh-CN"/>
        </w:rPr>
        <w:t>7</w:t>
      </w:r>
      <w:r>
        <w:rPr>
          <w:rFonts w:hint="eastAsia"/>
          <w:szCs w:val="21"/>
        </w:rPr>
        <w:t>）商务要求偏离表</w:t>
      </w:r>
    </w:p>
    <w:p w14:paraId="347ED70F">
      <w:pPr>
        <w:ind w:left="718" w:leftChars="342" w:firstLine="1417" w:firstLineChars="675"/>
        <w:rPr>
          <w:rFonts w:hint="eastAsia" w:ascii="宋体" w:hAnsi="宋体"/>
        </w:rPr>
      </w:pPr>
      <w:r>
        <w:rPr>
          <w:rFonts w:hint="eastAsia"/>
          <w:szCs w:val="21"/>
        </w:rPr>
        <w:t>（</w:t>
      </w:r>
      <w:r>
        <w:rPr>
          <w:rFonts w:hint="eastAsia"/>
          <w:szCs w:val="21"/>
          <w:lang w:val="en-US" w:eastAsia="zh-CN"/>
        </w:rPr>
        <w:t>8</w:t>
      </w:r>
      <w:r>
        <w:rPr>
          <w:rFonts w:hint="eastAsia"/>
          <w:szCs w:val="21"/>
        </w:rPr>
        <w:t>）</w:t>
      </w:r>
      <w:r>
        <w:rPr>
          <w:rFonts w:hint="eastAsia" w:ascii="宋体" w:hAnsi="宋体" w:eastAsia="宋体" w:cs="宋体"/>
          <w:kern w:val="2"/>
          <w:sz w:val="21"/>
          <w:szCs w:val="21"/>
          <w:lang w:eastAsia="zh-CN"/>
        </w:rPr>
        <w:t>项目管理方案</w:t>
      </w:r>
      <w:r>
        <w:rPr>
          <w:rFonts w:hint="eastAsia"/>
          <w:szCs w:val="21"/>
        </w:rPr>
        <w:t>（格式自定）</w:t>
      </w:r>
    </w:p>
    <w:p w14:paraId="6D514632">
      <w:pPr>
        <w:ind w:left="718" w:leftChars="342" w:firstLine="1417" w:firstLineChars="675"/>
        <w:rPr>
          <w:rFonts w:hint="eastAsia" w:ascii="宋体" w:hAnsi="宋体"/>
        </w:rPr>
      </w:pPr>
      <w:r>
        <w:rPr>
          <w:rFonts w:hint="eastAsia"/>
          <w:szCs w:val="21"/>
        </w:rPr>
        <w:t>（</w:t>
      </w:r>
      <w:r>
        <w:rPr>
          <w:rFonts w:hint="eastAsia"/>
          <w:szCs w:val="21"/>
          <w:lang w:val="en-US" w:eastAsia="zh-CN"/>
        </w:rPr>
        <w:t>9</w:t>
      </w:r>
      <w:r>
        <w:rPr>
          <w:rFonts w:hint="eastAsia"/>
          <w:szCs w:val="21"/>
        </w:rPr>
        <w:t>）</w:t>
      </w:r>
      <w:r>
        <w:rPr>
          <w:rFonts w:hint="eastAsia" w:ascii="宋体" w:hAnsi="宋体" w:eastAsia="宋体" w:cs="宋体"/>
          <w:kern w:val="2"/>
          <w:sz w:val="21"/>
          <w:szCs w:val="21"/>
          <w:lang w:eastAsia="zh-CN"/>
        </w:rPr>
        <w:t>项目配送方案</w:t>
      </w:r>
      <w:r>
        <w:rPr>
          <w:rFonts w:hint="eastAsia"/>
          <w:szCs w:val="21"/>
        </w:rPr>
        <w:t>（格式自定）</w:t>
      </w:r>
    </w:p>
    <w:p w14:paraId="28A29541">
      <w:pPr>
        <w:ind w:left="718" w:leftChars="342" w:firstLine="1417" w:firstLineChars="675"/>
        <w:rPr>
          <w:rFonts w:hint="eastAsia" w:ascii="宋体" w:hAnsi="宋体"/>
        </w:rPr>
      </w:pPr>
      <w:r>
        <w:rPr>
          <w:rFonts w:hint="eastAsia"/>
          <w:szCs w:val="21"/>
        </w:rPr>
        <w:t>（</w:t>
      </w:r>
      <w:r>
        <w:rPr>
          <w:rFonts w:hint="eastAsia"/>
          <w:szCs w:val="21"/>
          <w:lang w:val="en-US" w:eastAsia="zh-CN"/>
        </w:rPr>
        <w:t>10</w:t>
      </w:r>
      <w:r>
        <w:rPr>
          <w:rFonts w:hint="eastAsia"/>
          <w:szCs w:val="21"/>
        </w:rPr>
        <w:t>）</w:t>
      </w:r>
      <w:r>
        <w:rPr>
          <w:rFonts w:hint="eastAsia" w:ascii="宋体" w:hAnsi="宋体" w:eastAsia="宋体" w:cs="宋体"/>
          <w:kern w:val="2"/>
          <w:sz w:val="21"/>
          <w:szCs w:val="21"/>
          <w:lang w:eastAsia="zh-CN"/>
        </w:rPr>
        <w:t>规章管理制度</w:t>
      </w:r>
      <w:r>
        <w:rPr>
          <w:rFonts w:hint="eastAsia"/>
          <w:szCs w:val="21"/>
        </w:rPr>
        <w:t>（格式自定）</w:t>
      </w:r>
    </w:p>
    <w:p w14:paraId="50372E53">
      <w:pPr>
        <w:ind w:left="718" w:leftChars="342" w:firstLine="1417" w:firstLineChars="675"/>
        <w:rPr>
          <w:rFonts w:hint="eastAsia" w:ascii="宋体" w:hAnsi="宋体"/>
        </w:rPr>
      </w:pPr>
      <w:r>
        <w:rPr>
          <w:rFonts w:hint="eastAsia"/>
          <w:szCs w:val="21"/>
        </w:rPr>
        <w:t>（</w:t>
      </w:r>
      <w:r>
        <w:rPr>
          <w:rFonts w:hint="eastAsia"/>
          <w:szCs w:val="21"/>
          <w:lang w:val="en-US" w:eastAsia="zh-CN"/>
        </w:rPr>
        <w:t>11</w:t>
      </w:r>
      <w:r>
        <w:rPr>
          <w:rFonts w:hint="eastAsia"/>
          <w:szCs w:val="21"/>
        </w:rPr>
        <w:t>）</w:t>
      </w:r>
      <w:r>
        <w:rPr>
          <w:rFonts w:hint="eastAsia" w:ascii="宋体" w:hAnsi="宋体" w:eastAsia="宋体" w:cs="宋体"/>
          <w:sz w:val="21"/>
          <w:szCs w:val="21"/>
          <w:lang w:eastAsia="zh-CN"/>
        </w:rPr>
        <w:t>应急方案</w:t>
      </w:r>
      <w:r>
        <w:rPr>
          <w:rFonts w:hint="eastAsia"/>
          <w:szCs w:val="21"/>
        </w:rPr>
        <w:t>（格式自定）</w:t>
      </w:r>
    </w:p>
    <w:p w14:paraId="2B39BE92">
      <w:pPr>
        <w:ind w:left="718" w:leftChars="342" w:firstLine="1417" w:firstLineChars="675"/>
        <w:rPr>
          <w:rFonts w:hint="eastAsia" w:ascii="宋体" w:hAnsi="宋体"/>
        </w:rPr>
      </w:pPr>
      <w:r>
        <w:rPr>
          <w:rFonts w:hint="eastAsia"/>
          <w:szCs w:val="21"/>
        </w:rPr>
        <w:t>（</w:t>
      </w:r>
      <w:r>
        <w:rPr>
          <w:rFonts w:hint="eastAsia"/>
          <w:szCs w:val="21"/>
          <w:lang w:val="en-US" w:eastAsia="zh-CN"/>
        </w:rPr>
        <w:t>12</w:t>
      </w:r>
      <w:r>
        <w:rPr>
          <w:rFonts w:hint="eastAsia"/>
          <w:szCs w:val="21"/>
        </w:rPr>
        <w:t>）</w:t>
      </w:r>
      <w:r>
        <w:rPr>
          <w:rFonts w:hint="eastAsia" w:ascii="宋体" w:hAnsi="宋体" w:eastAsia="宋体" w:cs="宋体"/>
          <w:kern w:val="2"/>
          <w:sz w:val="21"/>
          <w:lang w:eastAsia="zh-CN"/>
        </w:rPr>
        <w:t>应急及</w:t>
      </w:r>
      <w:r>
        <w:rPr>
          <w:rFonts w:hint="eastAsia" w:ascii="宋体" w:hAnsi="宋体" w:eastAsia="宋体" w:cs="宋体"/>
          <w:kern w:val="2"/>
          <w:sz w:val="21"/>
          <w:szCs w:val="21"/>
          <w:lang w:eastAsia="zh-CN"/>
        </w:rPr>
        <w:t>食品</w:t>
      </w:r>
      <w:r>
        <w:rPr>
          <w:rFonts w:hint="eastAsia" w:ascii="宋体" w:hAnsi="宋体" w:eastAsia="宋体" w:cs="宋体"/>
          <w:kern w:val="2"/>
          <w:sz w:val="21"/>
          <w:lang w:eastAsia="zh-CN"/>
        </w:rPr>
        <w:t>安全响应</w:t>
      </w:r>
      <w:r>
        <w:rPr>
          <w:rFonts w:hint="eastAsia"/>
          <w:szCs w:val="21"/>
        </w:rPr>
        <w:t>（格式自定）</w:t>
      </w:r>
    </w:p>
    <w:p w14:paraId="3D4ECD6A">
      <w:pPr>
        <w:ind w:left="718" w:leftChars="342" w:firstLine="1417" w:firstLineChars="675"/>
        <w:rPr>
          <w:rFonts w:hint="eastAsia" w:ascii="宋体" w:hAnsi="宋体"/>
        </w:rPr>
      </w:pPr>
      <w:r>
        <w:rPr>
          <w:rFonts w:hint="eastAsia"/>
          <w:szCs w:val="21"/>
        </w:rPr>
        <w:t>（</w:t>
      </w:r>
      <w:r>
        <w:rPr>
          <w:rFonts w:hint="eastAsia"/>
          <w:szCs w:val="21"/>
          <w:lang w:val="en-US" w:eastAsia="zh-CN"/>
        </w:rPr>
        <w:t>13</w:t>
      </w:r>
      <w:r>
        <w:rPr>
          <w:rFonts w:hint="eastAsia"/>
          <w:szCs w:val="21"/>
        </w:rPr>
        <w:t>）</w:t>
      </w:r>
      <w:r>
        <w:rPr>
          <w:rFonts w:hint="eastAsia" w:ascii="宋体" w:hAnsi="宋体" w:eastAsia="宋体" w:cs="宋体"/>
          <w:kern w:val="2"/>
          <w:sz w:val="21"/>
          <w:szCs w:val="21"/>
          <w:lang w:eastAsia="zh-CN"/>
        </w:rPr>
        <w:t>冷库</w:t>
      </w:r>
      <w:r>
        <w:rPr>
          <w:rFonts w:hint="eastAsia" w:ascii="宋体" w:hAnsi="宋体" w:cs="宋体"/>
          <w:kern w:val="2"/>
          <w:sz w:val="21"/>
          <w:szCs w:val="21"/>
          <w:lang w:val="en-US" w:eastAsia="zh-CN"/>
        </w:rPr>
        <w:t>容</w:t>
      </w:r>
      <w:r>
        <w:rPr>
          <w:rFonts w:hint="eastAsia" w:ascii="宋体" w:hAnsi="宋体" w:eastAsia="宋体" w:cs="宋体"/>
          <w:kern w:val="2"/>
          <w:sz w:val="21"/>
          <w:szCs w:val="21"/>
          <w:lang w:eastAsia="zh-CN"/>
        </w:rPr>
        <w:t>积</w:t>
      </w:r>
      <w:r>
        <w:rPr>
          <w:rFonts w:hint="eastAsia"/>
          <w:szCs w:val="21"/>
        </w:rPr>
        <w:t>（格式自定）</w:t>
      </w:r>
    </w:p>
    <w:p w14:paraId="04422EF3">
      <w:pPr>
        <w:ind w:left="718" w:leftChars="342" w:firstLine="1417" w:firstLineChars="675"/>
        <w:rPr>
          <w:rFonts w:hint="eastAsia" w:ascii="宋体" w:hAnsi="宋体"/>
        </w:rPr>
      </w:pPr>
      <w:r>
        <w:rPr>
          <w:rFonts w:hint="eastAsia"/>
          <w:szCs w:val="21"/>
        </w:rPr>
        <w:t>（</w:t>
      </w:r>
      <w:r>
        <w:rPr>
          <w:rFonts w:hint="eastAsia"/>
          <w:szCs w:val="21"/>
          <w:lang w:val="en-US" w:eastAsia="zh-CN"/>
        </w:rPr>
        <w:t>14</w:t>
      </w:r>
      <w:r>
        <w:rPr>
          <w:rFonts w:hint="eastAsia"/>
          <w:szCs w:val="21"/>
        </w:rPr>
        <w:t>）</w:t>
      </w:r>
      <w:r>
        <w:rPr>
          <w:rFonts w:hint="eastAsia" w:ascii="宋体" w:hAnsi="宋体" w:eastAsia="宋体" w:cs="宋体"/>
          <w:kern w:val="2"/>
          <w:sz w:val="21"/>
          <w:szCs w:val="21"/>
          <w:lang w:eastAsia="zh-CN"/>
        </w:rPr>
        <w:t>配送场所面积</w:t>
      </w:r>
      <w:r>
        <w:rPr>
          <w:rFonts w:hint="eastAsia"/>
          <w:szCs w:val="21"/>
        </w:rPr>
        <w:t>（格式自定）</w:t>
      </w:r>
    </w:p>
    <w:p w14:paraId="71B9B9D5">
      <w:pPr>
        <w:ind w:left="718" w:leftChars="342" w:firstLine="1417" w:firstLineChars="675"/>
        <w:rPr>
          <w:rFonts w:hint="eastAsia" w:ascii="宋体" w:hAnsi="宋体"/>
        </w:rPr>
      </w:pPr>
      <w:r>
        <w:rPr>
          <w:rFonts w:hint="eastAsia"/>
          <w:szCs w:val="21"/>
        </w:rPr>
        <w:t>（</w:t>
      </w:r>
      <w:r>
        <w:rPr>
          <w:rFonts w:hint="eastAsia"/>
          <w:szCs w:val="21"/>
          <w:lang w:val="en-US" w:eastAsia="zh-CN"/>
        </w:rPr>
        <w:t>15</w:t>
      </w:r>
      <w:r>
        <w:rPr>
          <w:rFonts w:hint="eastAsia"/>
          <w:szCs w:val="21"/>
        </w:rPr>
        <w:t>）</w:t>
      </w:r>
      <w:r>
        <w:rPr>
          <w:rFonts w:hint="eastAsia" w:ascii="宋体" w:hAnsi="宋体" w:eastAsia="宋体" w:cs="宋体"/>
          <w:kern w:val="2"/>
          <w:sz w:val="21"/>
          <w:szCs w:val="21"/>
          <w:lang w:eastAsia="zh-CN"/>
        </w:rPr>
        <w:t>食品安全检测报告</w:t>
      </w:r>
      <w:r>
        <w:rPr>
          <w:rFonts w:hint="eastAsia"/>
          <w:szCs w:val="21"/>
        </w:rPr>
        <w:t>（格式自定）</w:t>
      </w:r>
    </w:p>
    <w:p w14:paraId="305DA907">
      <w:pPr>
        <w:ind w:left="718" w:leftChars="342" w:firstLine="1417" w:firstLineChars="675"/>
        <w:rPr>
          <w:rFonts w:hint="eastAsia" w:ascii="宋体" w:hAnsi="宋体"/>
        </w:rPr>
      </w:pPr>
      <w:r>
        <w:rPr>
          <w:rFonts w:hint="eastAsia"/>
          <w:szCs w:val="21"/>
        </w:rPr>
        <w:t>（</w:t>
      </w:r>
      <w:r>
        <w:rPr>
          <w:rFonts w:hint="eastAsia"/>
          <w:szCs w:val="21"/>
          <w:lang w:val="en-US" w:eastAsia="zh-CN"/>
        </w:rPr>
        <w:t>16</w:t>
      </w:r>
      <w:r>
        <w:rPr>
          <w:rFonts w:hint="eastAsia"/>
          <w:szCs w:val="21"/>
        </w:rPr>
        <w:t>）</w:t>
      </w:r>
      <w:r>
        <w:rPr>
          <w:rFonts w:hint="eastAsia" w:ascii="宋体" w:hAnsi="宋体" w:eastAsia="宋体" w:cs="宋体"/>
          <w:kern w:val="2"/>
          <w:sz w:val="21"/>
          <w:szCs w:val="21"/>
          <w:lang w:eastAsia="zh-CN"/>
        </w:rPr>
        <w:t>拟投入本项目车辆</w:t>
      </w:r>
      <w:r>
        <w:rPr>
          <w:rFonts w:hint="eastAsia" w:ascii="宋体" w:hAnsi="宋体" w:cs="宋体"/>
          <w:kern w:val="2"/>
          <w:sz w:val="21"/>
          <w:szCs w:val="21"/>
          <w:lang w:val="en-US" w:eastAsia="zh-CN"/>
        </w:rPr>
        <w:t>情况</w:t>
      </w:r>
      <w:r>
        <w:rPr>
          <w:rFonts w:hint="eastAsia"/>
          <w:szCs w:val="21"/>
        </w:rPr>
        <w:t>（格式自定）</w:t>
      </w:r>
    </w:p>
    <w:p w14:paraId="354C2E39">
      <w:pPr>
        <w:ind w:left="718" w:leftChars="342" w:firstLine="1417" w:firstLineChars="675"/>
        <w:rPr>
          <w:rFonts w:hint="eastAsia" w:ascii="宋体" w:hAnsi="宋体" w:eastAsia="宋体" w:cs="宋体"/>
          <w:kern w:val="2"/>
          <w:sz w:val="21"/>
          <w:szCs w:val="21"/>
          <w:lang w:eastAsia="zh-CN"/>
        </w:rPr>
      </w:pPr>
      <w:r>
        <w:rPr>
          <w:rFonts w:hint="eastAsia"/>
          <w:szCs w:val="21"/>
        </w:rPr>
        <w:t>（</w:t>
      </w:r>
      <w:r>
        <w:rPr>
          <w:rFonts w:hint="eastAsia"/>
          <w:szCs w:val="21"/>
          <w:lang w:val="en-US" w:eastAsia="zh-CN"/>
        </w:rPr>
        <w:t>17</w:t>
      </w:r>
      <w:r>
        <w:rPr>
          <w:rFonts w:hint="eastAsia"/>
          <w:szCs w:val="21"/>
        </w:rPr>
        <w:t>）</w:t>
      </w:r>
      <w:r>
        <w:rPr>
          <w:rFonts w:hint="eastAsia" w:ascii="宋体" w:hAnsi="宋体" w:eastAsia="宋体" w:cs="宋体"/>
          <w:kern w:val="2"/>
          <w:sz w:val="21"/>
          <w:szCs w:val="21"/>
          <w:lang w:eastAsia="zh-CN"/>
        </w:rPr>
        <w:t>实验室建设与检测能力</w:t>
      </w:r>
      <w:r>
        <w:rPr>
          <w:rFonts w:hint="eastAsia"/>
          <w:szCs w:val="21"/>
        </w:rPr>
        <w:t>（格式自定）</w:t>
      </w:r>
    </w:p>
    <w:p w14:paraId="5D7F96C5">
      <w:pPr>
        <w:ind w:left="718" w:leftChars="342" w:firstLine="1417" w:firstLineChars="675"/>
        <w:rPr>
          <w:rFonts w:hint="eastAsia" w:ascii="宋体" w:hAnsi="宋体" w:eastAsia="宋体" w:cs="宋体"/>
          <w:color w:val="000000"/>
          <w:sz w:val="21"/>
          <w:szCs w:val="21"/>
          <w:lang w:eastAsia="zh-CN"/>
        </w:rPr>
      </w:pPr>
      <w:r>
        <w:rPr>
          <w:rFonts w:hint="eastAsia"/>
          <w:szCs w:val="21"/>
        </w:rPr>
        <w:t>（</w:t>
      </w:r>
      <w:r>
        <w:rPr>
          <w:rFonts w:hint="eastAsia"/>
          <w:szCs w:val="21"/>
          <w:lang w:val="en-US" w:eastAsia="zh-CN"/>
        </w:rPr>
        <w:t>18</w:t>
      </w:r>
      <w:r>
        <w:rPr>
          <w:rFonts w:hint="eastAsia"/>
          <w:szCs w:val="21"/>
        </w:rPr>
        <w:t>）</w:t>
      </w:r>
      <w:r>
        <w:rPr>
          <w:rFonts w:hint="eastAsia" w:ascii="宋体" w:hAnsi="宋体" w:eastAsia="宋体" w:cs="宋体"/>
          <w:color w:val="000000"/>
          <w:sz w:val="21"/>
          <w:szCs w:val="21"/>
          <w:lang w:eastAsia="zh-CN"/>
        </w:rPr>
        <w:t>拟派本项目团队人员（含项目负责人）</w:t>
      </w:r>
      <w:r>
        <w:rPr>
          <w:rFonts w:hint="eastAsia"/>
          <w:szCs w:val="21"/>
        </w:rPr>
        <w:t>（格式自定）</w:t>
      </w:r>
    </w:p>
    <w:p w14:paraId="1B552555">
      <w:pPr>
        <w:ind w:left="718" w:leftChars="342" w:firstLine="1417" w:firstLineChars="675"/>
        <w:rPr>
          <w:rFonts w:hint="eastAsia" w:ascii="宋体" w:hAnsi="宋体"/>
        </w:rPr>
      </w:pPr>
      <w:r>
        <w:rPr>
          <w:rFonts w:hint="eastAsia"/>
          <w:szCs w:val="21"/>
        </w:rPr>
        <w:t>（</w:t>
      </w:r>
      <w:r>
        <w:rPr>
          <w:rFonts w:hint="eastAsia"/>
          <w:szCs w:val="21"/>
          <w:lang w:val="en-US" w:eastAsia="zh-CN"/>
        </w:rPr>
        <w:t>19</w:t>
      </w:r>
      <w:r>
        <w:rPr>
          <w:rFonts w:hint="eastAsia"/>
          <w:szCs w:val="21"/>
        </w:rPr>
        <w:t>）</w:t>
      </w:r>
      <w:r>
        <w:rPr>
          <w:rFonts w:hint="eastAsia" w:ascii="宋体" w:hAnsi="宋体" w:eastAsia="宋体" w:cs="宋体"/>
          <w:kern w:val="2"/>
          <w:sz w:val="21"/>
          <w:szCs w:val="21"/>
          <w:lang w:eastAsia="zh-CN"/>
        </w:rPr>
        <w:t>投标人同类项目业绩情况</w:t>
      </w:r>
      <w:r>
        <w:rPr>
          <w:rFonts w:hint="eastAsia"/>
          <w:szCs w:val="21"/>
        </w:rPr>
        <w:t>（格式自定）</w:t>
      </w:r>
    </w:p>
    <w:p w14:paraId="2BAAFA5F">
      <w:pPr>
        <w:ind w:left="718" w:leftChars="342" w:firstLine="1417" w:firstLineChars="675"/>
        <w:rPr>
          <w:rFonts w:hint="eastAsia" w:ascii="宋体" w:hAnsi="宋体"/>
        </w:rPr>
      </w:pPr>
      <w:r>
        <w:rPr>
          <w:rFonts w:hint="eastAsia"/>
          <w:szCs w:val="21"/>
        </w:rPr>
        <w:t>（</w:t>
      </w:r>
      <w:r>
        <w:rPr>
          <w:rFonts w:hint="eastAsia"/>
          <w:szCs w:val="21"/>
          <w:lang w:val="en-US" w:eastAsia="zh-CN"/>
        </w:rPr>
        <w:t>20</w:t>
      </w:r>
      <w:r>
        <w:rPr>
          <w:rFonts w:hint="eastAsia"/>
          <w:szCs w:val="21"/>
        </w:rPr>
        <w:t>）</w:t>
      </w:r>
      <w:r>
        <w:rPr>
          <w:rFonts w:hint="eastAsia" w:ascii="宋体" w:hAnsi="宋体" w:eastAsia="宋体" w:cs="宋体"/>
          <w:kern w:val="2"/>
          <w:sz w:val="21"/>
          <w:szCs w:val="21"/>
          <w:lang w:eastAsia="zh-CN"/>
        </w:rPr>
        <w:t>履约评价情况</w:t>
      </w:r>
      <w:r>
        <w:rPr>
          <w:rFonts w:hint="eastAsia"/>
          <w:szCs w:val="21"/>
        </w:rPr>
        <w:t>（格式自定）</w:t>
      </w:r>
    </w:p>
    <w:p w14:paraId="04C17CD9">
      <w:pPr>
        <w:ind w:left="718" w:leftChars="342" w:firstLine="1417" w:firstLineChars="675"/>
        <w:rPr>
          <w:rFonts w:hint="eastAsia" w:ascii="宋体" w:hAnsi="宋体"/>
        </w:rPr>
      </w:pPr>
      <w:r>
        <w:rPr>
          <w:rFonts w:hint="eastAsia"/>
          <w:szCs w:val="21"/>
        </w:rPr>
        <w:t>（</w:t>
      </w:r>
      <w:r>
        <w:rPr>
          <w:rFonts w:hint="eastAsia"/>
          <w:szCs w:val="21"/>
          <w:lang w:val="en-US" w:eastAsia="zh-CN"/>
        </w:rPr>
        <w:t>21</w:t>
      </w:r>
      <w:r>
        <w:rPr>
          <w:rFonts w:hint="eastAsia"/>
          <w:szCs w:val="21"/>
        </w:rPr>
        <w:t>）</w:t>
      </w:r>
      <w:r>
        <w:rPr>
          <w:rFonts w:hint="eastAsia" w:ascii="宋体" w:hAnsi="宋体" w:eastAsia="宋体" w:cs="宋体"/>
          <w:kern w:val="2"/>
          <w:sz w:val="21"/>
          <w:szCs w:val="21"/>
          <w:lang w:eastAsia="zh-CN"/>
        </w:rPr>
        <w:t>食品安全责任险</w:t>
      </w:r>
      <w:r>
        <w:rPr>
          <w:rFonts w:hint="eastAsia"/>
          <w:szCs w:val="21"/>
        </w:rPr>
        <w:t>（格式自定）</w:t>
      </w:r>
    </w:p>
    <w:p w14:paraId="3156EB74">
      <w:pPr>
        <w:ind w:left="718" w:leftChars="342" w:firstLine="1417" w:firstLineChars="675"/>
        <w:rPr>
          <w:rFonts w:hint="eastAsia" w:ascii="宋体" w:hAnsi="宋体"/>
        </w:rPr>
      </w:pPr>
      <w:r>
        <w:rPr>
          <w:rFonts w:hint="eastAsia"/>
          <w:szCs w:val="21"/>
        </w:rPr>
        <w:t>（</w:t>
      </w:r>
      <w:r>
        <w:rPr>
          <w:rFonts w:hint="eastAsia"/>
          <w:szCs w:val="21"/>
          <w:lang w:val="en-US" w:eastAsia="zh-CN"/>
        </w:rPr>
        <w:t>22</w:t>
      </w:r>
      <w:r>
        <w:rPr>
          <w:rFonts w:hint="eastAsia"/>
          <w:szCs w:val="21"/>
        </w:rPr>
        <w:t>）</w:t>
      </w:r>
      <w:r>
        <w:rPr>
          <w:rFonts w:hint="eastAsia" w:ascii="宋体" w:hAnsi="宋体" w:eastAsia="宋体" w:cs="宋体"/>
          <w:kern w:val="2"/>
          <w:sz w:val="21"/>
          <w:szCs w:val="21"/>
          <w:lang w:eastAsia="zh-CN"/>
        </w:rPr>
        <w:t>公共（公众）责任险</w:t>
      </w:r>
      <w:r>
        <w:rPr>
          <w:rFonts w:hint="eastAsia"/>
          <w:szCs w:val="21"/>
        </w:rPr>
        <w:t>（格式自定）</w:t>
      </w:r>
    </w:p>
    <w:p w14:paraId="4BA96DB0">
      <w:pPr>
        <w:ind w:left="718" w:leftChars="342" w:firstLine="1417" w:firstLineChars="675"/>
        <w:rPr>
          <w:szCs w:val="21"/>
        </w:rPr>
      </w:pPr>
      <w:r>
        <w:rPr>
          <w:rFonts w:hint="eastAsia"/>
          <w:szCs w:val="21"/>
        </w:rPr>
        <w:t>（</w:t>
      </w:r>
      <w:r>
        <w:rPr>
          <w:rFonts w:hint="eastAsia"/>
          <w:szCs w:val="21"/>
          <w:lang w:val="en-US" w:eastAsia="zh-CN"/>
        </w:rPr>
        <w:t>23</w:t>
      </w:r>
      <w:r>
        <w:rPr>
          <w:rFonts w:hint="eastAsia"/>
          <w:szCs w:val="21"/>
        </w:rPr>
        <w:t>）投标人认为需要加以说明的其他内容</w:t>
      </w:r>
    </w:p>
    <w:p w14:paraId="5F000784">
      <w:pPr>
        <w:rPr>
          <w:rFonts w:ascii="仿宋_GB2312" w:eastAsia="仿宋_GB2312"/>
          <w:sz w:val="24"/>
        </w:rPr>
      </w:pPr>
    </w:p>
    <w:p w14:paraId="65E12C1C">
      <w:pPr>
        <w:ind w:firstLine="426" w:firstLineChars="202"/>
        <w:rPr>
          <w:rFonts w:ascii="宋体" w:hAnsi="宋体"/>
          <w:b/>
          <w:szCs w:val="21"/>
        </w:rPr>
      </w:pPr>
      <w:r>
        <w:rPr>
          <w:rFonts w:hint="eastAsia" w:ascii="宋体" w:hAnsi="宋体"/>
          <w:b/>
          <w:szCs w:val="21"/>
        </w:rPr>
        <w:t>备注：</w:t>
      </w:r>
    </w:p>
    <w:p w14:paraId="6A9B6B9A">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42E32342">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6D6204E9">
      <w:pPr>
        <w:jc w:val="left"/>
        <w:rPr>
          <w:rFonts w:ascii="宋体" w:hAnsi="宋体"/>
          <w:b/>
          <w:color w:val="FF0000"/>
          <w:sz w:val="36"/>
          <w:szCs w:val="36"/>
        </w:rPr>
      </w:pPr>
      <w:r>
        <w:rPr>
          <w:rFonts w:hint="eastAsia" w:ascii="宋体" w:hAnsi="宋体"/>
          <w:b/>
          <w:color w:val="FF0000"/>
          <w:sz w:val="36"/>
          <w:szCs w:val="36"/>
        </w:rPr>
        <w:br w:type="page"/>
      </w:r>
    </w:p>
    <w:p w14:paraId="4F031D27">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49B1378E">
      <w:pPr>
        <w:pStyle w:val="4"/>
        <w:jc w:val="center"/>
        <w:rPr>
          <w:rFonts w:ascii="黑体" w:eastAsia="黑体"/>
          <w:b w:val="0"/>
          <w:kern w:val="0"/>
          <w:sz w:val="24"/>
        </w:rPr>
      </w:pPr>
      <w:r>
        <w:rPr>
          <w:rFonts w:hint="eastAsia" w:ascii="黑体" w:eastAsia="黑体"/>
          <w:b w:val="0"/>
          <w:kern w:val="0"/>
          <w:sz w:val="24"/>
        </w:rPr>
        <w:t>一、投标函</w:t>
      </w:r>
    </w:p>
    <w:p w14:paraId="500D8E9F">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424E7076">
      <w:pPr>
        <w:ind w:firstLine="420" w:firstLineChars="200"/>
        <w:rPr>
          <w:rFonts w:ascii="宋体" w:hAnsi="宋体"/>
          <w:szCs w:val="21"/>
        </w:rPr>
      </w:pPr>
      <w:bookmarkStart w:id="38"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39" w:name="_Hlk72263588"/>
      <w:r>
        <w:rPr>
          <w:rFonts w:hint="eastAsia"/>
          <w:szCs w:val="21"/>
        </w:rPr>
        <w:t>愿意按照招标文件要求承包上述项目并修补其任何缺陷。</w:t>
      </w:r>
      <w:bookmarkEnd w:id="39"/>
    </w:p>
    <w:p w14:paraId="34AC5636">
      <w:pPr>
        <w:ind w:firstLine="420" w:firstLineChars="200"/>
        <w:rPr>
          <w:rFonts w:ascii="宋体" w:hAnsi="宋体"/>
          <w:szCs w:val="21"/>
        </w:rPr>
      </w:pPr>
      <w:r>
        <w:rPr>
          <w:rFonts w:ascii="宋体" w:hAnsi="宋体"/>
          <w:szCs w:val="21"/>
        </w:rPr>
        <w:t>2</w:t>
      </w:r>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p>
    <w:p w14:paraId="11A33845">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68AE2A77">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7E022371">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718D52EA">
      <w:pPr>
        <w:ind w:left="420" w:leftChars="200"/>
        <w:rPr>
          <w:rFonts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38"/>
    </w:p>
    <w:p w14:paraId="0DE010DF">
      <w:pPr>
        <w:ind w:left="420" w:left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27BD75DD">
      <w:pPr>
        <w:ind w:left="420" w:leftChars="200"/>
        <w:rPr>
          <w:rFonts w:ascii="宋体" w:hAnsi="宋体"/>
          <w:b/>
          <w:szCs w:val="21"/>
        </w:rPr>
      </w:pPr>
    </w:p>
    <w:p w14:paraId="5C4FC63C">
      <w:pPr>
        <w:ind w:left="420" w:leftChars="200" w:firstLine="210" w:firstLineChars="100"/>
        <w:rPr>
          <w:szCs w:val="21"/>
        </w:rPr>
      </w:pPr>
      <w:r>
        <w:rPr>
          <w:rFonts w:hint="eastAsia"/>
          <w:szCs w:val="21"/>
        </w:rPr>
        <w:t>投标人：</w:t>
      </w:r>
      <w:r>
        <w:rPr>
          <w:rFonts w:hint="eastAsia"/>
          <w:szCs w:val="21"/>
          <w:u w:val="thick"/>
        </w:rPr>
        <w:t xml:space="preserve">       </w:t>
      </w:r>
      <w:r>
        <w:rPr>
          <w:rFonts w:hint="eastAsia"/>
          <w:szCs w:val="21"/>
        </w:rPr>
        <w:t>；  单位地址：</w:t>
      </w:r>
      <w:r>
        <w:rPr>
          <w:rFonts w:hint="eastAsia"/>
          <w:szCs w:val="21"/>
          <w:u w:val="thick"/>
        </w:rPr>
        <w:t xml:space="preserve">                    </w:t>
      </w:r>
      <w:r>
        <w:rPr>
          <w:rFonts w:hint="eastAsia"/>
          <w:szCs w:val="21"/>
        </w:rPr>
        <w:t>；</w:t>
      </w:r>
    </w:p>
    <w:p w14:paraId="66C70462">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700B7EF6">
      <w:pPr>
        <w:ind w:left="420" w:leftChars="200" w:firstLine="210" w:firstLineChars="100"/>
        <w:rPr>
          <w:szCs w:val="21"/>
        </w:rPr>
      </w:pPr>
      <w:r>
        <w:rPr>
          <w:rFonts w:hint="eastAsia"/>
          <w:szCs w:val="21"/>
        </w:rPr>
        <w:t>电话：</w:t>
      </w:r>
      <w:r>
        <w:rPr>
          <w:rFonts w:hint="eastAsia"/>
          <w:szCs w:val="21"/>
          <w:u w:val="thick"/>
        </w:rPr>
        <w:t xml:space="preserve">         </w:t>
      </w:r>
      <w:r>
        <w:rPr>
          <w:rFonts w:hint="eastAsia"/>
          <w:szCs w:val="21"/>
        </w:rPr>
        <w:t xml:space="preserve"> ；     </w:t>
      </w:r>
    </w:p>
    <w:p w14:paraId="221AC7B3">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B54643B">
      <w:pPr>
        <w:ind w:left="420" w:leftChars="200"/>
        <w:rPr>
          <w:sz w:val="24"/>
        </w:rPr>
      </w:pPr>
      <w:r>
        <w:rPr>
          <w:rFonts w:hint="eastAsia"/>
          <w:sz w:val="24"/>
        </w:rPr>
        <w:t xml:space="preserve">                       </w:t>
      </w:r>
    </w:p>
    <w:p w14:paraId="785A58D4">
      <w:pPr>
        <w:rPr>
          <w:rFonts w:ascii="黑体" w:hAnsi="宋体" w:eastAsia="黑体"/>
        </w:rPr>
      </w:pPr>
    </w:p>
    <w:p w14:paraId="1F1C0456">
      <w:pPr>
        <w:rPr>
          <w:rFonts w:ascii="宋体" w:hAnsi="宋体"/>
          <w:szCs w:val="21"/>
        </w:rPr>
      </w:pPr>
    </w:p>
    <w:p w14:paraId="7E9E35C1">
      <w:pPr>
        <w:rPr>
          <w:rFonts w:ascii="黑体" w:eastAsia="黑体"/>
          <w:kern w:val="0"/>
          <w:sz w:val="24"/>
        </w:rPr>
      </w:pPr>
      <w:r>
        <w:rPr>
          <w:rFonts w:hint="eastAsia" w:ascii="黑体" w:eastAsia="黑体"/>
          <w:kern w:val="0"/>
          <w:sz w:val="24"/>
        </w:rPr>
        <w:br w:type="page"/>
      </w:r>
    </w:p>
    <w:p w14:paraId="44370788">
      <w:pPr>
        <w:pStyle w:val="4"/>
        <w:jc w:val="center"/>
        <w:rPr>
          <w:rFonts w:ascii="黑体" w:eastAsia="黑体"/>
          <w:b w:val="0"/>
          <w:kern w:val="0"/>
          <w:sz w:val="24"/>
        </w:rPr>
      </w:pPr>
      <w:r>
        <w:rPr>
          <w:rFonts w:hint="eastAsia" w:ascii="黑体" w:eastAsia="黑体"/>
          <w:b w:val="0"/>
          <w:kern w:val="0"/>
          <w:sz w:val="24"/>
        </w:rPr>
        <w:t>二、政府采购投标及履约承诺函</w:t>
      </w:r>
    </w:p>
    <w:p w14:paraId="0009AB92">
      <w:pPr>
        <w:spacing w:line="270" w:lineRule="exact"/>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0B0D57BF">
      <w:pPr>
        <w:spacing w:line="270" w:lineRule="exact"/>
        <w:ind w:firstLine="420" w:firstLineChars="200"/>
        <w:rPr>
          <w:rFonts w:ascii="宋体" w:hAnsi="宋体"/>
          <w:szCs w:val="21"/>
        </w:rPr>
      </w:pPr>
      <w:r>
        <w:rPr>
          <w:rFonts w:hint="eastAsia" w:ascii="宋体" w:hAnsi="宋体"/>
          <w:szCs w:val="21"/>
        </w:rPr>
        <w:t>我单位承诺：</w:t>
      </w:r>
    </w:p>
    <w:p w14:paraId="79C3EF82">
      <w:pPr>
        <w:spacing w:line="270" w:lineRule="exact"/>
        <w:ind w:firstLine="420" w:firstLineChars="200"/>
      </w:pPr>
      <w:r>
        <w:rPr>
          <w:rFonts w:hint="eastAsia" w:ascii="宋体" w:hAnsi="宋体"/>
          <w:bCs/>
          <w:szCs w:val="21"/>
        </w:rPr>
        <w:t>1.我单位参与本项目符合资格条件关于联合体、进口产品的要求</w:t>
      </w:r>
      <w:r>
        <w:rPr>
          <w:rFonts w:hint="eastAsia"/>
        </w:rPr>
        <w:t>。</w:t>
      </w:r>
    </w:p>
    <w:p w14:paraId="6D161E63">
      <w:pPr>
        <w:spacing w:line="270" w:lineRule="exact"/>
        <w:ind w:firstLine="420" w:firstLineChars="200"/>
        <w:rPr>
          <w:rFonts w:ascii="宋体" w:hAnsi="宋体"/>
          <w:szCs w:val="21"/>
        </w:rPr>
      </w:pPr>
      <w:r>
        <w:rPr>
          <w:rFonts w:hint="eastAsia" w:ascii="宋体" w:hAnsi="宋体"/>
          <w:szCs w:val="21"/>
        </w:rPr>
        <w:t>2.我单位参与本项目</w:t>
      </w:r>
      <w:r>
        <w:rPr>
          <w:rFonts w:hint="eastAsia" w:ascii="宋体" w:hAnsi="宋体"/>
        </w:rPr>
        <w:t>所投标（响应）的货物、工程或服务，不存在侵犯知识产权的情况。</w:t>
      </w:r>
    </w:p>
    <w:p w14:paraId="14F13689">
      <w:pPr>
        <w:spacing w:line="270" w:lineRule="exact"/>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p>
    <w:p w14:paraId="167769FF">
      <w:pPr>
        <w:spacing w:line="270" w:lineRule="exact"/>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6FF115BB">
      <w:pPr>
        <w:spacing w:line="270" w:lineRule="exact"/>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0A5DB818">
      <w:pPr>
        <w:spacing w:line="270" w:lineRule="exact"/>
        <w:ind w:firstLine="420" w:firstLineChars="200"/>
      </w:pPr>
      <w:r>
        <w:rPr>
          <w:rFonts w:hint="eastAsia"/>
          <w:color w:val="FF0000"/>
        </w:rPr>
        <w:t>6.我单位不存在《深圳市财政局政府采购供应商信用信息管理办法》（深财规〔2023〕3号）列明的严重违法失信行为。</w:t>
      </w:r>
    </w:p>
    <w:p w14:paraId="00C48F2F">
      <w:pPr>
        <w:spacing w:line="270" w:lineRule="exact"/>
        <w:ind w:firstLine="420" w:firstLineChars="200"/>
        <w:rPr>
          <w:rFonts w:ascii="宋体" w:hAnsi="宋体"/>
          <w:szCs w:val="21"/>
        </w:rPr>
      </w:pPr>
      <w:r>
        <w:rPr>
          <w:rFonts w:hint="eastAsia" w:ascii="宋体" w:hAnsi="宋体"/>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4969150C">
      <w:pPr>
        <w:spacing w:line="270" w:lineRule="exact"/>
        <w:ind w:firstLine="420" w:firstLineChars="200"/>
        <w:rPr>
          <w:rFonts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1DB97B4">
      <w:pPr>
        <w:spacing w:line="270" w:lineRule="exact"/>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AF6C811">
      <w:pPr>
        <w:spacing w:line="270" w:lineRule="exact"/>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4B15D522">
      <w:pPr>
        <w:spacing w:line="270" w:lineRule="exact"/>
        <w:ind w:firstLine="420" w:firstLineChars="200"/>
        <w:rPr>
          <w:rFonts w:ascii="宋体" w:hAnsi="宋体"/>
          <w:szCs w:val="21"/>
        </w:rPr>
      </w:pPr>
      <w:r>
        <w:rPr>
          <w:rFonts w:hint="eastAsia" w:ascii="宋体" w:hAnsi="宋体"/>
          <w:szCs w:val="21"/>
        </w:rPr>
        <w:t>10.我单位承诺中标后项目不转包，未经采购人同意不进行分包。</w:t>
      </w:r>
    </w:p>
    <w:p w14:paraId="6245817D">
      <w:pPr>
        <w:spacing w:line="270" w:lineRule="exact"/>
        <w:ind w:firstLine="420" w:firstLineChars="200"/>
        <w:rPr>
          <w:rFonts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5DDD5C1C">
      <w:pPr>
        <w:spacing w:line="270" w:lineRule="exact"/>
        <w:ind w:firstLine="420" w:firstLineChars="200"/>
        <w:rPr>
          <w:rFonts w:ascii="宋体" w:hAnsi="宋体" w:cs="宋体"/>
          <w:b/>
          <w:kern w:val="0"/>
          <w:szCs w:val="21"/>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049334FC">
      <w:pPr>
        <w:spacing w:line="270" w:lineRule="exact"/>
        <w:ind w:firstLine="420" w:firstLineChars="200"/>
        <w:rPr>
          <w:rFonts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79188C75">
      <w:pPr>
        <w:spacing w:line="270" w:lineRule="exact"/>
        <w:ind w:firstLine="420" w:firstLineChars="200"/>
        <w:rPr>
          <w:rFonts w:ascii="宋体" w:hAnsi="宋体"/>
          <w:bCs/>
        </w:rPr>
      </w:pPr>
      <w:r>
        <w:rPr>
          <w:rFonts w:hint="eastAsia" w:ascii="宋体" w:hAnsi="宋体"/>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C2A9E56">
      <w:pPr>
        <w:spacing w:line="270" w:lineRule="exact"/>
        <w:ind w:firstLine="422" w:firstLineChars="200"/>
        <w:rPr>
          <w:rFonts w:ascii="宋体" w:hAnsi="宋体"/>
          <w:b/>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3B795A0E">
      <w:pPr>
        <w:spacing w:line="270" w:lineRule="exact"/>
        <w:ind w:firstLine="420" w:firstLineChars="200"/>
        <w:rPr>
          <w:rFonts w:ascii="宋体" w:hAnsi="宋体"/>
          <w:bCs/>
        </w:rPr>
      </w:pPr>
      <w:r>
        <w:rPr>
          <w:rFonts w:hint="eastAsia" w:ascii="宋体" w:hAnsi="宋体"/>
          <w:bCs/>
        </w:rPr>
        <w:t>16.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49C31F6A">
      <w:pPr>
        <w:spacing w:line="270" w:lineRule="exact"/>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00548335">
      <w:pPr>
        <w:spacing w:line="270" w:lineRule="exact"/>
        <w:ind w:firstLine="5460" w:firstLineChars="2600"/>
        <w:rPr>
          <w:color w:val="FF0000"/>
        </w:rPr>
      </w:pPr>
      <w:r>
        <w:rPr>
          <w:rFonts w:hint="eastAsia"/>
          <w:color w:val="FF0000"/>
          <w:szCs w:val="21"/>
        </w:rPr>
        <w:t>投标人：</w:t>
      </w:r>
      <w:r>
        <w:rPr>
          <w:rFonts w:hint="eastAsia"/>
          <w:color w:val="FF0000"/>
          <w:szCs w:val="21"/>
          <w:u w:val="single"/>
        </w:rPr>
        <w:t xml:space="preserve">              </w:t>
      </w:r>
      <w:r>
        <w:rPr>
          <w:rFonts w:hint="eastAsia"/>
          <w:color w:val="FF0000"/>
          <w:szCs w:val="21"/>
        </w:rPr>
        <w:t>；</w:t>
      </w:r>
    </w:p>
    <w:p w14:paraId="1E3BED39">
      <w:pPr>
        <w:spacing w:line="270" w:lineRule="exact"/>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0A8A3A46">
      <w:pPr>
        <w:pStyle w:val="4"/>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588D359B">
      <w:pPr>
        <w:pStyle w:val="4"/>
        <w:jc w:val="center"/>
        <w:rPr>
          <w:rFonts w:ascii="黑体" w:hAnsi="黑体" w:eastAsia="黑体" w:cs="黑体"/>
          <w:b w:val="0"/>
          <w:bCs w:val="0"/>
          <w:sz w:val="24"/>
          <w:szCs w:val="28"/>
        </w:rPr>
      </w:pPr>
      <w:r>
        <w:rPr>
          <w:rFonts w:hint="eastAsia" w:ascii="黑体" w:hAnsi="黑体" w:eastAsia="黑体" w:cs="黑体"/>
          <w:b w:val="0"/>
          <w:bCs w:val="0"/>
          <w:sz w:val="24"/>
          <w:szCs w:val="28"/>
        </w:rPr>
        <w:t>（一）投标人资格证明文件</w:t>
      </w:r>
    </w:p>
    <w:p w14:paraId="320983CC">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1D0182B4">
      <w:pPr>
        <w:rPr>
          <w:b/>
          <w:sz w:val="24"/>
        </w:rPr>
      </w:pPr>
      <w:r>
        <w:rPr>
          <w:b/>
          <w:sz w:val="24"/>
        </w:rPr>
        <w:br w:type="page"/>
      </w:r>
    </w:p>
    <w:p w14:paraId="41E91850">
      <w:pPr>
        <w:pStyle w:val="4"/>
        <w:jc w:val="center"/>
        <w:rPr>
          <w:rFonts w:ascii="黑体" w:hAnsi="黑体" w:eastAsia="黑体" w:cs="黑体"/>
          <w:b w:val="0"/>
          <w:bCs w:val="0"/>
          <w:sz w:val="24"/>
          <w:szCs w:val="28"/>
        </w:rPr>
      </w:pPr>
      <w:r>
        <w:rPr>
          <w:rFonts w:hint="eastAsia" w:ascii="黑体" w:hAnsi="黑体" w:eastAsia="黑体" w:cs="黑体"/>
          <w:b w:val="0"/>
          <w:bCs w:val="0"/>
          <w:sz w:val="24"/>
          <w:szCs w:val="28"/>
        </w:rPr>
        <w:t>（二）中小企业声明函、残疾人福利性单位声明函及监狱企业声明函</w:t>
      </w:r>
    </w:p>
    <w:p w14:paraId="01F52D6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408E249">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14:paraId="23D3D7AC">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2</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该部分内容填写需要参考的相关文件：</w:t>
      </w:r>
    </w:p>
    <w:p w14:paraId="130EF685">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(1)财政部《政府采购促进中小企业发展管理办法》（财库〔2020〕46号）</w:t>
      </w:r>
    </w:p>
    <w:p w14:paraId="3D667677">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(2)《工业和信息化部、国家统计局、国家发展和改革委员会、财政部关于印发中小企业划型标准规定的通知》（工信部联企业〔2011〕300号）</w:t>
      </w:r>
    </w:p>
    <w:p w14:paraId="1AB0C9D3">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(3)《统计上大中小微型企业划分办法(2017)》（国统字〔2017〕213号）</w:t>
      </w:r>
    </w:p>
    <w:p w14:paraId="34E8C706">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(4)《关于促进残疾人就业政府采购政策的通知》（财库〔2017〕141号）</w:t>
      </w:r>
    </w:p>
    <w:p w14:paraId="46920A18">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(5)《关于政府采购支持监狱企业发展有关问题的通知》（财库〔2014〕68号）</w:t>
      </w:r>
    </w:p>
    <w:p w14:paraId="0158A60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p>
    <w:p w14:paraId="3D522679">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14FFDE91">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7B146BD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5D2E235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78A8C9E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6ED86DE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2FD406D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val="0"/>
          <w:bCs/>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2CA5CFC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24224A19">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3D3A8E81">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158D4917">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54ECF5A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73FB258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3936A43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本项目属于服务类项目，如包含硬件设备、产品等货物采购的，不再对其中涉及的货物制造商作出要求。</w:t>
      </w:r>
    </w:p>
    <w:p w14:paraId="6A197AC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6</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619E48F7">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7</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1C0B289B">
      <w:pPr>
        <w:pStyle w:val="35"/>
      </w:pPr>
    </w:p>
    <w:p w14:paraId="1510B39D">
      <w:pPr>
        <w:numPr>
          <w:ilvl w:val="0"/>
          <w:numId w:val="0"/>
        </w:numPr>
        <w:jc w:val="center"/>
        <w:outlineLvl w:val="3"/>
        <w:rPr>
          <w:b/>
          <w:sz w:val="24"/>
        </w:rPr>
      </w:pPr>
      <w:r>
        <w:rPr>
          <w:rFonts w:ascii="Times New Roman" w:hAnsi="Times New Roman" w:eastAsia="宋体" w:cs="Times New Roman"/>
          <w:b/>
          <w:kern w:val="2"/>
          <w:sz w:val="24"/>
          <w:szCs w:val="24"/>
          <w:lang w:val="en-US" w:eastAsia="zh-CN" w:bidi="ar-SA"/>
        </w:rPr>
        <w:t>1</w:t>
      </w:r>
      <w:r>
        <w:rPr>
          <w:rFonts w:hint="eastAsia" w:cs="Times New Roman"/>
          <w:b/>
          <w:kern w:val="2"/>
          <w:sz w:val="24"/>
          <w:szCs w:val="24"/>
          <w:lang w:val="en-US" w:eastAsia="zh-CN" w:bidi="ar-SA"/>
        </w:rPr>
        <w:t>.</w:t>
      </w:r>
      <w:r>
        <w:rPr>
          <w:b/>
          <w:sz w:val="24"/>
        </w:rPr>
        <w:t>中小企业声明函（</w:t>
      </w:r>
      <w:r>
        <w:rPr>
          <w:rFonts w:hint="eastAsia"/>
          <w:b/>
          <w:sz w:val="24"/>
        </w:rPr>
        <w:t>服务</w:t>
      </w:r>
      <w:r>
        <w:rPr>
          <w:b/>
          <w:sz w:val="24"/>
        </w:rPr>
        <w:t>）</w:t>
      </w:r>
    </w:p>
    <w:p w14:paraId="318E1440">
      <w:pPr>
        <w:pStyle w:val="18"/>
      </w:pPr>
    </w:p>
    <w:p w14:paraId="4FDB3C57">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5E4300FB">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09DC5B6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3346778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7212CFE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185E018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2A2EB712">
      <w:pPr>
        <w:spacing w:line="360" w:lineRule="auto"/>
        <w:ind w:firstLine="420" w:firstLineChars="200"/>
        <w:rPr>
          <w:rFonts w:asciiTheme="minorEastAsia" w:hAnsiTheme="minorEastAsia" w:eastAsiaTheme="minorEastAsia" w:cstheme="minorEastAsia"/>
          <w:szCs w:val="21"/>
        </w:rPr>
      </w:pPr>
      <w:bookmarkStart w:id="40"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0"/>
    </w:p>
    <w:p w14:paraId="28B89E2C">
      <w:pPr>
        <w:ind w:firstLine="420" w:firstLineChars="200"/>
      </w:pPr>
    </w:p>
    <w:p w14:paraId="589BB6B4">
      <w:pPr>
        <w:jc w:val="center"/>
        <w:outlineLvl w:val="3"/>
        <w:rPr>
          <w:b/>
          <w:sz w:val="24"/>
        </w:rPr>
      </w:pPr>
      <w:r>
        <w:rPr>
          <w:rFonts w:hint="eastAsia"/>
          <w:b/>
          <w:sz w:val="24"/>
        </w:rPr>
        <w:t>2</w:t>
      </w:r>
      <w:r>
        <w:rPr>
          <w:rFonts w:hint="eastAsia"/>
          <w:b/>
          <w:sz w:val="24"/>
          <w:lang w:val="en-US" w:eastAsia="zh-CN"/>
        </w:rPr>
        <w:t>.</w:t>
      </w:r>
      <w:r>
        <w:rPr>
          <w:rFonts w:hint="eastAsia"/>
          <w:b/>
          <w:sz w:val="24"/>
        </w:rPr>
        <w:t>残疾人福利性单位声明函（服务类）</w:t>
      </w:r>
    </w:p>
    <w:p w14:paraId="3AAA9B5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59627FD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0A43D5BC">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40522530">
      <w:pPr>
        <w:ind w:firstLine="420" w:firstLineChars="200"/>
        <w:rPr>
          <w:rFonts w:ascii="宋体" w:hAnsi="宋体"/>
          <w:szCs w:val="21"/>
        </w:rPr>
      </w:pPr>
    </w:p>
    <w:p w14:paraId="79B50C90">
      <w:pPr>
        <w:ind w:firstLine="420" w:firstLineChars="200"/>
        <w:rPr>
          <w:rFonts w:ascii="宋体" w:hAnsi="宋体"/>
          <w:szCs w:val="21"/>
        </w:rPr>
      </w:pPr>
    </w:p>
    <w:p w14:paraId="5ED49D0E">
      <w:pPr>
        <w:ind w:firstLine="420" w:firstLineChars="200"/>
        <w:rPr>
          <w:rFonts w:ascii="宋体" w:hAnsi="宋体"/>
          <w:szCs w:val="21"/>
        </w:rPr>
      </w:pPr>
    </w:p>
    <w:p w14:paraId="5F9C8D17">
      <w:pPr>
        <w:jc w:val="center"/>
        <w:outlineLvl w:val="3"/>
        <w:rPr>
          <w:b/>
          <w:sz w:val="24"/>
        </w:rPr>
      </w:pPr>
      <w:r>
        <w:rPr>
          <w:rFonts w:hint="eastAsia"/>
          <w:b/>
          <w:sz w:val="24"/>
        </w:rPr>
        <w:t>3</w:t>
      </w:r>
      <w:r>
        <w:rPr>
          <w:rFonts w:hint="eastAsia"/>
          <w:b/>
          <w:sz w:val="24"/>
          <w:lang w:val="en-US" w:eastAsia="zh-CN"/>
        </w:rPr>
        <w:t>.</w:t>
      </w:r>
      <w:r>
        <w:rPr>
          <w:rFonts w:hint="eastAsia"/>
          <w:b/>
          <w:sz w:val="24"/>
        </w:rPr>
        <w:t>监狱企业声明函【服务类，监狱企业如需享受优惠政策，还须另行提供省级以上监狱管理局、戒毒管理局（含新疆生产建设兵团）出具的监狱企业证明文件】</w:t>
      </w:r>
    </w:p>
    <w:p w14:paraId="0FDDF2FF">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4F46C814">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3BAE836C">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19646D11">
      <w:pPr>
        <w:ind w:firstLine="420" w:firstLineChars="200"/>
        <w:rPr>
          <w:rFonts w:ascii="宋体" w:hAnsi="宋体"/>
          <w:szCs w:val="21"/>
        </w:rPr>
      </w:pPr>
      <w:r>
        <w:rPr>
          <w:rFonts w:ascii="宋体" w:hAnsi="宋体"/>
          <w:szCs w:val="21"/>
        </w:rPr>
        <w:t xml:space="preserve">…… </w:t>
      </w:r>
    </w:p>
    <w:p w14:paraId="0FA26C52">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102E4652">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785BAC06"/>
    <w:p w14:paraId="7D38C3B5"/>
    <w:p w14:paraId="2A7FFF93"/>
    <w:p w14:paraId="7CB0237F">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四、</w:t>
      </w:r>
      <w:r>
        <w:rPr>
          <w:rFonts w:hint="eastAsia" w:ascii="黑体" w:eastAsia="黑体"/>
          <w:b w:val="0"/>
          <w:bCs w:val="0"/>
          <w:kern w:val="2"/>
        </w:rPr>
        <w:t>投标人通过相关认证情况（格式自定）</w:t>
      </w:r>
    </w:p>
    <w:p w14:paraId="2BFDC4EB">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7B278ADC">
      <w:pPr>
        <w:rPr>
          <w:rFonts w:hint="eastAsia"/>
          <w:b/>
          <w:bCs/>
          <w:color w:val="FF0000"/>
          <w:sz w:val="22"/>
          <w:szCs w:val="22"/>
        </w:rPr>
      </w:pPr>
    </w:p>
    <w:p w14:paraId="2578B288">
      <w:pPr>
        <w:pStyle w:val="3"/>
        <w:spacing w:before="60" w:beforeLines="25" w:after="60" w:afterLines="25" w:line="240" w:lineRule="auto"/>
        <w:jc w:val="left"/>
        <w:rPr>
          <w:rFonts w:hint="eastAsia" w:ascii="黑体" w:eastAsia="黑体"/>
          <w:b w:val="0"/>
          <w:bCs w:val="0"/>
          <w:kern w:val="2"/>
        </w:rPr>
      </w:pPr>
    </w:p>
    <w:p w14:paraId="42EDB349">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五、</w:t>
      </w:r>
      <w:r>
        <w:rPr>
          <w:rFonts w:hint="eastAsia" w:ascii="黑体" w:eastAsia="黑体"/>
          <w:b w:val="0"/>
          <w:bCs w:val="0"/>
          <w:kern w:val="2"/>
        </w:rPr>
        <w:t>信息化能力（格式自定）</w:t>
      </w:r>
    </w:p>
    <w:p w14:paraId="62CD2057">
      <w:r>
        <w:rPr>
          <w:rFonts w:hint="eastAsia"/>
          <w:b/>
          <w:bCs/>
          <w:color w:val="FF0000"/>
          <w:sz w:val="22"/>
          <w:szCs w:val="22"/>
        </w:rPr>
        <w:t>（特别提示：投标人须按本招标文件评标信息中这一评审因素要求，提供证明资料）</w:t>
      </w:r>
    </w:p>
    <w:p w14:paraId="71D5913F"/>
    <w:p w14:paraId="3BDF1961"/>
    <w:p w14:paraId="0A6FD757"/>
    <w:p w14:paraId="338E22C4"/>
    <w:p w14:paraId="23D33A39"/>
    <w:p w14:paraId="6FF89E35"/>
    <w:p w14:paraId="1EBD7A68"/>
    <w:p w14:paraId="17D8515D">
      <w:pPr>
        <w:ind w:firstLine="1446" w:firstLineChars="600"/>
        <w:rPr>
          <w:b/>
          <w:color w:val="FF0000"/>
          <w:sz w:val="24"/>
        </w:rPr>
      </w:pPr>
      <w:r>
        <w:rPr>
          <w:rFonts w:hint="eastAsia"/>
          <w:b/>
          <w:color w:val="FF0000"/>
          <w:sz w:val="24"/>
        </w:rPr>
        <w:t>（信息公开部分的内容到此为止！以下为信息不公开部分。）</w:t>
      </w:r>
    </w:p>
    <w:p w14:paraId="4CF368CE">
      <w:pPr>
        <w:rPr>
          <w:rFonts w:ascii="仿宋_GB2312" w:eastAsia="仿宋_GB2312"/>
          <w:b/>
          <w:sz w:val="30"/>
          <w:szCs w:val="30"/>
        </w:rPr>
      </w:pPr>
      <w:r>
        <w:rPr>
          <w:rFonts w:hint="eastAsia" w:ascii="仿宋_GB2312" w:eastAsia="仿宋_GB2312"/>
          <w:b/>
          <w:sz w:val="30"/>
          <w:szCs w:val="30"/>
        </w:rPr>
        <w:br w:type="page"/>
      </w:r>
    </w:p>
    <w:p w14:paraId="2FB11FC6">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3CE8A4A0">
      <w:pPr>
        <w:pStyle w:val="59"/>
        <w:rPr>
          <w:rFonts w:ascii="宋体" w:hAnsi="宋体"/>
          <w:b/>
          <w:color w:val="FF0000"/>
          <w:sz w:val="28"/>
          <w:szCs w:val="28"/>
        </w:rPr>
      </w:pPr>
    </w:p>
    <w:p w14:paraId="1A153C54">
      <w:pPr>
        <w:snapToGrid w:val="0"/>
        <w:jc w:val="center"/>
        <w:outlineLvl w:val="1"/>
        <w:rPr>
          <w:rFonts w:ascii="黑体" w:hAnsi="宋体" w:eastAsia="黑体"/>
          <w:bCs/>
          <w:sz w:val="24"/>
          <w:szCs w:val="32"/>
        </w:rPr>
      </w:pPr>
      <w:r>
        <w:rPr>
          <w:rFonts w:hint="eastAsia" w:ascii="黑体" w:hAnsi="宋体" w:eastAsia="黑体"/>
          <w:bCs/>
          <w:sz w:val="24"/>
          <w:szCs w:val="32"/>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645"/>
        <w:gridCol w:w="1715"/>
        <w:gridCol w:w="718"/>
        <w:gridCol w:w="752"/>
        <w:gridCol w:w="1146"/>
        <w:gridCol w:w="1429"/>
        <w:gridCol w:w="1422"/>
      </w:tblGrid>
      <w:tr w14:paraId="7DCA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8" w:type="pct"/>
            <w:gridSpan w:val="2"/>
            <w:vAlign w:val="center"/>
          </w:tcPr>
          <w:p w14:paraId="4C16372B">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3DD8E6C8">
            <w:pPr>
              <w:jc w:val="center"/>
              <w:rPr>
                <w:rFonts w:ascii="宋体" w:hAnsi="宋体" w:cs="宋体"/>
                <w:szCs w:val="21"/>
              </w:rPr>
            </w:pPr>
          </w:p>
        </w:tc>
        <w:tc>
          <w:tcPr>
            <w:tcW w:w="1113" w:type="pct"/>
            <w:gridSpan w:val="2"/>
            <w:vAlign w:val="center"/>
          </w:tcPr>
          <w:p w14:paraId="6B4F9B9A">
            <w:pPr>
              <w:jc w:val="center"/>
              <w:rPr>
                <w:rFonts w:ascii="宋体" w:hAnsi="宋体" w:cs="宋体"/>
                <w:szCs w:val="21"/>
              </w:rPr>
            </w:pPr>
            <w:r>
              <w:rPr>
                <w:rFonts w:hint="eastAsia" w:ascii="宋体" w:hAnsi="宋体" w:cs="宋体"/>
                <w:szCs w:val="21"/>
              </w:rPr>
              <w:t>项目名称及编号</w:t>
            </w:r>
          </w:p>
        </w:tc>
        <w:tc>
          <w:tcPr>
            <w:tcW w:w="1670" w:type="pct"/>
            <w:gridSpan w:val="2"/>
            <w:vAlign w:val="center"/>
          </w:tcPr>
          <w:p w14:paraId="03F88A41">
            <w:pPr>
              <w:jc w:val="center"/>
              <w:rPr>
                <w:rFonts w:ascii="宋体" w:hAnsi="宋体" w:cs="宋体"/>
                <w:szCs w:val="21"/>
              </w:rPr>
            </w:pPr>
          </w:p>
        </w:tc>
      </w:tr>
      <w:tr w14:paraId="44B1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551C7874">
            <w:pPr>
              <w:jc w:val="center"/>
              <w:rPr>
                <w:rFonts w:ascii="宋体" w:hAnsi="宋体" w:cs="宋体"/>
                <w:szCs w:val="21"/>
              </w:rPr>
            </w:pPr>
            <w:r>
              <w:rPr>
                <w:rFonts w:hint="eastAsia" w:ascii="宋体" w:hAnsi="宋体" w:cs="宋体"/>
                <w:b/>
                <w:bCs/>
                <w:szCs w:val="21"/>
              </w:rPr>
              <w:t>投标（响应）供应商相关人员情况</w:t>
            </w:r>
          </w:p>
        </w:tc>
      </w:tr>
      <w:tr w14:paraId="1FEDE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3E8012AD">
            <w:pPr>
              <w:snapToGrid w:val="0"/>
              <w:jc w:val="center"/>
              <w:rPr>
                <w:rFonts w:ascii="宋体" w:hAnsi="宋体" w:cs="宋体"/>
                <w:szCs w:val="21"/>
              </w:rPr>
            </w:pPr>
            <w:r>
              <w:rPr>
                <w:rFonts w:hint="eastAsia" w:ascii="宋体" w:hAnsi="宋体" w:cs="宋体"/>
                <w:szCs w:val="21"/>
              </w:rPr>
              <w:t>序号</w:t>
            </w:r>
          </w:p>
        </w:tc>
        <w:tc>
          <w:tcPr>
            <w:tcW w:w="1384" w:type="pct"/>
            <w:gridSpan w:val="2"/>
            <w:tcBorders>
              <w:bottom w:val="single" w:color="auto" w:sz="4" w:space="0"/>
            </w:tcBorders>
            <w:vAlign w:val="center"/>
          </w:tcPr>
          <w:p w14:paraId="44709D94">
            <w:pPr>
              <w:jc w:val="center"/>
              <w:rPr>
                <w:rFonts w:ascii="宋体" w:hAnsi="宋体" w:cs="宋体"/>
                <w:szCs w:val="21"/>
              </w:rPr>
            </w:pPr>
            <w:r>
              <w:rPr>
                <w:rFonts w:hint="eastAsia" w:ascii="宋体" w:hAnsi="宋体" w:cs="宋体"/>
                <w:szCs w:val="21"/>
              </w:rPr>
              <w:t>职务</w:t>
            </w:r>
          </w:p>
        </w:tc>
        <w:tc>
          <w:tcPr>
            <w:tcW w:w="421" w:type="pct"/>
            <w:tcBorders>
              <w:bottom w:val="single" w:color="auto" w:sz="4" w:space="0"/>
            </w:tcBorders>
            <w:vAlign w:val="center"/>
          </w:tcPr>
          <w:p w14:paraId="5715B9F3">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3EE2A405">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20F1FAAC">
            <w:pPr>
              <w:snapToGrid w:val="0"/>
              <w:jc w:val="center"/>
              <w:rPr>
                <w:rFonts w:ascii="宋体" w:hAnsi="宋体" w:cs="宋体"/>
                <w:szCs w:val="21"/>
              </w:rPr>
            </w:pPr>
            <w:r>
              <w:rPr>
                <w:rFonts w:hint="eastAsia" w:ascii="宋体" w:hAnsi="宋体" w:cs="宋体"/>
                <w:szCs w:val="21"/>
              </w:rPr>
              <w:t>劳动合同</w:t>
            </w:r>
          </w:p>
          <w:p w14:paraId="1AE0940B">
            <w:pPr>
              <w:snapToGrid w:val="0"/>
              <w:jc w:val="center"/>
              <w:rPr>
                <w:rFonts w:ascii="宋体" w:hAnsi="宋体" w:cs="宋体"/>
                <w:szCs w:val="21"/>
              </w:rPr>
            </w:pPr>
            <w:r>
              <w:rPr>
                <w:rFonts w:hint="eastAsia" w:ascii="宋体" w:hAnsi="宋体" w:cs="宋体"/>
                <w:szCs w:val="21"/>
              </w:rPr>
              <w:t>关系单位</w:t>
            </w:r>
          </w:p>
        </w:tc>
        <w:tc>
          <w:tcPr>
            <w:tcW w:w="832" w:type="pct"/>
            <w:tcBorders>
              <w:bottom w:val="single" w:color="auto" w:sz="4" w:space="0"/>
            </w:tcBorders>
            <w:vAlign w:val="center"/>
          </w:tcPr>
          <w:p w14:paraId="71CB25BB">
            <w:pPr>
              <w:snapToGrid w:val="0"/>
              <w:jc w:val="center"/>
              <w:rPr>
                <w:rFonts w:ascii="宋体" w:hAnsi="宋体" w:cs="宋体"/>
                <w:szCs w:val="21"/>
              </w:rPr>
            </w:pPr>
            <w:r>
              <w:rPr>
                <w:rFonts w:hint="eastAsia" w:ascii="宋体" w:hAnsi="宋体" w:cs="宋体"/>
                <w:szCs w:val="21"/>
              </w:rPr>
              <w:t>缴纳社会</w:t>
            </w:r>
          </w:p>
          <w:p w14:paraId="6A588CDF">
            <w:pPr>
              <w:snapToGrid w:val="0"/>
              <w:jc w:val="center"/>
              <w:rPr>
                <w:rFonts w:ascii="宋体" w:hAnsi="宋体" w:cs="宋体"/>
                <w:szCs w:val="21"/>
              </w:rPr>
            </w:pPr>
            <w:r>
              <w:rPr>
                <w:rFonts w:hint="eastAsia" w:ascii="宋体" w:hAnsi="宋体" w:cs="宋体"/>
                <w:szCs w:val="21"/>
              </w:rPr>
              <w:t>保险单位</w:t>
            </w:r>
          </w:p>
        </w:tc>
      </w:tr>
      <w:tr w14:paraId="3437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26464ADE">
            <w:pPr>
              <w:jc w:val="center"/>
              <w:rPr>
                <w:rFonts w:ascii="宋体" w:hAnsi="宋体" w:cs="宋体"/>
                <w:szCs w:val="21"/>
              </w:rPr>
            </w:pPr>
            <w:r>
              <w:rPr>
                <w:rFonts w:hint="eastAsia" w:ascii="宋体" w:hAnsi="宋体" w:cs="宋体"/>
                <w:szCs w:val="21"/>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4F683F2B">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421" w:type="pct"/>
            <w:tcBorders>
              <w:top w:val="single" w:color="auto" w:sz="4" w:space="0"/>
              <w:left w:val="single" w:color="auto" w:sz="4" w:space="0"/>
              <w:bottom w:val="single" w:color="auto" w:sz="4" w:space="0"/>
              <w:right w:val="single" w:color="auto" w:sz="4" w:space="0"/>
            </w:tcBorders>
            <w:vAlign w:val="center"/>
          </w:tcPr>
          <w:p w14:paraId="6A717BA9">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672BA631">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9852EB6">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750C69D4">
            <w:pPr>
              <w:jc w:val="center"/>
              <w:rPr>
                <w:rFonts w:ascii="宋体" w:hAnsi="宋体" w:cs="宋体"/>
                <w:szCs w:val="21"/>
              </w:rPr>
            </w:pPr>
          </w:p>
        </w:tc>
      </w:tr>
      <w:tr w14:paraId="303F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6FDC1286">
            <w:pPr>
              <w:jc w:val="center"/>
              <w:rPr>
                <w:rFonts w:ascii="宋体" w:hAnsi="宋体" w:cs="宋体"/>
                <w:szCs w:val="21"/>
              </w:rPr>
            </w:pPr>
            <w:r>
              <w:rPr>
                <w:rFonts w:hint="eastAsia" w:ascii="宋体" w:hAnsi="宋体" w:cs="宋体"/>
                <w:szCs w:val="21"/>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714BA614">
            <w:pPr>
              <w:jc w:val="center"/>
              <w:rPr>
                <w:rFonts w:ascii="宋体" w:hAnsi="宋体" w:cs="宋体"/>
                <w:szCs w:val="21"/>
              </w:rPr>
            </w:pPr>
            <w:r>
              <w:rPr>
                <w:rFonts w:hint="eastAsia" w:ascii="宋体" w:hAnsi="宋体" w:cs="宋体"/>
                <w:szCs w:val="21"/>
              </w:rPr>
              <w:t>项目投标授权代表人</w:t>
            </w:r>
          </w:p>
        </w:tc>
        <w:tc>
          <w:tcPr>
            <w:tcW w:w="421" w:type="pct"/>
            <w:tcBorders>
              <w:top w:val="single" w:color="auto" w:sz="4" w:space="0"/>
              <w:left w:val="single" w:color="auto" w:sz="4" w:space="0"/>
              <w:bottom w:val="single" w:color="auto" w:sz="4" w:space="0"/>
              <w:right w:val="single" w:color="auto" w:sz="4" w:space="0"/>
            </w:tcBorders>
            <w:vAlign w:val="center"/>
          </w:tcPr>
          <w:p w14:paraId="4CB5FBA3">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53BD7820">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5DB9F1EA">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5ACC7F17">
            <w:pPr>
              <w:jc w:val="center"/>
              <w:rPr>
                <w:rFonts w:ascii="宋体" w:hAnsi="宋体" w:cs="宋体"/>
                <w:szCs w:val="21"/>
              </w:rPr>
            </w:pPr>
          </w:p>
        </w:tc>
      </w:tr>
      <w:tr w14:paraId="5B06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tcBorders>
            <w:vAlign w:val="center"/>
          </w:tcPr>
          <w:p w14:paraId="4EB1053B">
            <w:pPr>
              <w:jc w:val="center"/>
              <w:rPr>
                <w:rFonts w:ascii="宋体" w:hAnsi="宋体" w:cs="宋体"/>
                <w:szCs w:val="21"/>
              </w:rPr>
            </w:pPr>
            <w:r>
              <w:rPr>
                <w:rFonts w:hint="eastAsia" w:ascii="宋体" w:hAnsi="宋体" w:cs="宋体"/>
                <w:szCs w:val="21"/>
              </w:rPr>
              <w:t>3</w:t>
            </w:r>
          </w:p>
        </w:tc>
        <w:tc>
          <w:tcPr>
            <w:tcW w:w="1384" w:type="pct"/>
            <w:gridSpan w:val="2"/>
            <w:tcBorders>
              <w:top w:val="single" w:color="auto" w:sz="4" w:space="0"/>
            </w:tcBorders>
            <w:vAlign w:val="center"/>
          </w:tcPr>
          <w:p w14:paraId="69909714">
            <w:pPr>
              <w:jc w:val="center"/>
              <w:rPr>
                <w:rFonts w:ascii="宋体" w:hAnsi="宋体" w:cs="宋体"/>
                <w:szCs w:val="21"/>
              </w:rPr>
            </w:pPr>
            <w:r>
              <w:rPr>
                <w:rFonts w:hint="eastAsia" w:ascii="宋体" w:hAnsi="宋体" w:cs="宋体"/>
                <w:szCs w:val="21"/>
              </w:rPr>
              <w:t>项目负责人</w:t>
            </w:r>
          </w:p>
        </w:tc>
        <w:tc>
          <w:tcPr>
            <w:tcW w:w="421" w:type="pct"/>
            <w:tcBorders>
              <w:top w:val="single" w:color="auto" w:sz="4" w:space="0"/>
            </w:tcBorders>
            <w:vAlign w:val="center"/>
          </w:tcPr>
          <w:p w14:paraId="74494090">
            <w:pPr>
              <w:jc w:val="center"/>
              <w:rPr>
                <w:rFonts w:ascii="宋体" w:hAnsi="宋体" w:cs="宋体"/>
                <w:szCs w:val="21"/>
              </w:rPr>
            </w:pPr>
          </w:p>
        </w:tc>
        <w:tc>
          <w:tcPr>
            <w:tcW w:w="1113" w:type="pct"/>
            <w:gridSpan w:val="2"/>
            <w:tcBorders>
              <w:top w:val="single" w:color="auto" w:sz="4" w:space="0"/>
            </w:tcBorders>
            <w:vAlign w:val="center"/>
          </w:tcPr>
          <w:p w14:paraId="23B035EC">
            <w:pPr>
              <w:jc w:val="center"/>
              <w:rPr>
                <w:rFonts w:ascii="宋体" w:hAnsi="宋体" w:cs="宋体"/>
                <w:szCs w:val="21"/>
              </w:rPr>
            </w:pPr>
          </w:p>
        </w:tc>
        <w:tc>
          <w:tcPr>
            <w:tcW w:w="838" w:type="pct"/>
            <w:tcBorders>
              <w:top w:val="single" w:color="auto" w:sz="4" w:space="0"/>
            </w:tcBorders>
            <w:vAlign w:val="center"/>
          </w:tcPr>
          <w:p w14:paraId="4FC6D5A7">
            <w:pPr>
              <w:jc w:val="center"/>
              <w:rPr>
                <w:rFonts w:ascii="宋体" w:hAnsi="宋体" w:cs="宋体"/>
                <w:szCs w:val="21"/>
              </w:rPr>
            </w:pPr>
          </w:p>
        </w:tc>
        <w:tc>
          <w:tcPr>
            <w:tcW w:w="832" w:type="pct"/>
            <w:tcBorders>
              <w:top w:val="single" w:color="auto" w:sz="4" w:space="0"/>
            </w:tcBorders>
            <w:vAlign w:val="center"/>
          </w:tcPr>
          <w:p w14:paraId="70B7A5D8">
            <w:pPr>
              <w:jc w:val="center"/>
              <w:rPr>
                <w:rFonts w:ascii="宋体" w:hAnsi="宋体" w:cs="宋体"/>
                <w:szCs w:val="21"/>
              </w:rPr>
            </w:pPr>
          </w:p>
        </w:tc>
      </w:tr>
      <w:tr w14:paraId="6B660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797408AF">
            <w:pPr>
              <w:jc w:val="center"/>
              <w:rPr>
                <w:rFonts w:ascii="宋体" w:hAnsi="宋体" w:cs="宋体"/>
                <w:szCs w:val="21"/>
              </w:rPr>
            </w:pPr>
            <w:r>
              <w:rPr>
                <w:rFonts w:hint="eastAsia" w:ascii="宋体" w:hAnsi="宋体" w:cs="宋体"/>
                <w:szCs w:val="21"/>
              </w:rPr>
              <w:t>4</w:t>
            </w:r>
          </w:p>
        </w:tc>
        <w:tc>
          <w:tcPr>
            <w:tcW w:w="1384" w:type="pct"/>
            <w:gridSpan w:val="2"/>
            <w:vAlign w:val="center"/>
          </w:tcPr>
          <w:p w14:paraId="33180096">
            <w:pPr>
              <w:jc w:val="center"/>
              <w:rPr>
                <w:rFonts w:ascii="宋体" w:hAnsi="宋体" w:cs="宋体"/>
                <w:szCs w:val="21"/>
              </w:rPr>
            </w:pPr>
            <w:r>
              <w:rPr>
                <w:rFonts w:hint="eastAsia" w:ascii="宋体" w:hAnsi="宋体" w:cs="宋体"/>
                <w:szCs w:val="21"/>
              </w:rPr>
              <w:t>主要技术人员</w:t>
            </w:r>
          </w:p>
        </w:tc>
        <w:tc>
          <w:tcPr>
            <w:tcW w:w="421" w:type="pct"/>
            <w:vAlign w:val="center"/>
          </w:tcPr>
          <w:p w14:paraId="27E6C124">
            <w:pPr>
              <w:jc w:val="center"/>
              <w:rPr>
                <w:rFonts w:ascii="宋体" w:hAnsi="宋体" w:cs="宋体"/>
                <w:szCs w:val="21"/>
              </w:rPr>
            </w:pPr>
          </w:p>
        </w:tc>
        <w:tc>
          <w:tcPr>
            <w:tcW w:w="1113" w:type="pct"/>
            <w:gridSpan w:val="2"/>
            <w:vAlign w:val="center"/>
          </w:tcPr>
          <w:p w14:paraId="5F10745A">
            <w:pPr>
              <w:jc w:val="center"/>
              <w:rPr>
                <w:rFonts w:ascii="宋体" w:hAnsi="宋体" w:cs="宋体"/>
                <w:szCs w:val="21"/>
              </w:rPr>
            </w:pPr>
          </w:p>
        </w:tc>
        <w:tc>
          <w:tcPr>
            <w:tcW w:w="838" w:type="pct"/>
            <w:vAlign w:val="center"/>
          </w:tcPr>
          <w:p w14:paraId="6780F062">
            <w:pPr>
              <w:jc w:val="center"/>
              <w:rPr>
                <w:rFonts w:ascii="宋体" w:hAnsi="宋体" w:cs="宋体"/>
                <w:szCs w:val="21"/>
              </w:rPr>
            </w:pPr>
          </w:p>
        </w:tc>
        <w:tc>
          <w:tcPr>
            <w:tcW w:w="832" w:type="pct"/>
            <w:vAlign w:val="center"/>
          </w:tcPr>
          <w:p w14:paraId="6A2DA197">
            <w:pPr>
              <w:jc w:val="center"/>
              <w:rPr>
                <w:rFonts w:ascii="宋体" w:hAnsi="宋体" w:cs="宋体"/>
                <w:szCs w:val="21"/>
              </w:rPr>
            </w:pPr>
          </w:p>
        </w:tc>
      </w:tr>
      <w:tr w14:paraId="326D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1E44DC44">
            <w:pPr>
              <w:jc w:val="center"/>
              <w:rPr>
                <w:rFonts w:ascii="宋体" w:hAnsi="宋体" w:cs="宋体"/>
                <w:szCs w:val="21"/>
              </w:rPr>
            </w:pPr>
            <w:r>
              <w:rPr>
                <w:rFonts w:hint="eastAsia" w:ascii="宋体" w:hAnsi="宋体" w:cs="宋体"/>
                <w:szCs w:val="21"/>
              </w:rPr>
              <w:t>5</w:t>
            </w:r>
          </w:p>
        </w:tc>
        <w:tc>
          <w:tcPr>
            <w:tcW w:w="1384" w:type="pct"/>
            <w:gridSpan w:val="2"/>
            <w:vAlign w:val="center"/>
          </w:tcPr>
          <w:p w14:paraId="43A6D900">
            <w:pPr>
              <w:snapToGrid w:val="0"/>
              <w:jc w:val="center"/>
              <w:rPr>
                <w:rFonts w:ascii="宋体" w:hAnsi="宋体" w:cs="宋体"/>
                <w:szCs w:val="21"/>
              </w:rPr>
            </w:pPr>
            <w:r>
              <w:rPr>
                <w:rFonts w:hint="eastAsia" w:ascii="宋体" w:hAnsi="宋体" w:cs="宋体"/>
                <w:szCs w:val="21"/>
              </w:rPr>
              <w:t>投标文件编制人员</w:t>
            </w:r>
          </w:p>
        </w:tc>
        <w:tc>
          <w:tcPr>
            <w:tcW w:w="421" w:type="pct"/>
            <w:vAlign w:val="center"/>
          </w:tcPr>
          <w:p w14:paraId="69F21487">
            <w:pPr>
              <w:jc w:val="center"/>
              <w:rPr>
                <w:rFonts w:ascii="宋体" w:hAnsi="宋体" w:cs="宋体"/>
                <w:szCs w:val="21"/>
              </w:rPr>
            </w:pPr>
          </w:p>
        </w:tc>
        <w:tc>
          <w:tcPr>
            <w:tcW w:w="1113" w:type="pct"/>
            <w:gridSpan w:val="2"/>
            <w:vAlign w:val="center"/>
          </w:tcPr>
          <w:p w14:paraId="06B0BBBE">
            <w:pPr>
              <w:jc w:val="center"/>
              <w:rPr>
                <w:rFonts w:ascii="宋体" w:hAnsi="宋体" w:cs="宋体"/>
                <w:szCs w:val="21"/>
              </w:rPr>
            </w:pPr>
          </w:p>
        </w:tc>
        <w:tc>
          <w:tcPr>
            <w:tcW w:w="838" w:type="pct"/>
            <w:vAlign w:val="center"/>
          </w:tcPr>
          <w:p w14:paraId="2D09235D">
            <w:pPr>
              <w:jc w:val="center"/>
              <w:rPr>
                <w:rFonts w:ascii="宋体" w:hAnsi="宋体" w:cs="宋体"/>
                <w:szCs w:val="21"/>
              </w:rPr>
            </w:pPr>
          </w:p>
        </w:tc>
        <w:tc>
          <w:tcPr>
            <w:tcW w:w="832" w:type="pct"/>
            <w:vAlign w:val="center"/>
          </w:tcPr>
          <w:p w14:paraId="28DE4254">
            <w:pPr>
              <w:jc w:val="center"/>
              <w:rPr>
                <w:rFonts w:ascii="宋体" w:hAnsi="宋体" w:cs="宋体"/>
                <w:szCs w:val="21"/>
              </w:rPr>
            </w:pPr>
          </w:p>
        </w:tc>
      </w:tr>
      <w:tr w14:paraId="38E7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268B9651">
            <w:pPr>
              <w:rPr>
                <w:rFonts w:ascii="宋体" w:hAnsi="宋体" w:cs="宋体"/>
                <w:szCs w:val="21"/>
              </w:rPr>
            </w:pPr>
            <w:r>
              <w:rPr>
                <w:rFonts w:hint="eastAsia" w:ascii="宋体" w:hAnsi="宋体" w:cs="宋体"/>
                <w:b/>
                <w:bCs/>
                <w:szCs w:val="21"/>
              </w:rPr>
              <w:t>说明：同一职务有多人担任（如主要技术人员），应分行填写。</w:t>
            </w:r>
          </w:p>
        </w:tc>
      </w:tr>
      <w:tr w14:paraId="353B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2BBC75BE">
            <w:pPr>
              <w:jc w:val="center"/>
              <w:rPr>
                <w:rFonts w:ascii="宋体" w:hAnsi="宋体" w:cs="宋体"/>
                <w:b/>
                <w:bCs/>
                <w:szCs w:val="21"/>
              </w:rPr>
            </w:pPr>
            <w:r>
              <w:rPr>
                <w:rFonts w:hint="eastAsia" w:ascii="宋体" w:hAnsi="宋体" w:cs="宋体"/>
                <w:b/>
                <w:bCs/>
                <w:szCs w:val="21"/>
              </w:rPr>
              <w:t>投标（响应）供应商关联关系情况</w:t>
            </w:r>
          </w:p>
        </w:tc>
      </w:tr>
      <w:tr w14:paraId="3AE8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0415A4E1">
            <w:pPr>
              <w:jc w:val="center"/>
              <w:rPr>
                <w:rFonts w:ascii="宋体" w:hAnsi="宋体" w:cs="宋体"/>
                <w:szCs w:val="21"/>
              </w:rPr>
            </w:pPr>
            <w:r>
              <w:rPr>
                <w:rFonts w:hint="eastAsia" w:ascii="宋体" w:hAnsi="宋体" w:cs="宋体"/>
                <w:szCs w:val="21"/>
              </w:rPr>
              <w:t>序号</w:t>
            </w:r>
          </w:p>
        </w:tc>
        <w:tc>
          <w:tcPr>
            <w:tcW w:w="1384" w:type="pct"/>
            <w:gridSpan w:val="2"/>
            <w:tcBorders>
              <w:bottom w:val="single" w:color="auto" w:sz="4" w:space="0"/>
            </w:tcBorders>
            <w:vAlign w:val="center"/>
          </w:tcPr>
          <w:p w14:paraId="65E16765">
            <w:pPr>
              <w:jc w:val="center"/>
              <w:rPr>
                <w:rFonts w:ascii="宋体" w:hAnsi="宋体" w:cs="宋体"/>
                <w:szCs w:val="21"/>
              </w:rPr>
            </w:pPr>
            <w:r>
              <w:rPr>
                <w:rFonts w:hint="eastAsia" w:ascii="宋体" w:hAnsi="宋体" w:cs="宋体"/>
                <w:szCs w:val="21"/>
              </w:rPr>
              <w:t>关联关系类型</w:t>
            </w:r>
          </w:p>
        </w:tc>
        <w:tc>
          <w:tcPr>
            <w:tcW w:w="862" w:type="pct"/>
            <w:gridSpan w:val="2"/>
            <w:tcBorders>
              <w:bottom w:val="single" w:color="auto" w:sz="4" w:space="0"/>
            </w:tcBorders>
            <w:vAlign w:val="center"/>
          </w:tcPr>
          <w:p w14:paraId="30AF063E">
            <w:pPr>
              <w:jc w:val="center"/>
              <w:rPr>
                <w:rFonts w:ascii="宋体" w:hAnsi="宋体" w:cs="宋体"/>
                <w:szCs w:val="21"/>
              </w:rPr>
            </w:pPr>
            <w:r>
              <w:rPr>
                <w:rFonts w:hint="eastAsia" w:ascii="宋体" w:hAnsi="宋体" w:cs="宋体"/>
                <w:szCs w:val="21"/>
              </w:rPr>
              <w:t>关联主体名称</w:t>
            </w:r>
          </w:p>
        </w:tc>
        <w:tc>
          <w:tcPr>
            <w:tcW w:w="2342" w:type="pct"/>
            <w:gridSpan w:val="3"/>
            <w:tcBorders>
              <w:bottom w:val="single" w:color="auto" w:sz="4" w:space="0"/>
            </w:tcBorders>
            <w:vAlign w:val="center"/>
          </w:tcPr>
          <w:p w14:paraId="3010B430">
            <w:pPr>
              <w:jc w:val="center"/>
              <w:rPr>
                <w:rFonts w:ascii="宋体" w:hAnsi="宋体" w:cs="宋体"/>
                <w:szCs w:val="21"/>
              </w:rPr>
            </w:pPr>
            <w:r>
              <w:rPr>
                <w:rFonts w:hint="eastAsia" w:ascii="宋体" w:hAnsi="宋体" w:cs="宋体"/>
                <w:szCs w:val="21"/>
              </w:rPr>
              <w:t>备注</w:t>
            </w:r>
          </w:p>
        </w:tc>
      </w:tr>
      <w:tr w14:paraId="3CCD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2BE17427">
            <w:pPr>
              <w:jc w:val="center"/>
              <w:rPr>
                <w:rFonts w:ascii="宋体" w:hAnsi="宋体" w:cs="宋体"/>
                <w:szCs w:val="21"/>
              </w:rPr>
            </w:pPr>
            <w:r>
              <w:rPr>
                <w:rFonts w:hint="eastAsia" w:ascii="宋体" w:hAnsi="宋体" w:cs="宋体"/>
                <w:szCs w:val="21"/>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580E510A">
            <w:pPr>
              <w:jc w:val="center"/>
              <w:rPr>
                <w:rFonts w:ascii="宋体" w:hAnsi="宋体" w:cs="宋体"/>
                <w:szCs w:val="21"/>
              </w:rPr>
            </w:pPr>
            <w:r>
              <w:rPr>
                <w:rFonts w:hint="eastAsia" w:ascii="宋体" w:hAnsi="宋体" w:cs="宋体"/>
                <w:szCs w:val="21"/>
              </w:rPr>
              <w:t>控股股东</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00F2A618">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43E0F2EA">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18A9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14:paraId="1F9BF532">
            <w:pPr>
              <w:jc w:val="center"/>
              <w:rPr>
                <w:rFonts w:ascii="宋体" w:hAnsi="宋体" w:cs="宋体"/>
                <w:szCs w:val="21"/>
              </w:rPr>
            </w:pPr>
            <w:r>
              <w:rPr>
                <w:rFonts w:hint="eastAsia" w:ascii="宋体" w:hAnsi="宋体" w:cs="宋体"/>
                <w:szCs w:val="21"/>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64CBD8CF">
            <w:pPr>
              <w:jc w:val="center"/>
              <w:rPr>
                <w:rFonts w:ascii="宋体" w:hAnsi="宋体" w:cs="宋体"/>
                <w:szCs w:val="21"/>
              </w:rPr>
            </w:pPr>
            <w:r>
              <w:rPr>
                <w:rFonts w:hint="eastAsia" w:ascii="宋体" w:hAnsi="宋体" w:cs="宋体"/>
                <w:szCs w:val="21"/>
              </w:rPr>
              <w:t>管理关系</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60DBA034">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20604CC8">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5A99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EE510BF">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7129CB2C">
      <w:pPr>
        <w:pStyle w:val="59"/>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35FE22AA">
      <w:pPr>
        <w:rPr>
          <w:rFonts w:ascii="黑体" w:eastAsia="黑体"/>
          <w:sz w:val="24"/>
        </w:rPr>
      </w:pPr>
    </w:p>
    <w:p w14:paraId="5F5D9D0B">
      <w:pPr>
        <w:pStyle w:val="3"/>
        <w:rPr>
          <w:rFonts w:ascii="黑体" w:eastAsia="黑体"/>
          <w:b w:val="0"/>
        </w:rPr>
      </w:pPr>
      <w:r>
        <w:rPr>
          <w:rFonts w:hint="eastAsia" w:ascii="黑体" w:eastAsia="黑体"/>
          <w:b w:val="0"/>
        </w:rPr>
        <w:t>二、</w:t>
      </w:r>
      <w:bookmarkStart w:id="41" w:name="_Hlk72092499"/>
      <w:r>
        <w:rPr>
          <w:rFonts w:hint="eastAsia" w:ascii="黑体" w:eastAsia="黑体"/>
          <w:b w:val="0"/>
        </w:rPr>
        <w:t>法定代表人（负责人）证明书</w:t>
      </w:r>
      <w:bookmarkEnd w:id="41"/>
    </w:p>
    <w:p w14:paraId="5D90D5CD">
      <w:pPr>
        <w:rPr>
          <w:sz w:val="24"/>
        </w:rPr>
      </w:pPr>
    </w:p>
    <w:p w14:paraId="1FC65C40">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3EBFF98E">
      <w:pPr>
        <w:spacing w:line="360" w:lineRule="auto"/>
        <w:ind w:firstLine="422" w:firstLineChars="200"/>
        <w:rPr>
          <w:b/>
          <w:bCs/>
          <w:color w:val="FF0000"/>
          <w:szCs w:val="21"/>
        </w:rPr>
      </w:pPr>
      <w:r>
        <w:rPr>
          <w:rFonts w:hint="eastAsia"/>
          <w:b/>
          <w:bCs/>
          <w:color w:val="FF0000"/>
          <w:szCs w:val="21"/>
        </w:rPr>
        <w:t>特此证明。</w:t>
      </w:r>
    </w:p>
    <w:p w14:paraId="4AE7F2DE">
      <w:pPr>
        <w:spacing w:line="360" w:lineRule="auto"/>
        <w:ind w:firstLine="422" w:firstLineChars="200"/>
        <w:rPr>
          <w:b/>
          <w:bCs/>
          <w:color w:val="FF0000"/>
          <w:szCs w:val="21"/>
        </w:rPr>
      </w:pPr>
      <w:r>
        <w:rPr>
          <w:rFonts w:hint="eastAsia"/>
          <w:b/>
          <w:bCs/>
          <w:color w:val="FF0000"/>
          <w:szCs w:val="21"/>
        </w:rPr>
        <w:t>说明：1、法定代表人为投标人（企业事业单位、国家机关、社会团体）的主要行政负责人。</w:t>
      </w:r>
    </w:p>
    <w:p w14:paraId="339AB07C">
      <w:pPr>
        <w:numPr>
          <w:ilvl w:val="0"/>
          <w:numId w:val="10"/>
        </w:numPr>
        <w:spacing w:line="360" w:lineRule="auto"/>
        <w:ind w:firstLine="422" w:firstLineChars="200"/>
        <w:rPr>
          <w:b/>
          <w:bCs/>
          <w:color w:val="FF0000"/>
          <w:szCs w:val="21"/>
        </w:rPr>
      </w:pPr>
      <w:r>
        <w:rPr>
          <w:rFonts w:hint="eastAsia"/>
          <w:b/>
          <w:bCs/>
          <w:color w:val="FF0000"/>
          <w:szCs w:val="21"/>
        </w:rPr>
        <w:t>本证明书</w:t>
      </w:r>
      <w:r>
        <w:rPr>
          <w:rFonts w:hint="eastAsia"/>
          <w:b/>
          <w:bCs/>
          <w:color w:val="FF0000"/>
          <w:szCs w:val="21"/>
          <w:lang w:val="en-US"/>
        </w:rPr>
        <w:t>需提</w:t>
      </w:r>
      <w:r>
        <w:rPr>
          <w:rFonts w:hint="eastAsia"/>
          <w:b/>
          <w:bCs/>
          <w:color w:val="FF0000"/>
          <w:szCs w:val="21"/>
        </w:rPr>
        <w:t>供法定代表人（负责人）相关身份证明文件：身份证扫描件（正反两面）；港澳台居民可提供来往通行证扫描件；非中国国籍管辖范围人员，可提供公安部门认可的身份证明材料扫描件。</w:t>
      </w:r>
    </w:p>
    <w:p w14:paraId="27858AAD">
      <w:pPr>
        <w:numPr>
          <w:ilvl w:val="0"/>
          <w:numId w:val="10"/>
        </w:numPr>
        <w:spacing w:line="360" w:lineRule="auto"/>
        <w:ind w:firstLine="422" w:firstLineChars="200"/>
        <w:rPr>
          <w:b/>
          <w:bCs/>
          <w:color w:val="FF0000"/>
          <w:szCs w:val="21"/>
        </w:rPr>
      </w:pPr>
      <w:r>
        <w:rPr>
          <w:rFonts w:hint="eastAsia"/>
          <w:b/>
          <w:bCs/>
          <w:color w:val="FF0000"/>
          <w:szCs w:val="21"/>
        </w:rPr>
        <w:t>本项目投标授权代表为法定代表人（负责人）的，无需提供《投标文件签署授权委托书》。</w:t>
      </w:r>
    </w:p>
    <w:p w14:paraId="3200D339">
      <w:pPr>
        <w:numPr>
          <w:ilvl w:val="0"/>
          <w:numId w:val="10"/>
        </w:numPr>
        <w:spacing w:line="360" w:lineRule="auto"/>
        <w:ind w:firstLine="422" w:firstLineChars="200"/>
        <w:rPr>
          <w:b/>
          <w:bCs/>
          <w:color w:val="FF0000"/>
          <w:szCs w:val="21"/>
        </w:rPr>
      </w:pPr>
      <w:r>
        <w:rPr>
          <w:rFonts w:hint="eastAsia"/>
          <w:b/>
          <w:bCs/>
          <w:color w:val="FF0000"/>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890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50945C97">
            <w:pPr>
              <w:jc w:val="center"/>
            </w:pPr>
            <w:r>
              <w:rPr>
                <w:rFonts w:hint="eastAsia"/>
              </w:rPr>
              <w:t>证件扫描件正面</w:t>
            </w:r>
          </w:p>
          <w:p w14:paraId="09220B23">
            <w:pPr>
              <w:pStyle w:val="18"/>
            </w:pPr>
          </w:p>
          <w:p w14:paraId="79EA4E6A">
            <w:pPr>
              <w:pStyle w:val="35"/>
            </w:pPr>
          </w:p>
          <w:p w14:paraId="067FB825">
            <w:pPr>
              <w:pStyle w:val="35"/>
            </w:pPr>
          </w:p>
          <w:p w14:paraId="2080E819">
            <w:pPr>
              <w:pStyle w:val="35"/>
            </w:pPr>
          </w:p>
        </w:tc>
        <w:tc>
          <w:tcPr>
            <w:tcW w:w="4265" w:type="dxa"/>
          </w:tcPr>
          <w:p w14:paraId="54E0EB18">
            <w:pPr>
              <w:jc w:val="center"/>
            </w:pPr>
            <w:r>
              <w:rPr>
                <w:rFonts w:hint="eastAsia"/>
              </w:rPr>
              <w:t>证件扫描件反面</w:t>
            </w:r>
          </w:p>
          <w:p w14:paraId="7315DF8A">
            <w:pPr>
              <w:pStyle w:val="18"/>
              <w:jc w:val="center"/>
            </w:pPr>
          </w:p>
          <w:p w14:paraId="40F2DCE4">
            <w:pPr>
              <w:pStyle w:val="35"/>
              <w:jc w:val="center"/>
            </w:pPr>
          </w:p>
        </w:tc>
      </w:tr>
    </w:tbl>
    <w:p w14:paraId="4E012F61">
      <w:pPr>
        <w:pStyle w:val="59"/>
        <w:rPr>
          <w:rFonts w:ascii="黑体" w:hAnsi="黑体" w:eastAsia="黑体" w:cs="黑体"/>
          <w:b/>
          <w:bCs/>
          <w:sz w:val="24"/>
          <w:szCs w:val="24"/>
        </w:rPr>
      </w:pPr>
    </w:p>
    <w:p w14:paraId="6D16C599">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61580456">
      <w:pPr>
        <w:rPr>
          <w:sz w:val="24"/>
        </w:rPr>
      </w:pPr>
    </w:p>
    <w:p w14:paraId="1BDCF889">
      <w:pPr>
        <w:rPr>
          <w:rFonts w:ascii="黑体" w:eastAsia="黑体"/>
          <w:sz w:val="24"/>
        </w:rPr>
      </w:pPr>
      <w:r>
        <w:rPr>
          <w:rFonts w:hint="eastAsia" w:ascii="黑体" w:eastAsia="黑体"/>
          <w:sz w:val="24"/>
        </w:rPr>
        <w:br w:type="page"/>
      </w:r>
    </w:p>
    <w:p w14:paraId="1EE2D314">
      <w:pPr>
        <w:pStyle w:val="3"/>
        <w:spacing w:before="120" w:after="120"/>
        <w:rPr>
          <w:rFonts w:ascii="黑体" w:eastAsia="黑体"/>
          <w:b w:val="0"/>
        </w:rPr>
      </w:pPr>
      <w:r>
        <w:rPr>
          <w:rFonts w:hint="eastAsia" w:ascii="黑体" w:eastAsia="黑体"/>
          <w:b w:val="0"/>
        </w:rPr>
        <w:t>三、投标文件签署授权委托书</w:t>
      </w:r>
    </w:p>
    <w:p w14:paraId="27512424">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5C7BE997">
      <w:pPr>
        <w:spacing w:line="360" w:lineRule="auto"/>
        <w:ind w:firstLine="420" w:firstLineChars="200"/>
        <w:rPr>
          <w:szCs w:val="21"/>
        </w:rPr>
      </w:pPr>
      <w:r>
        <w:rPr>
          <w:rFonts w:hint="eastAsia"/>
          <w:szCs w:val="21"/>
        </w:rPr>
        <w:t>代理人无转委托权，特此委托。</w:t>
      </w:r>
    </w:p>
    <w:p w14:paraId="0E281344">
      <w:pPr>
        <w:spacing w:line="360" w:lineRule="auto"/>
        <w:ind w:firstLine="420" w:firstLineChars="200"/>
        <w:rPr>
          <w:szCs w:val="21"/>
        </w:rPr>
      </w:pPr>
    </w:p>
    <w:p w14:paraId="3BB2EBDA">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78153076">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913B98B">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5B419FB3">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6B5735D8">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B9F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4" w:type="dxa"/>
          </w:tcPr>
          <w:p w14:paraId="50E528FB">
            <w:pPr>
              <w:jc w:val="center"/>
            </w:pPr>
            <w:r>
              <w:rPr>
                <w:rFonts w:hint="eastAsia"/>
              </w:rPr>
              <w:t>证件扫描件正面</w:t>
            </w:r>
          </w:p>
          <w:p w14:paraId="2429121C">
            <w:pPr>
              <w:pStyle w:val="18"/>
            </w:pPr>
          </w:p>
          <w:p w14:paraId="045E3DC6">
            <w:pPr>
              <w:pStyle w:val="35"/>
            </w:pPr>
          </w:p>
          <w:p w14:paraId="33D02B9B">
            <w:pPr>
              <w:pStyle w:val="35"/>
            </w:pPr>
          </w:p>
          <w:p w14:paraId="53CAB929">
            <w:pPr>
              <w:pStyle w:val="35"/>
            </w:pPr>
          </w:p>
        </w:tc>
        <w:tc>
          <w:tcPr>
            <w:tcW w:w="4265" w:type="dxa"/>
          </w:tcPr>
          <w:p w14:paraId="6B72D78F">
            <w:pPr>
              <w:jc w:val="center"/>
            </w:pPr>
            <w:r>
              <w:rPr>
                <w:rFonts w:hint="eastAsia"/>
              </w:rPr>
              <w:t>证件扫描件反面</w:t>
            </w:r>
          </w:p>
          <w:p w14:paraId="5E0A18E6">
            <w:pPr>
              <w:pStyle w:val="18"/>
              <w:jc w:val="center"/>
            </w:pPr>
          </w:p>
          <w:p w14:paraId="35A3890A">
            <w:pPr>
              <w:pStyle w:val="35"/>
              <w:jc w:val="center"/>
            </w:pPr>
          </w:p>
        </w:tc>
      </w:tr>
    </w:tbl>
    <w:p w14:paraId="62FD5F3B">
      <w:pPr>
        <w:pStyle w:val="59"/>
        <w:rPr>
          <w:rFonts w:ascii="黑体" w:hAnsi="黑体" w:eastAsia="黑体" w:cs="黑体"/>
          <w:b/>
          <w:bCs/>
          <w:sz w:val="24"/>
          <w:szCs w:val="24"/>
        </w:rPr>
      </w:pPr>
    </w:p>
    <w:p w14:paraId="53872C76">
      <w:pPr>
        <w:pStyle w:val="59"/>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081B0BF3"/>
    <w:p w14:paraId="3F0BE530">
      <w:pPr>
        <w:rPr>
          <w:rFonts w:ascii="黑体" w:eastAsia="黑体"/>
          <w:kern w:val="0"/>
          <w:sz w:val="24"/>
        </w:rPr>
      </w:pPr>
      <w:r>
        <w:rPr>
          <w:rFonts w:hint="eastAsia" w:ascii="黑体" w:eastAsia="黑体"/>
          <w:kern w:val="0"/>
          <w:sz w:val="24"/>
        </w:rPr>
        <w:br w:type="page"/>
      </w:r>
    </w:p>
    <w:p w14:paraId="31BCC95D">
      <w:pPr>
        <w:jc w:val="center"/>
        <w:rPr>
          <w:rFonts w:ascii="黑体" w:eastAsia="黑体"/>
          <w:sz w:val="24"/>
        </w:rPr>
      </w:pPr>
      <w:r>
        <w:rPr>
          <w:rFonts w:hint="eastAsia" w:ascii="黑体" w:eastAsia="黑体"/>
          <w:kern w:val="0"/>
          <w:sz w:val="24"/>
        </w:rPr>
        <w:t>四、</w:t>
      </w:r>
      <w:r>
        <w:rPr>
          <w:rFonts w:hint="eastAsia" w:ascii="黑体" w:eastAsia="黑体"/>
          <w:sz w:val="24"/>
        </w:rPr>
        <w:t>项目详细报价</w:t>
      </w:r>
    </w:p>
    <w:p w14:paraId="6CA85C35">
      <w:pPr>
        <w:pStyle w:val="18"/>
      </w:pPr>
    </w:p>
    <w:p w14:paraId="06CA5811">
      <w:pPr>
        <w:spacing w:line="360" w:lineRule="auto"/>
        <w:jc w:val="center"/>
        <w:rPr>
          <w:sz w:val="24"/>
        </w:rPr>
      </w:pPr>
      <w:r>
        <w:rPr>
          <w:rFonts w:hint="eastAsia"/>
          <w:b/>
          <w:bCs/>
          <w:sz w:val="24"/>
        </w:rPr>
        <w:t>（一）</w:t>
      </w:r>
      <w:r>
        <w:rPr>
          <w:rFonts w:hint="eastAsia"/>
          <w:b/>
          <w:sz w:val="24"/>
        </w:rPr>
        <w:t>分项报价表</w:t>
      </w:r>
    </w:p>
    <w:tbl>
      <w:tblPr>
        <w:tblStyle w:val="42"/>
        <w:tblW w:w="790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625"/>
        <w:gridCol w:w="2034"/>
      </w:tblGrid>
      <w:tr w14:paraId="38EA4B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246" w:type="dxa"/>
            <w:tcBorders>
              <w:top w:val="double" w:color="auto" w:sz="4" w:space="0"/>
              <w:bottom w:val="single" w:color="auto" w:sz="4" w:space="0"/>
            </w:tcBorders>
            <w:vAlign w:val="center"/>
          </w:tcPr>
          <w:p w14:paraId="719E0E3C">
            <w:pPr>
              <w:widowControl/>
              <w:adjustRightInd w:val="0"/>
              <w:snapToGrid w:val="0"/>
              <w:spacing w:line="300" w:lineRule="auto"/>
              <w:jc w:val="center"/>
              <w:rPr>
                <w:rFonts w:ascii="宋体" w:hAnsi="宋体"/>
                <w:snapToGrid w:val="0"/>
                <w:kern w:val="0"/>
                <w:sz w:val="24"/>
                <w:szCs w:val="21"/>
              </w:rPr>
            </w:pPr>
            <w:r>
              <w:rPr>
                <w:rFonts w:hint="eastAsia" w:ascii="宋体" w:hAnsi="宋体"/>
                <w:snapToGrid w:val="0"/>
                <w:kern w:val="0"/>
                <w:sz w:val="24"/>
                <w:szCs w:val="21"/>
              </w:rPr>
              <w:t>项目名称</w:t>
            </w:r>
          </w:p>
        </w:tc>
        <w:tc>
          <w:tcPr>
            <w:tcW w:w="2625" w:type="dxa"/>
            <w:tcBorders>
              <w:top w:val="double" w:color="auto" w:sz="4" w:space="0"/>
              <w:bottom w:val="single" w:color="auto" w:sz="4" w:space="0"/>
            </w:tcBorders>
            <w:vAlign w:val="center"/>
          </w:tcPr>
          <w:p w14:paraId="0C3EAA94">
            <w:pPr>
              <w:widowControl/>
              <w:adjustRightInd w:val="0"/>
              <w:snapToGrid w:val="0"/>
              <w:spacing w:line="300" w:lineRule="auto"/>
              <w:jc w:val="center"/>
              <w:rPr>
                <w:rFonts w:hint="eastAsia" w:ascii="宋体" w:hAnsi="宋体" w:eastAsia="宋体"/>
                <w:snapToGrid w:val="0"/>
                <w:kern w:val="0"/>
                <w:sz w:val="24"/>
                <w:szCs w:val="21"/>
                <w:lang w:eastAsia="zh-CN"/>
              </w:rPr>
            </w:pPr>
            <w:r>
              <w:rPr>
                <w:rFonts w:hint="eastAsia" w:ascii="宋体" w:hAnsi="宋体"/>
                <w:snapToGrid w:val="0"/>
                <w:kern w:val="0"/>
                <w:sz w:val="24"/>
                <w:szCs w:val="21"/>
                <w:lang w:val="en-US" w:eastAsia="zh-CN"/>
              </w:rPr>
              <w:t>折扣率</w:t>
            </w:r>
          </w:p>
        </w:tc>
        <w:tc>
          <w:tcPr>
            <w:tcW w:w="2034" w:type="dxa"/>
            <w:tcBorders>
              <w:top w:val="double" w:color="auto" w:sz="4" w:space="0"/>
              <w:bottom w:val="single" w:color="auto" w:sz="4" w:space="0"/>
            </w:tcBorders>
            <w:vAlign w:val="center"/>
          </w:tcPr>
          <w:p w14:paraId="21AE9143">
            <w:pPr>
              <w:widowControl/>
              <w:adjustRightInd w:val="0"/>
              <w:snapToGrid w:val="0"/>
              <w:spacing w:line="300" w:lineRule="auto"/>
              <w:jc w:val="center"/>
              <w:rPr>
                <w:rFonts w:ascii="宋体" w:hAnsi="宋体"/>
                <w:snapToGrid w:val="0"/>
                <w:kern w:val="0"/>
                <w:sz w:val="24"/>
                <w:szCs w:val="21"/>
              </w:rPr>
            </w:pPr>
            <w:r>
              <w:rPr>
                <w:rFonts w:hint="eastAsia" w:ascii="宋体" w:hAnsi="宋体"/>
                <w:snapToGrid w:val="0"/>
                <w:kern w:val="0"/>
                <w:sz w:val="24"/>
                <w:szCs w:val="21"/>
              </w:rPr>
              <w:t>备注</w:t>
            </w:r>
          </w:p>
        </w:tc>
      </w:tr>
      <w:tr w14:paraId="50816E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3246" w:type="dxa"/>
            <w:tcBorders>
              <w:top w:val="single" w:color="auto" w:sz="4" w:space="0"/>
            </w:tcBorders>
            <w:vAlign w:val="center"/>
          </w:tcPr>
          <w:p w14:paraId="30FFFE94">
            <w:pPr>
              <w:widowControl/>
              <w:adjustRightInd w:val="0"/>
              <w:snapToGrid w:val="0"/>
              <w:spacing w:line="300" w:lineRule="auto"/>
              <w:jc w:val="center"/>
              <w:rPr>
                <w:rFonts w:ascii="宋体" w:hAnsi="宋体"/>
                <w:snapToGrid w:val="0"/>
                <w:kern w:val="0"/>
                <w:sz w:val="24"/>
                <w:szCs w:val="21"/>
                <w:u w:val="single"/>
              </w:rPr>
            </w:pPr>
          </w:p>
        </w:tc>
        <w:tc>
          <w:tcPr>
            <w:tcW w:w="2625" w:type="dxa"/>
            <w:tcBorders>
              <w:top w:val="single" w:color="auto" w:sz="4" w:space="0"/>
            </w:tcBorders>
            <w:vAlign w:val="center"/>
          </w:tcPr>
          <w:p w14:paraId="550AA9F1">
            <w:pPr>
              <w:widowControl/>
              <w:adjustRightInd w:val="0"/>
              <w:snapToGrid w:val="0"/>
              <w:spacing w:line="300" w:lineRule="auto"/>
              <w:jc w:val="center"/>
            </w:pPr>
          </w:p>
        </w:tc>
        <w:tc>
          <w:tcPr>
            <w:tcW w:w="2034" w:type="dxa"/>
            <w:tcBorders>
              <w:top w:val="single" w:color="auto" w:sz="4" w:space="0"/>
            </w:tcBorders>
            <w:vAlign w:val="center"/>
          </w:tcPr>
          <w:p w14:paraId="2868B87B">
            <w:pPr>
              <w:widowControl/>
              <w:adjustRightInd w:val="0"/>
              <w:snapToGrid w:val="0"/>
              <w:spacing w:line="300" w:lineRule="auto"/>
              <w:jc w:val="center"/>
              <w:rPr>
                <w:rFonts w:ascii="宋体" w:hAnsi="宋体"/>
                <w:snapToGrid w:val="0"/>
                <w:kern w:val="0"/>
                <w:sz w:val="24"/>
                <w:szCs w:val="21"/>
              </w:rPr>
            </w:pPr>
          </w:p>
        </w:tc>
      </w:tr>
    </w:tbl>
    <w:p w14:paraId="5FACC85B">
      <w:pPr>
        <w:pStyle w:val="37"/>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snapToGrid w:val="0"/>
          <w:kern w:val="0"/>
        </w:rPr>
        <w:t>注：</w:t>
      </w:r>
    </w:p>
    <w:p w14:paraId="49634596">
      <w:pPr>
        <w:rPr>
          <w:rFonts w:hint="eastAsia" w:ascii="宋体" w:hAnsi="宋体" w:eastAsia="宋体" w:cs="Times New Roman"/>
          <w:b/>
          <w:bCs/>
          <w:color w:val="FF0000"/>
          <w:szCs w:val="21"/>
        </w:rPr>
      </w:pPr>
      <w:r>
        <w:rPr>
          <w:rFonts w:hint="eastAsia" w:ascii="宋体" w:hAnsi="宋体" w:eastAsia="宋体" w:cs="Times New Roman"/>
          <w:b/>
          <w:bCs/>
          <w:color w:val="FF0000"/>
          <w:szCs w:val="21"/>
        </w:rPr>
        <w:t>（1）填写要求： 0＜折扣率≤1，未按此要求填写将作投标无效处理。</w:t>
      </w:r>
    </w:p>
    <w:p w14:paraId="5569C703">
      <w:pPr>
        <w:rPr>
          <w:rFonts w:hint="eastAsia" w:ascii="宋体" w:hAnsi="宋体" w:eastAsia="宋体" w:cs="Times New Roman"/>
          <w:b/>
          <w:bCs/>
          <w:color w:val="FF0000"/>
          <w:szCs w:val="21"/>
        </w:rPr>
      </w:pPr>
      <w:r>
        <w:rPr>
          <w:rFonts w:hint="eastAsia" w:ascii="宋体" w:hAnsi="宋体" w:eastAsia="宋体" w:cs="Times New Roman"/>
          <w:b/>
          <w:bCs/>
          <w:color w:val="FF0000"/>
          <w:szCs w:val="21"/>
        </w:rPr>
        <w:t>（2）填写的“折扣率”应为小数，且最多保留小数点后2位，如：0.95、0.80、0.78，未按此要求填写将作投标无效处理。</w:t>
      </w:r>
    </w:p>
    <w:p w14:paraId="7615BCCA">
      <w:pPr>
        <w:rPr>
          <w:rFonts w:hint="eastAsia" w:ascii="宋体" w:hAnsi="宋体" w:eastAsia="宋体" w:cs="Times New Roman"/>
          <w:b/>
          <w:bCs/>
          <w:color w:val="FF0000"/>
          <w:szCs w:val="21"/>
        </w:rPr>
      </w:pPr>
      <w:r>
        <w:rPr>
          <w:rFonts w:hint="eastAsia" w:ascii="宋体" w:hAnsi="宋体" w:eastAsia="宋体" w:cs="Times New Roman"/>
          <w:b/>
          <w:bCs/>
          <w:color w:val="FF0000"/>
          <w:szCs w:val="21"/>
        </w:rPr>
        <w:t>（3）投标人参与投标只允许填报一个“折扣率”，不允许填报2个（或以上）的“折扣率”；填报了2个或以上“折扣率”的，其投标将直接作投标无效处理；</w:t>
      </w:r>
    </w:p>
    <w:p w14:paraId="6A7BD6AA">
      <w:pPr>
        <w:tabs>
          <w:tab w:val="left" w:pos="720"/>
        </w:tabs>
        <w:jc w:val="both"/>
        <w:rPr>
          <w:rFonts w:hint="eastAsia"/>
          <w:b/>
          <w:sz w:val="24"/>
        </w:rPr>
      </w:pPr>
      <w:r>
        <w:rPr>
          <w:rFonts w:hint="eastAsia" w:ascii="宋体" w:hAnsi="宋体" w:eastAsia="宋体" w:cs="Times New Roman"/>
          <w:b/>
          <w:bCs/>
          <w:color w:val="FF0000"/>
          <w:szCs w:val="21"/>
        </w:rPr>
        <w:t>（4）“折扣率”缺填、漏填将直接作投标无效处理。</w:t>
      </w:r>
    </w:p>
    <w:p w14:paraId="001F963F">
      <w:pPr>
        <w:tabs>
          <w:tab w:val="left" w:pos="720"/>
        </w:tabs>
        <w:jc w:val="center"/>
        <w:rPr>
          <w:b/>
          <w:sz w:val="24"/>
        </w:rPr>
      </w:pPr>
      <w:r>
        <w:rPr>
          <w:rFonts w:hint="eastAsia"/>
          <w:b/>
          <w:sz w:val="24"/>
        </w:rPr>
        <w:t>（二）投标人认为需要涉及的其他内容报价清单</w:t>
      </w:r>
    </w:p>
    <w:p w14:paraId="4F284100">
      <w:pPr>
        <w:rPr>
          <w:rFonts w:ascii="黑体" w:hAnsi="宋体" w:eastAsia="黑体"/>
          <w:sz w:val="24"/>
          <w:szCs w:val="20"/>
        </w:rPr>
      </w:pPr>
    </w:p>
    <w:p w14:paraId="66274360">
      <w:pPr>
        <w:rPr>
          <w:rFonts w:ascii="黑体" w:hAnsi="宋体" w:eastAsia="黑体"/>
          <w:sz w:val="24"/>
          <w:szCs w:val="20"/>
        </w:rPr>
      </w:pPr>
    </w:p>
    <w:p w14:paraId="3F3F31CC">
      <w:pPr>
        <w:rPr>
          <w:rFonts w:ascii="黑体" w:hAnsi="宋体" w:eastAsia="黑体"/>
          <w:sz w:val="24"/>
          <w:szCs w:val="20"/>
        </w:rPr>
      </w:pPr>
    </w:p>
    <w:p w14:paraId="5389E406">
      <w:pPr>
        <w:rPr>
          <w:rFonts w:ascii="黑体" w:hAnsi="宋体" w:eastAsia="黑体"/>
          <w:sz w:val="24"/>
          <w:szCs w:val="20"/>
        </w:rPr>
      </w:pPr>
    </w:p>
    <w:p w14:paraId="3B30C11E">
      <w:pPr>
        <w:rPr>
          <w:rFonts w:ascii="黑体" w:hAnsi="宋体" w:eastAsia="黑体"/>
          <w:sz w:val="24"/>
          <w:szCs w:val="20"/>
        </w:rPr>
      </w:pPr>
      <w:r>
        <w:rPr>
          <w:rFonts w:hint="eastAsia" w:ascii="黑体" w:hAnsi="宋体" w:eastAsia="黑体"/>
          <w:sz w:val="24"/>
          <w:szCs w:val="20"/>
        </w:rPr>
        <w:br w:type="page"/>
      </w:r>
    </w:p>
    <w:p w14:paraId="54E15250">
      <w:pPr>
        <w:pStyle w:val="3"/>
        <w:rPr>
          <w:rFonts w:ascii="黑体" w:eastAsia="黑体"/>
          <w:b w:val="0"/>
          <w:szCs w:val="24"/>
        </w:rPr>
      </w:pPr>
      <w:bookmarkStart w:id="42" w:name="_Hlk72092634"/>
      <w:r>
        <w:rPr>
          <w:rFonts w:hint="eastAsia" w:ascii="黑体" w:eastAsia="黑体"/>
          <w:b w:val="0"/>
          <w:szCs w:val="24"/>
        </w:rPr>
        <w:t>五、实质性条款响应情况表</w:t>
      </w:r>
      <w:bookmarkEnd w:id="42"/>
    </w:p>
    <w:tbl>
      <w:tblPr>
        <w:tblStyle w:val="42"/>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127"/>
        <w:gridCol w:w="2820"/>
        <w:gridCol w:w="1140"/>
        <w:gridCol w:w="1099"/>
      </w:tblGrid>
      <w:tr w14:paraId="114B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05" w:type="dxa"/>
            <w:vAlign w:val="center"/>
          </w:tcPr>
          <w:p w14:paraId="6520196A">
            <w:pPr>
              <w:adjustRightInd w:val="0"/>
              <w:snapToGrid w:val="0"/>
              <w:spacing w:line="360" w:lineRule="auto"/>
              <w:jc w:val="center"/>
              <w:rPr>
                <w:rFonts w:ascii="宋体" w:hAnsi="宋体"/>
                <w:kern w:val="0"/>
                <w:szCs w:val="21"/>
              </w:rPr>
            </w:pPr>
            <w:bookmarkStart w:id="43" w:name="_Hlk72092651"/>
            <w:r>
              <w:rPr>
                <w:rFonts w:hint="eastAsia" w:ascii="宋体" w:hAnsi="宋体"/>
                <w:kern w:val="0"/>
                <w:szCs w:val="21"/>
              </w:rPr>
              <w:t>序号</w:t>
            </w:r>
          </w:p>
        </w:tc>
        <w:tc>
          <w:tcPr>
            <w:tcW w:w="3127" w:type="dxa"/>
            <w:vAlign w:val="center"/>
          </w:tcPr>
          <w:p w14:paraId="07B6B5D9">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2820" w:type="dxa"/>
            <w:vAlign w:val="center"/>
          </w:tcPr>
          <w:p w14:paraId="46422141">
            <w:pPr>
              <w:adjustRightInd w:val="0"/>
              <w:snapToGrid w:val="0"/>
              <w:spacing w:line="360" w:lineRule="auto"/>
              <w:jc w:val="center"/>
              <w:rPr>
                <w:rFonts w:ascii="宋体" w:hAnsi="宋体"/>
                <w:kern w:val="0"/>
                <w:szCs w:val="21"/>
              </w:rPr>
            </w:pPr>
            <w:r>
              <w:rPr>
                <w:rFonts w:hint="eastAsia"/>
              </w:rPr>
              <w:t>投标响应</w:t>
            </w:r>
          </w:p>
        </w:tc>
        <w:tc>
          <w:tcPr>
            <w:tcW w:w="1140" w:type="dxa"/>
            <w:vAlign w:val="center"/>
          </w:tcPr>
          <w:p w14:paraId="2ECE1423">
            <w:pPr>
              <w:adjustRightInd w:val="0"/>
              <w:snapToGrid w:val="0"/>
              <w:spacing w:line="360" w:lineRule="auto"/>
              <w:jc w:val="center"/>
              <w:rPr>
                <w:rFonts w:ascii="宋体" w:hAnsi="宋体"/>
                <w:kern w:val="0"/>
                <w:szCs w:val="21"/>
              </w:rPr>
            </w:pPr>
            <w:r>
              <w:rPr>
                <w:rFonts w:hint="eastAsia"/>
              </w:rPr>
              <w:t>偏离情况</w:t>
            </w:r>
          </w:p>
        </w:tc>
        <w:tc>
          <w:tcPr>
            <w:tcW w:w="1099" w:type="dxa"/>
            <w:vAlign w:val="center"/>
          </w:tcPr>
          <w:p w14:paraId="47393839">
            <w:pPr>
              <w:adjustRightInd w:val="0"/>
              <w:snapToGrid w:val="0"/>
              <w:spacing w:line="360" w:lineRule="auto"/>
              <w:jc w:val="center"/>
              <w:rPr>
                <w:rFonts w:ascii="宋体" w:hAnsi="宋体"/>
                <w:kern w:val="0"/>
                <w:szCs w:val="21"/>
              </w:rPr>
            </w:pPr>
            <w:r>
              <w:rPr>
                <w:rFonts w:hint="eastAsia"/>
              </w:rPr>
              <w:t>说明</w:t>
            </w:r>
          </w:p>
        </w:tc>
      </w:tr>
      <w:bookmarkEnd w:id="43"/>
      <w:tr w14:paraId="1445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2B65A74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127" w:type="dxa"/>
            <w:vAlign w:val="center"/>
          </w:tcPr>
          <w:p w14:paraId="1A9AD1D0">
            <w:pPr>
              <w:adjustRightInd w:val="0"/>
              <w:snapToGrid w:val="0"/>
              <w:spacing w:line="360" w:lineRule="auto"/>
              <w:jc w:val="left"/>
              <w:rPr>
                <w:rFonts w:hAnsi="宋体"/>
                <w:kern w:val="0"/>
                <w:szCs w:val="21"/>
              </w:rPr>
            </w:pPr>
            <w:r>
              <w:rPr>
                <w:rFonts w:hint="eastAsia"/>
              </w:rPr>
              <w:t>具体以采购文件第三章 用户需求书中带“★”的需求项为准。</w:t>
            </w:r>
          </w:p>
        </w:tc>
        <w:tc>
          <w:tcPr>
            <w:tcW w:w="2820" w:type="dxa"/>
          </w:tcPr>
          <w:p w14:paraId="4D40EB1E">
            <w:pPr>
              <w:adjustRightInd w:val="0"/>
              <w:snapToGrid w:val="0"/>
              <w:spacing w:line="360" w:lineRule="auto"/>
              <w:rPr>
                <w:rFonts w:ascii="宋体" w:hAnsi="宋体"/>
                <w:kern w:val="0"/>
                <w:szCs w:val="21"/>
              </w:rPr>
            </w:pPr>
          </w:p>
        </w:tc>
        <w:tc>
          <w:tcPr>
            <w:tcW w:w="1140" w:type="dxa"/>
          </w:tcPr>
          <w:p w14:paraId="68B2BB8A">
            <w:pPr>
              <w:adjustRightInd w:val="0"/>
              <w:snapToGrid w:val="0"/>
              <w:spacing w:line="360" w:lineRule="auto"/>
              <w:rPr>
                <w:rFonts w:ascii="宋体" w:hAnsi="宋体"/>
                <w:kern w:val="0"/>
                <w:szCs w:val="21"/>
              </w:rPr>
            </w:pPr>
          </w:p>
        </w:tc>
        <w:tc>
          <w:tcPr>
            <w:tcW w:w="1099" w:type="dxa"/>
          </w:tcPr>
          <w:p w14:paraId="06C2A28F">
            <w:pPr>
              <w:adjustRightInd w:val="0"/>
              <w:snapToGrid w:val="0"/>
              <w:spacing w:line="360" w:lineRule="auto"/>
              <w:rPr>
                <w:rFonts w:ascii="宋体" w:hAnsi="宋体"/>
                <w:kern w:val="0"/>
                <w:szCs w:val="21"/>
              </w:rPr>
            </w:pPr>
          </w:p>
        </w:tc>
      </w:tr>
      <w:tr w14:paraId="2AB7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41BE4788">
            <w:pPr>
              <w:adjustRightInd w:val="0"/>
              <w:snapToGrid w:val="0"/>
              <w:spacing w:line="360" w:lineRule="auto"/>
              <w:jc w:val="center"/>
              <w:rPr>
                <w:rFonts w:hint="eastAsia" w:ascii="宋体" w:hAnsi="宋体" w:eastAsia="宋体"/>
                <w:kern w:val="0"/>
                <w:szCs w:val="21"/>
                <w:lang w:val="en-US" w:eastAsia="zh-CN"/>
              </w:rPr>
            </w:pPr>
            <w:r>
              <w:rPr>
                <w:rFonts w:hint="eastAsia" w:ascii="宋体" w:hAnsi="宋体"/>
                <w:kern w:val="0"/>
                <w:szCs w:val="21"/>
                <w:lang w:val="en-US" w:eastAsia="zh-CN"/>
              </w:rPr>
              <w:t>2</w:t>
            </w:r>
          </w:p>
        </w:tc>
        <w:tc>
          <w:tcPr>
            <w:tcW w:w="3127" w:type="dxa"/>
            <w:vAlign w:val="center"/>
          </w:tcPr>
          <w:p w14:paraId="448B4F59">
            <w:pPr>
              <w:ind w:left="0" w:leftChars="0" w:firstLine="0" w:firstLineChars="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rPr>
              <w:t>★供应商承诺包括但不限于：</w:t>
            </w:r>
          </w:p>
          <w:p w14:paraId="7F2D4584">
            <w:pPr>
              <w:ind w:firstLine="422" w:firstLineChars="20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1</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我单位承诺：如我单位中标，保证中标后10个工作日内提供评分细则中所有证明文件原件，供</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审核。</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2</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随时对我单位的场所及我单位服务的其他食材配送项目进行实地考察，如发现我单位有存在提供虚假证明材料、重大食品安全问题、严重违反合同约定或其他违法违规情形的，我单位将无条件放弃中标资格，并承担由此产生的一切法律责任及赔偿责任。同时，</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有权终止合同，并按照相关规定追究我单位责任。</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3</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我单位承诺：我单位已充分知悉项目的服务内容、范围等要求，并合理预估自身的服务能力参与本项目投标。中标后不得出现因服务能力不足、非不可抗力等因素提出放弃中标资格或向</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主动提出解除合同的。</w:t>
            </w:r>
          </w:p>
          <w:p w14:paraId="2D3153EF">
            <w:pPr>
              <w:ind w:firstLine="422" w:firstLineChars="200"/>
              <w:rPr>
                <w:rFonts w:hint="eastAsia" w:asciiTheme="minorEastAsia" w:hAnsiTheme="minorEastAsia" w:eastAsiaTheme="minorEastAsia" w:cstheme="minorEastAsia"/>
                <w:b/>
                <w:bCs/>
                <w:color w:val="FF0000"/>
                <w:szCs w:val="21"/>
              </w:rPr>
            </w:pPr>
            <w:r>
              <w:rPr>
                <w:rFonts w:hint="eastAsia" w:asciiTheme="minorEastAsia" w:hAnsiTheme="minorEastAsia" w:eastAsiaTheme="minorEastAsia" w:cstheme="minorEastAsia"/>
                <w:b/>
                <w:bCs/>
                <w:color w:val="FF0000"/>
                <w:szCs w:val="21"/>
                <w:highlight w:val="none"/>
              </w:rPr>
              <w:t>供应商如违反上述承诺，</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将有权报主管部门进行处罚。</w:t>
            </w:r>
          </w:p>
          <w:p w14:paraId="7A5203E9">
            <w:pPr>
              <w:ind w:firstLine="422" w:firstLineChars="200"/>
              <w:rPr>
                <w:rFonts w:hint="eastAsia"/>
              </w:rPr>
            </w:pPr>
            <w:r>
              <w:rPr>
                <w:rFonts w:hint="eastAsia" w:asciiTheme="minorEastAsia" w:hAnsiTheme="minorEastAsia" w:eastAsiaTheme="minorEastAsia" w:cstheme="minorEastAsia"/>
                <w:b/>
                <w:bCs/>
                <w:color w:val="FF0000"/>
                <w:sz w:val="21"/>
                <w:szCs w:val="21"/>
                <w:lang w:val="en-US" w:eastAsia="zh-CN"/>
              </w:rPr>
              <w:t>（投标人提供承诺函，格式自拟）</w:t>
            </w:r>
          </w:p>
        </w:tc>
        <w:tc>
          <w:tcPr>
            <w:tcW w:w="2820" w:type="dxa"/>
          </w:tcPr>
          <w:p w14:paraId="386344C0">
            <w:pPr>
              <w:adjustRightInd w:val="0"/>
              <w:snapToGrid w:val="0"/>
              <w:spacing w:line="360" w:lineRule="auto"/>
              <w:rPr>
                <w:rFonts w:ascii="宋体" w:hAnsi="宋体"/>
                <w:kern w:val="0"/>
                <w:szCs w:val="21"/>
              </w:rPr>
            </w:pPr>
          </w:p>
        </w:tc>
        <w:tc>
          <w:tcPr>
            <w:tcW w:w="1140" w:type="dxa"/>
          </w:tcPr>
          <w:p w14:paraId="24279CEE">
            <w:pPr>
              <w:adjustRightInd w:val="0"/>
              <w:snapToGrid w:val="0"/>
              <w:spacing w:line="360" w:lineRule="auto"/>
              <w:rPr>
                <w:rFonts w:ascii="宋体" w:hAnsi="宋体"/>
                <w:kern w:val="0"/>
                <w:szCs w:val="21"/>
              </w:rPr>
            </w:pPr>
          </w:p>
        </w:tc>
        <w:tc>
          <w:tcPr>
            <w:tcW w:w="1099" w:type="dxa"/>
          </w:tcPr>
          <w:p w14:paraId="50119E26">
            <w:pPr>
              <w:adjustRightInd w:val="0"/>
              <w:snapToGrid w:val="0"/>
              <w:spacing w:line="360" w:lineRule="auto"/>
              <w:rPr>
                <w:rFonts w:ascii="宋体" w:hAnsi="宋体"/>
                <w:kern w:val="0"/>
                <w:szCs w:val="21"/>
              </w:rPr>
            </w:pPr>
          </w:p>
        </w:tc>
      </w:tr>
    </w:tbl>
    <w:p w14:paraId="3714C330">
      <w:pPr>
        <w:ind w:firstLine="482" w:firstLineChars="200"/>
        <w:rPr>
          <w:b/>
          <w:sz w:val="24"/>
          <w:szCs w:val="22"/>
        </w:rPr>
      </w:pPr>
      <w:r>
        <w:rPr>
          <w:rFonts w:hint="eastAsia"/>
          <w:b/>
          <w:sz w:val="24"/>
          <w:szCs w:val="22"/>
        </w:rPr>
        <w:t>注：1.上表所列各项均为不可负偏离条款。</w:t>
      </w:r>
    </w:p>
    <w:p w14:paraId="2E22CC7B">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0E3C896B">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093757B6">
      <w:pPr>
        <w:ind w:firstLine="482" w:firstLineChars="200"/>
        <w:rPr>
          <w:b/>
          <w:sz w:val="24"/>
        </w:rPr>
      </w:pPr>
      <w:r>
        <w:rPr>
          <w:b/>
          <w:sz w:val="24"/>
        </w:rPr>
        <w:t>4.</w:t>
      </w:r>
      <w:r>
        <w:rPr>
          <w:rFonts w:hint="eastAsia"/>
          <w:b/>
          <w:sz w:val="24"/>
        </w:rPr>
        <w:t>评审委员会有权对投标响应情况作出判断（作出评审结论）。</w:t>
      </w:r>
    </w:p>
    <w:p w14:paraId="4757FDB7">
      <w:pPr>
        <w:ind w:firstLine="482" w:firstLineChars="200"/>
        <w:rPr>
          <w:b/>
          <w:sz w:val="24"/>
          <w:szCs w:val="22"/>
        </w:rPr>
      </w:pPr>
      <w:r>
        <w:rPr>
          <w:rFonts w:hint="eastAsia"/>
          <w:b/>
          <w:sz w:val="24"/>
          <w:szCs w:val="22"/>
          <w:lang w:val="en-US" w:eastAsia="zh-CN"/>
        </w:rPr>
        <w:t>5</w:t>
      </w:r>
      <w:r>
        <w:rPr>
          <w:rFonts w:hint="eastAsia"/>
          <w:b/>
          <w:sz w:val="24"/>
          <w:szCs w:val="22"/>
        </w:rPr>
        <w:t>.要求提供证明资料，在“说明”一栏中列明证明资料的位置,以便评审；未要求提供证明材料的，投标人可以不提供。</w:t>
      </w:r>
    </w:p>
    <w:p w14:paraId="506DE0C9">
      <w:pPr>
        <w:ind w:firstLine="420" w:firstLineChars="200"/>
      </w:pPr>
    </w:p>
    <w:p w14:paraId="51461688">
      <w:pPr>
        <w:rPr>
          <w:rFonts w:hint="eastAsia" w:ascii="黑体" w:hAnsi="宋体" w:eastAsia="黑体"/>
          <w:sz w:val="24"/>
          <w:szCs w:val="20"/>
        </w:rPr>
      </w:pPr>
      <w:r>
        <w:rPr>
          <w:rFonts w:hint="eastAsia" w:ascii="黑体" w:hAnsi="宋体" w:eastAsia="黑体"/>
          <w:sz w:val="24"/>
          <w:szCs w:val="20"/>
        </w:rPr>
        <w:br w:type="page"/>
      </w:r>
    </w:p>
    <w:p w14:paraId="792F58AB">
      <w:pPr>
        <w:pStyle w:val="4"/>
        <w:jc w:val="center"/>
        <w:rPr>
          <w:szCs w:val="21"/>
        </w:rPr>
      </w:pPr>
      <w:r>
        <w:rPr>
          <w:rFonts w:hint="eastAsia" w:ascii="黑体" w:eastAsia="黑体"/>
          <w:b w:val="0"/>
          <w:sz w:val="24"/>
          <w:szCs w:val="24"/>
          <w:lang w:val="en-US" w:eastAsia="zh-CN"/>
        </w:rPr>
        <w:t>六</w:t>
      </w:r>
      <w:r>
        <w:rPr>
          <w:rFonts w:hint="eastAsia" w:ascii="黑体" w:eastAsia="黑体"/>
          <w:b w:val="0"/>
          <w:sz w:val="24"/>
          <w:szCs w:val="24"/>
        </w:rPr>
        <w:t>、技术要求偏离表</w:t>
      </w:r>
      <w:bookmarkStart w:id="44" w:name="_Hlk72095977"/>
    </w:p>
    <w:tbl>
      <w:tblPr>
        <w:tblStyle w:val="42"/>
        <w:tblW w:w="8137" w:type="dxa"/>
        <w:tblInd w:w="295" w:type="dxa"/>
        <w:tblLayout w:type="fixed"/>
        <w:tblCellMar>
          <w:top w:w="0" w:type="dxa"/>
          <w:left w:w="108" w:type="dxa"/>
          <w:bottom w:w="0" w:type="dxa"/>
          <w:right w:w="108" w:type="dxa"/>
        </w:tblCellMar>
      </w:tblPr>
      <w:tblGrid>
        <w:gridCol w:w="3825"/>
        <w:gridCol w:w="2667"/>
        <w:gridCol w:w="989"/>
        <w:gridCol w:w="656"/>
      </w:tblGrid>
      <w:tr w14:paraId="778CFEF8">
        <w:tblPrEx>
          <w:tblCellMar>
            <w:top w:w="0" w:type="dxa"/>
            <w:left w:w="108" w:type="dxa"/>
            <w:bottom w:w="0" w:type="dxa"/>
            <w:right w:w="108" w:type="dxa"/>
          </w:tblCellMar>
        </w:tblPrEx>
        <w:trPr>
          <w:trHeight w:val="23" w:hRule="atLeast"/>
        </w:trPr>
        <w:tc>
          <w:tcPr>
            <w:tcW w:w="3825" w:type="dxa"/>
            <w:tcBorders>
              <w:top w:val="single" w:color="000000" w:sz="4" w:space="0"/>
              <w:left w:val="single" w:color="000000" w:sz="4" w:space="0"/>
              <w:bottom w:val="single" w:color="auto" w:sz="4" w:space="0"/>
              <w:right w:val="single" w:color="000000" w:sz="4" w:space="0"/>
            </w:tcBorders>
            <w:noWrap/>
            <w:vAlign w:val="center"/>
          </w:tcPr>
          <w:p w14:paraId="2D97F98E">
            <w:pPr>
              <w:keepNext w:val="0"/>
              <w:keepLines w:val="0"/>
              <w:suppressLineNumbers w:val="0"/>
              <w:spacing w:before="0" w:beforeAutospacing="0" w:after="0" w:afterAutospacing="0"/>
              <w:ind w:left="0" w:right="0"/>
              <w:jc w:val="center"/>
              <w:rPr>
                <w:rFonts w:hint="default" w:ascii="宋体" w:hAnsi="宋体" w:cs="宋体"/>
                <w:color w:val="000000"/>
                <w:szCs w:val="21"/>
              </w:rPr>
            </w:pPr>
            <w:r>
              <w:rPr>
                <w:rFonts w:hint="eastAsia"/>
                <w:color w:val="000000"/>
                <w:szCs w:val="21"/>
              </w:rPr>
              <w:t>招标</w:t>
            </w:r>
            <w:r>
              <w:rPr>
                <w:rFonts w:hint="default"/>
                <w:color w:val="000000"/>
                <w:szCs w:val="21"/>
              </w:rPr>
              <w:t>技术要求</w:t>
            </w:r>
          </w:p>
        </w:tc>
        <w:tc>
          <w:tcPr>
            <w:tcW w:w="2667" w:type="dxa"/>
            <w:tcBorders>
              <w:top w:val="single" w:color="000000" w:sz="4" w:space="0"/>
              <w:left w:val="single" w:color="000000" w:sz="4" w:space="0"/>
              <w:bottom w:val="single" w:color="auto" w:sz="4" w:space="0"/>
              <w:right w:val="single" w:color="000000" w:sz="4" w:space="0"/>
            </w:tcBorders>
            <w:noWrap/>
            <w:vAlign w:val="center"/>
          </w:tcPr>
          <w:p w14:paraId="0BE9BA4D">
            <w:pPr>
              <w:keepNext w:val="0"/>
              <w:keepLines w:val="0"/>
              <w:suppressLineNumbers w:val="0"/>
              <w:spacing w:before="0" w:beforeAutospacing="0" w:after="0" w:afterAutospacing="0"/>
              <w:ind w:left="0" w:right="0"/>
              <w:jc w:val="center"/>
              <w:rPr>
                <w:rFonts w:hint="default" w:ascii="宋体" w:hAnsi="宋体" w:cs="宋体"/>
                <w:color w:val="000000"/>
                <w:kern w:val="0"/>
                <w:szCs w:val="21"/>
              </w:rPr>
            </w:pPr>
            <w:r>
              <w:rPr>
                <w:rFonts w:hint="eastAsia"/>
                <w:color w:val="000000"/>
                <w:szCs w:val="21"/>
              </w:rPr>
              <w:t>投标技术响应</w:t>
            </w:r>
          </w:p>
        </w:tc>
        <w:tc>
          <w:tcPr>
            <w:tcW w:w="989" w:type="dxa"/>
            <w:tcBorders>
              <w:top w:val="single" w:color="000000" w:sz="4" w:space="0"/>
              <w:left w:val="single" w:color="000000" w:sz="4" w:space="0"/>
              <w:bottom w:val="single" w:color="auto" w:sz="4" w:space="0"/>
              <w:right w:val="single" w:color="000000" w:sz="4" w:space="0"/>
            </w:tcBorders>
            <w:noWrap/>
            <w:vAlign w:val="center"/>
          </w:tcPr>
          <w:p w14:paraId="61EE7B76">
            <w:pPr>
              <w:keepNext w:val="0"/>
              <w:keepLines w:val="0"/>
              <w:suppressLineNumbers w:val="0"/>
              <w:spacing w:before="0" w:beforeAutospacing="0" w:after="0" w:afterAutospacing="0"/>
              <w:ind w:left="0" w:right="0"/>
              <w:jc w:val="center"/>
              <w:rPr>
                <w:rFonts w:hint="default" w:ascii="宋体" w:hAnsi="宋体" w:cs="宋体"/>
                <w:color w:val="000000"/>
                <w:kern w:val="0"/>
                <w:szCs w:val="21"/>
              </w:rPr>
            </w:pPr>
            <w:r>
              <w:rPr>
                <w:rFonts w:hint="eastAsia"/>
                <w:color w:val="000000"/>
                <w:szCs w:val="21"/>
              </w:rPr>
              <w:t>偏离情况</w:t>
            </w:r>
          </w:p>
        </w:tc>
        <w:tc>
          <w:tcPr>
            <w:tcW w:w="656" w:type="dxa"/>
            <w:tcBorders>
              <w:top w:val="single" w:color="000000" w:sz="4" w:space="0"/>
              <w:left w:val="single" w:color="000000" w:sz="4" w:space="0"/>
              <w:bottom w:val="single" w:color="auto" w:sz="4" w:space="0"/>
              <w:right w:val="single" w:color="000000" w:sz="4" w:space="0"/>
            </w:tcBorders>
            <w:noWrap/>
            <w:vAlign w:val="center"/>
          </w:tcPr>
          <w:p w14:paraId="7C82AB61">
            <w:pPr>
              <w:keepNext w:val="0"/>
              <w:keepLines w:val="0"/>
              <w:suppressLineNumbers w:val="0"/>
              <w:spacing w:before="0" w:beforeAutospacing="0" w:after="0" w:afterAutospacing="0"/>
              <w:ind w:left="0" w:right="0"/>
              <w:jc w:val="center"/>
              <w:rPr>
                <w:rFonts w:hint="default" w:ascii="宋体" w:hAnsi="宋体" w:cs="宋体"/>
                <w:color w:val="000000"/>
                <w:kern w:val="0"/>
                <w:szCs w:val="21"/>
              </w:rPr>
            </w:pPr>
            <w:r>
              <w:rPr>
                <w:rFonts w:hint="eastAsia"/>
                <w:color w:val="000000"/>
                <w:szCs w:val="21"/>
              </w:rPr>
              <w:t>说明</w:t>
            </w:r>
          </w:p>
        </w:tc>
      </w:tr>
      <w:tr w14:paraId="2D3AE90C">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4AD11DF1">
            <w:pPr>
              <w:ind w:firstLine="420" w:firstLineChars="200"/>
              <w:rPr>
                <w:rFonts w:hint="eastAsia" w:asciiTheme="minorEastAsia" w:hAnsiTheme="minorEastAsia" w:eastAsiaTheme="minorEastAsia" w:cstheme="minorEastAsia"/>
                <w:b w:val="0"/>
                <w:bCs w:val="0"/>
                <w:szCs w:val="21"/>
                <w:lang w:eastAsia="zh-CN"/>
              </w:rPr>
            </w:pPr>
            <w:r>
              <w:rPr>
                <w:rFonts w:hint="eastAsia" w:asciiTheme="minorEastAsia" w:hAnsiTheme="minorEastAsia" w:eastAsiaTheme="minorEastAsia" w:cstheme="minorEastAsia"/>
                <w:b w:val="0"/>
                <w:bCs w:val="0"/>
                <w:szCs w:val="21"/>
                <w:lang w:val="en-US" w:eastAsia="zh-CN"/>
              </w:rPr>
              <w:t>（一）</w:t>
            </w:r>
            <w:r>
              <w:rPr>
                <w:rFonts w:hint="eastAsia" w:asciiTheme="minorEastAsia" w:hAnsiTheme="minorEastAsia" w:eastAsiaTheme="minorEastAsia" w:cstheme="minorEastAsia"/>
                <w:b w:val="0"/>
                <w:bCs w:val="0"/>
                <w:szCs w:val="21"/>
              </w:rPr>
              <w:t>本次食堂食材配送货物的品类、质量、服务、技术、安全、人员、验收、监管及承诺方面的要求</w:t>
            </w:r>
          </w:p>
          <w:p w14:paraId="14F47A85">
            <w:pPr>
              <w:widowControl/>
              <w:shd w:val="clear" w:color="auto" w:fill="FFFFFF"/>
              <w:spacing w:line="240" w:lineRule="auto"/>
              <w:ind w:firstLine="42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21"/>
                <w:szCs w:val="21"/>
              </w:rPr>
              <w:t>1</w:t>
            </w:r>
            <w:r>
              <w:rPr>
                <w:rFonts w:hint="eastAsia" w:asciiTheme="minorEastAsia" w:hAnsiTheme="minorEastAsia" w:eastAsiaTheme="minorEastAsia" w:cstheme="minorEastAsia"/>
                <w:b/>
                <w:sz w:val="21"/>
                <w:szCs w:val="21"/>
                <w:lang w:eastAsia="zh-CN"/>
              </w:rPr>
              <w:t>.</w:t>
            </w:r>
            <w:r>
              <w:rPr>
                <w:rFonts w:hint="eastAsia" w:asciiTheme="minorEastAsia" w:hAnsiTheme="minorEastAsia" w:eastAsiaTheme="minorEastAsia" w:cstheme="minorEastAsia"/>
                <w:b/>
                <w:sz w:val="21"/>
                <w:szCs w:val="21"/>
              </w:rPr>
              <w:t>本次食堂食材配送货物的品类。主要包括</w:t>
            </w:r>
            <w:r>
              <w:rPr>
                <w:rFonts w:hint="eastAsia" w:asciiTheme="minorEastAsia" w:hAnsiTheme="minorEastAsia" w:eastAsiaTheme="minorEastAsia" w:cstheme="minorEastAsia"/>
                <w:b/>
                <w:sz w:val="21"/>
                <w:szCs w:val="21"/>
                <w:lang w:val="en-US" w:eastAsia="zh-CN"/>
              </w:rPr>
              <w:t>但不限于</w:t>
            </w:r>
            <w:r>
              <w:rPr>
                <w:rFonts w:hint="eastAsia" w:asciiTheme="minorEastAsia" w:hAnsiTheme="minorEastAsia" w:eastAsiaTheme="minorEastAsia" w:cstheme="minorEastAsia"/>
                <w:b/>
                <w:sz w:val="21"/>
                <w:szCs w:val="21"/>
              </w:rPr>
              <w:t>：</w:t>
            </w:r>
          </w:p>
          <w:p w14:paraId="2519C315">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（1）鲜肉类；</w:t>
            </w:r>
          </w:p>
          <w:p w14:paraId="1EEF687B">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（2）水产类；</w:t>
            </w:r>
          </w:p>
          <w:p w14:paraId="68337DBE">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（3）蔬菜类；</w:t>
            </w:r>
          </w:p>
          <w:p w14:paraId="4269E754">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（4）冻品类；</w:t>
            </w:r>
          </w:p>
          <w:p w14:paraId="6A464088">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（5）蛋类；</w:t>
            </w:r>
          </w:p>
          <w:p w14:paraId="45326DC4">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（6）食用油类；</w:t>
            </w:r>
          </w:p>
          <w:p w14:paraId="35056EB9">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（7）禽类；</w:t>
            </w:r>
          </w:p>
          <w:p w14:paraId="02926FE0">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（8）奶制品；</w:t>
            </w:r>
          </w:p>
          <w:p w14:paraId="57C67FD1">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（9）大米类；</w:t>
            </w:r>
          </w:p>
          <w:p w14:paraId="70F4B186">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（10）调味品类；</w:t>
            </w:r>
          </w:p>
          <w:p w14:paraId="00BD9E34">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（11）小麦粉或者面粉类；</w:t>
            </w:r>
          </w:p>
          <w:p w14:paraId="25691373">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（12）水果类；</w:t>
            </w:r>
          </w:p>
          <w:p w14:paraId="7F248669">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（13）熟食类；</w:t>
            </w:r>
          </w:p>
          <w:p w14:paraId="3FA3CC29">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（14）豆制品类；</w:t>
            </w:r>
          </w:p>
          <w:p w14:paraId="0A7E8A68">
            <w:pPr>
              <w:spacing w:line="24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（15）干货类。</w:t>
            </w:r>
          </w:p>
          <w:p w14:paraId="36D3FF57">
            <w:pPr>
              <w:ind w:firstLine="420" w:firstLineChars="200"/>
              <w:rPr>
                <w:rFonts w:hint="default"/>
                <w:bCs/>
                <w:szCs w:val="21"/>
                <w:lang w:val="en-US" w:eastAsia="zh-CN"/>
              </w:rPr>
            </w:pPr>
            <w:r>
              <w:rPr>
                <w:rFonts w:hint="eastAsia" w:asciiTheme="minorEastAsia" w:hAnsiTheme="minorEastAsia" w:eastAsiaTheme="minorEastAsia" w:cstheme="minorEastAsia"/>
                <w:b w:val="0"/>
                <w:bCs w:val="0"/>
                <w:szCs w:val="21"/>
                <w:lang w:val="en-US" w:eastAsia="zh-CN"/>
              </w:rPr>
              <w:t>具体以学校实际订单为准</w:t>
            </w:r>
            <w:r>
              <w:rPr>
                <w:rFonts w:hint="eastAsia" w:asciiTheme="minorEastAsia" w:hAnsiTheme="minorEastAsia" w:eastAsiaTheme="minorEastAsia" w:cstheme="minorEastAsia"/>
                <w:b/>
                <w:bCs/>
                <w:szCs w:val="21"/>
                <w:lang w:val="en-US" w:eastAsia="zh-CN"/>
              </w:rPr>
              <w:t>，</w:t>
            </w:r>
            <w:r>
              <w:rPr>
                <w:rFonts w:hint="eastAsia" w:asciiTheme="minorEastAsia" w:hAnsiTheme="minorEastAsia" w:eastAsiaTheme="minorEastAsia" w:cstheme="minorEastAsia"/>
                <w:snapToGrid w:val="0"/>
                <w:color w:val="000000"/>
                <w:kern w:val="0"/>
                <w:szCs w:val="21"/>
                <w:highlight w:val="none"/>
              </w:rPr>
              <w:t>学校可引进有资质的食品安全第三方监管单位对供应商配送的所有物资进行现场验收并进行相关项目检测，中标供应商必须无条件接受第三方监管单位的验收、检测等监管并认可第三方的检测结果。</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32D0F35C">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4B466954">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7878404E">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1D8C057B">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66050E19">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项目所依据及参考的标准</w:t>
            </w:r>
          </w:p>
          <w:p w14:paraId="62A6D10E">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（1）《食品安全国家标准》；</w:t>
            </w:r>
          </w:p>
          <w:p w14:paraId="5F65D8AC">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（2）《中华人民共和国食品安全法》；</w:t>
            </w:r>
          </w:p>
          <w:p w14:paraId="733020F2">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（3）《动物检疫管理办法》；</w:t>
            </w:r>
          </w:p>
          <w:p w14:paraId="539EBD23">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（4）《深圳市学校食堂食材采购验收参考标准》；</w:t>
            </w:r>
          </w:p>
          <w:p w14:paraId="2818703A">
            <w:pPr>
              <w:ind w:firstLine="420" w:firstLineChars="200"/>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）《中华人民共和国农业农村部公告 第176号》</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p>
          <w:p w14:paraId="7152C8F5">
            <w:pPr>
              <w:ind w:firstLine="420" w:firstLineChars="200"/>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）《中华人民共和国农业农村部公告 第235号》</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p>
          <w:p w14:paraId="6B822DCF">
            <w:pPr>
              <w:ind w:firstLine="420" w:firstLineChars="200"/>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7</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）《中华人民共和国农业农村部公告 第250号》</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p>
          <w:p w14:paraId="0C56C86F">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8</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豆制品》（GB2712）最新版；</w:t>
            </w:r>
          </w:p>
          <w:p w14:paraId="108B13C6">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9</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粮食》（GB2715）最新版；</w:t>
            </w:r>
          </w:p>
          <w:p w14:paraId="53B192BF">
            <w:pPr>
              <w:ind w:firstLine="420" w:firstLineChars="200"/>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10）《食品安全国家标准 植物油》(GB 2716）最新版；</w:t>
            </w:r>
          </w:p>
          <w:p w14:paraId="3947556D">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11</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酱油》(GB 2717）最新版；</w:t>
            </w:r>
          </w:p>
          <w:p w14:paraId="11D9C256">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12</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食醋》（GB2719）最新版；</w:t>
            </w:r>
          </w:p>
          <w:p w14:paraId="5CFB8FA8">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13</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食用盐》（GB2721）最新版；</w:t>
            </w:r>
          </w:p>
          <w:p w14:paraId="79E0F317">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14</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腌腊肉制品》（GB2730）最新版；</w:t>
            </w:r>
          </w:p>
          <w:p w14:paraId="64F64E51">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15</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）《食品安全国家标准 鲜、冻动物性水产品》（GB 2733）最新版；</w:t>
            </w:r>
          </w:p>
          <w:p w14:paraId="44FA4A0E">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（1</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6</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食用菌及其制品》（GB7096）最新版；</w:t>
            </w:r>
          </w:p>
          <w:p w14:paraId="7AE06624">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（1</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7</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动物性水产制品》（GB10136）最新版；</w:t>
            </w:r>
          </w:p>
          <w:p w14:paraId="64510DD7">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（1</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8</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藻类及其制品》（GB19643）最新版；</w:t>
            </w:r>
          </w:p>
          <w:p w14:paraId="7697BABB">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19</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食品添加剂使用标准》（GB2760）最新版；</w:t>
            </w:r>
          </w:p>
          <w:p w14:paraId="79FE4564">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20</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食品中真菌毒素限量》（GB2761）最新版；</w:t>
            </w:r>
          </w:p>
          <w:p w14:paraId="71884F18">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21</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食品中污染物限量》（GB 2762）最新版；</w:t>
            </w:r>
          </w:p>
          <w:p w14:paraId="48E6ED8B">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22</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食品中农药最大残留限量》（GB2763）最新版；</w:t>
            </w:r>
          </w:p>
          <w:p w14:paraId="3BE58F11">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23</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食品中污染物限量》（GB2742）最新版；</w:t>
            </w:r>
          </w:p>
          <w:p w14:paraId="64E35BAB">
            <w:pPr>
              <w:ind w:firstLine="420" w:firstLineChars="200"/>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lang w:val="en-US" w:eastAsia="zh-CN"/>
                <w14:textFill>
                  <w14:solidFill>
                    <w14:schemeClr w14:val="tx1"/>
                  </w14:solidFill>
                </w14:textFill>
              </w:rPr>
              <w:t>24</w:t>
            </w:r>
            <w:r>
              <w:rPr>
                <w:rFonts w:hint="eastAsia" w:asciiTheme="minorEastAsia" w:hAnsiTheme="minorEastAsia" w:eastAsiaTheme="minorEastAsia" w:cstheme="minorEastAsia"/>
                <w:snapToGrid w:val="0"/>
                <w:color w:val="000000" w:themeColor="text1"/>
                <w:kern w:val="0"/>
                <w:szCs w:val="21"/>
                <w14:textFill>
                  <w14:solidFill>
                    <w14:schemeClr w14:val="tx1"/>
                  </w14:solidFill>
                </w14:textFill>
              </w:rPr>
              <w:t>）《食品安全国家标准 蛋与蛋制品》（GB2749）最新版</w:t>
            </w:r>
          </w:p>
          <w:p w14:paraId="64D758FD">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5）《食品安全国家标准 鲜、冻禽产品》（GB 16869）最新版；</w:t>
            </w:r>
          </w:p>
          <w:p w14:paraId="19E9FE9C">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26</w:t>
            </w:r>
            <w:r>
              <w:rPr>
                <w:rFonts w:hint="eastAsia" w:asciiTheme="minorEastAsia" w:hAnsiTheme="minorEastAsia" w:eastAsiaTheme="minorEastAsia" w:cstheme="minorEastAsia"/>
                <w:snapToGrid w:val="0"/>
                <w:color w:val="000000" w:themeColor="text1"/>
                <w:kern w:val="0"/>
                <w:szCs w:val="21"/>
                <w:highlight w:val="none"/>
                <w:lang w:eastAsia="zh-CN"/>
                <w14:textFill>
                  <w14:solidFill>
                    <w14:schemeClr w14:val="tx1"/>
                  </w14:solidFill>
                </w14:textFill>
              </w:rPr>
              <w:t>）《食品安全国家标准 巴氏杀菌乳》（GB 19645—2010）；</w:t>
            </w:r>
          </w:p>
          <w:p w14:paraId="143826EB">
            <w:pPr>
              <w:ind w:firstLine="420" w:firstLineChars="200"/>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27</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）《食品安全国家标准 食品中兽药最大残留限量》（GB 31650-2019）及《食品安全国家标准 食品中41种兽药最大残留限量》（GB 31650.1-2022）；</w:t>
            </w:r>
          </w:p>
          <w:p w14:paraId="79227951">
            <w:pPr>
              <w:ind w:firstLine="420" w:firstLineChars="200"/>
              <w:rPr>
                <w:rFonts w:hint="default" w:eastAsia="宋体"/>
                <w:bCs/>
                <w:szCs w:val="21"/>
                <w:lang w:val="en-US" w:eastAsia="zh-CN"/>
              </w:rPr>
            </w:pP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w:t>
            </w:r>
            <w:r>
              <w:rPr>
                <w:rFonts w:hint="eastAsia" w:asciiTheme="minorEastAsia" w:hAnsiTheme="minorEastAsia" w:eastAsiaTheme="minorEastAsia" w:cstheme="minorEastAsia"/>
                <w:snapToGrid w:val="0"/>
                <w:color w:val="000000" w:themeColor="text1"/>
                <w:kern w:val="0"/>
                <w:szCs w:val="21"/>
                <w:highlight w:val="none"/>
                <w:lang w:val="en-US" w:eastAsia="zh-CN"/>
                <w14:textFill>
                  <w14:solidFill>
                    <w14:schemeClr w14:val="tx1"/>
                  </w14:solidFill>
                </w14:textFill>
              </w:rPr>
              <w:t>28</w:t>
            </w:r>
            <w:r>
              <w:rPr>
                <w:rFonts w:hint="eastAsia" w:asciiTheme="minorEastAsia" w:hAnsiTheme="minorEastAsia" w:eastAsiaTheme="minorEastAsia" w:cstheme="minorEastAsia"/>
                <w:snapToGrid w:val="0"/>
                <w:color w:val="000000" w:themeColor="text1"/>
                <w:kern w:val="0"/>
                <w:szCs w:val="21"/>
                <w:highlight w:val="none"/>
                <w14:textFill>
                  <w14:solidFill>
                    <w14:schemeClr w14:val="tx1"/>
                  </w14:solidFill>
                </w14:textFill>
              </w:rPr>
              <w:t>）其他与食品质量安全有关的法律法规及标准。</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165FDBD8">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110534CC">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19EAB7F1">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775DA642">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19A7B7B7">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二</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本次食堂食材配送货物的</w:t>
            </w:r>
            <w:r>
              <w:rPr>
                <w:rFonts w:hint="eastAsia" w:asciiTheme="minorEastAsia" w:hAnsiTheme="minorEastAsia" w:eastAsiaTheme="minorEastAsia" w:cstheme="minorEastAsia"/>
                <w:b/>
                <w:bCs/>
                <w:sz w:val="21"/>
                <w:szCs w:val="21"/>
                <w:lang w:val="en-US" w:eastAsia="zh-CN"/>
              </w:rPr>
              <w:t>服务地点</w:t>
            </w:r>
            <w:r>
              <w:rPr>
                <w:rFonts w:hint="eastAsia" w:asciiTheme="minorEastAsia" w:hAnsiTheme="minorEastAsia" w:eastAsiaTheme="minorEastAsia" w:cstheme="minorEastAsia"/>
                <w:b/>
                <w:bCs/>
                <w:sz w:val="21"/>
                <w:szCs w:val="21"/>
              </w:rPr>
              <w:t>：</w:t>
            </w:r>
          </w:p>
          <w:p w14:paraId="71A523C0">
            <w:pPr>
              <w:autoSpaceDE w:val="0"/>
              <w:ind w:firstLine="420" w:firstLineChars="200"/>
              <w:rPr>
                <w:rFonts w:hint="default" w:eastAsia="宋体"/>
                <w:bCs/>
                <w:szCs w:val="21"/>
                <w:lang w:val="en-US" w:eastAsia="zh-CN"/>
              </w:rPr>
            </w:pPr>
            <w:r>
              <w:rPr>
                <w:rFonts w:hint="eastAsia" w:asciiTheme="minorEastAsia" w:hAnsiTheme="minorEastAsia" w:eastAsiaTheme="minorEastAsia" w:cstheme="minorEastAsia"/>
                <w:b w:val="0"/>
                <w:bCs w:val="0"/>
                <w:sz w:val="21"/>
                <w:szCs w:val="21"/>
                <w:lang w:val="en-US" w:eastAsia="zh-CN"/>
              </w:rPr>
              <w:t>深圳市宝安区沙井街道民主大道33号</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611E4F88">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7C248C30">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5DD2E627">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4C7BA61E">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1C7DD584">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三</w:t>
            </w:r>
            <w:r>
              <w:rPr>
                <w:rFonts w:hint="eastAsia" w:asciiTheme="minorEastAsia" w:hAnsiTheme="minorEastAsia" w:eastAsiaTheme="minorEastAsia" w:cstheme="minorEastAsia"/>
                <w:b/>
                <w:bCs/>
                <w:sz w:val="21"/>
                <w:szCs w:val="21"/>
                <w:lang w:eastAsia="zh-CN"/>
              </w:rPr>
              <w:t>）</w:t>
            </w:r>
            <w:r>
              <w:rPr>
                <w:rFonts w:hint="eastAsia"/>
                <w:lang w:val="en-US" w:eastAsia="zh-CN"/>
              </w:rPr>
              <w:t>★</w:t>
            </w:r>
            <w:r>
              <w:rPr>
                <w:rFonts w:hint="eastAsia" w:asciiTheme="minorEastAsia" w:hAnsiTheme="minorEastAsia" w:eastAsiaTheme="minorEastAsia" w:cstheme="minorEastAsia"/>
                <w:b/>
                <w:bCs/>
                <w:sz w:val="21"/>
                <w:szCs w:val="21"/>
              </w:rPr>
              <w:t>本次食堂食材配送货物的食品</w:t>
            </w:r>
            <w:r>
              <w:rPr>
                <w:rFonts w:hint="eastAsia" w:asciiTheme="minorEastAsia" w:hAnsiTheme="minorEastAsia" w:eastAsiaTheme="minorEastAsia" w:cstheme="minorEastAsia"/>
                <w:b/>
                <w:bCs/>
                <w:sz w:val="21"/>
                <w:szCs w:val="21"/>
                <w:lang w:val="en-US" w:eastAsia="zh-CN"/>
              </w:rPr>
              <w:t>质量</w:t>
            </w:r>
            <w:r>
              <w:rPr>
                <w:rFonts w:hint="eastAsia" w:asciiTheme="minorEastAsia" w:hAnsiTheme="minorEastAsia" w:eastAsiaTheme="minorEastAsia" w:cstheme="minorEastAsia"/>
                <w:b/>
                <w:bCs/>
                <w:sz w:val="21"/>
                <w:szCs w:val="21"/>
              </w:rPr>
              <w:t>要求：</w:t>
            </w:r>
          </w:p>
          <w:p w14:paraId="5AC7F2D5">
            <w:pPr>
              <w:keepNext/>
              <w:keepLines/>
              <w:spacing w:line="240" w:lineRule="auto"/>
              <w:ind w:firstLine="422" w:firstLineChars="200"/>
              <w:outlineLvl w:val="4"/>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1.鲜肉类、水产类</w:t>
            </w:r>
          </w:p>
          <w:p w14:paraId="7D9048F9">
            <w:pPr>
              <w:autoSpaceDE w:val="0"/>
              <w:spacing w:line="240" w:lineRule="auto"/>
              <w:ind w:firstLine="420" w:firstLineChars="200"/>
              <w:rPr>
                <w:rFonts w:hint="eastAsia" w:asciiTheme="minorEastAsia" w:hAnsiTheme="minorEastAsia" w:eastAsiaTheme="minorEastAsia" w:cstheme="minorEastAsia"/>
                <w:b/>
                <w:szCs w:val="21"/>
              </w:rPr>
            </w:pPr>
            <w:r>
              <w:rPr>
                <w:rFonts w:hint="eastAsia"/>
                <w:lang w:val="en-US" w:eastAsia="zh-CN"/>
              </w:rPr>
              <w:t>★</w:t>
            </w:r>
            <w:r>
              <w:rPr>
                <w:rFonts w:hint="eastAsia" w:asciiTheme="minorEastAsia" w:hAnsiTheme="minorEastAsia" w:eastAsiaTheme="minorEastAsia" w:cstheme="minorEastAsia"/>
                <w:b/>
                <w:szCs w:val="21"/>
              </w:rPr>
              <w:t>供应产品质量要求:</w:t>
            </w:r>
          </w:p>
          <w:p w14:paraId="1A0F70E9">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所供货物应保持较好的外观和质量等级，符合国家食品部门的有关标准，保证无异味、无霉烂变质，肉类保证来源于深圳市正规肉屠宰场，供货时须提交屠宰场的验收单及当批次有效的动物检疫合格证复印件，新鲜肉确保每日新鲜，为当天深圳市正规屠宰场宰杀的新鲜肉；冷冻肉要求肉体冻实而坚硬，无化冻现象，肉质紧密而有弹性，色泽均匀，不粘手，交货时干净、新鲜、无异味；冷冻鱼类要求鱼眼睛清亮，角膜透明，鳞片上覆有冻结的透明黏液层，皮肤天然色泽明显。</w:t>
            </w:r>
          </w:p>
          <w:p w14:paraId="6066EAE7">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（2）所有货物规格符合采购人提交的日采购计划中明确的具体需求。</w:t>
            </w:r>
          </w:p>
          <w:p w14:paraId="14950EEA">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（3）供应产品须符合相关执行标准，包括但不限于：（如有最新的标准，按最新的标准执行）</w:t>
            </w:r>
          </w:p>
          <w:p w14:paraId="249271C1">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鲜、冻猪肉及猪副产品：GB/T 9959.1-2019</w:t>
            </w:r>
          </w:p>
          <w:p w14:paraId="7E31064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鲜、冻禽产品：GB 16869-2005</w:t>
            </w:r>
          </w:p>
          <w:p w14:paraId="3EAE682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冻鱼：GB/T 18109-2024</w:t>
            </w:r>
          </w:p>
          <w:p w14:paraId="57754CF0">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冻银鱼：GB/T 35375-2024</w:t>
            </w:r>
          </w:p>
          <w:p w14:paraId="7A712A8F">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大黄鱼：GB/T 32755-2026</w:t>
            </w:r>
          </w:p>
          <w:p w14:paraId="654057A4">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梭鱼：GB/T 19162-2011</w:t>
            </w:r>
          </w:p>
          <w:p w14:paraId="3C3C232C">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（4）所有冷冻食品要求清晰列出产品品牌、规格、类型、包装方式、包装净重、含冰量等相关参数。</w:t>
            </w:r>
          </w:p>
          <w:p w14:paraId="272B2F8C">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（5）各中标人提供猪、牛、羊等肉类、家禽类及肉制品应有《卫生检疫报告》、《产品合格证》资质证明。</w:t>
            </w:r>
          </w:p>
          <w:p w14:paraId="67DD41EE">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（6）产品配送要求：</w:t>
            </w:r>
          </w:p>
          <w:p w14:paraId="55E42811">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食品运输必须采用符合卫生要求的外包装和运载工具，并且要保持清洁和定期消毒。运输车厢的内仓，包括地面、墙面和顶，应为抗腐蚀、防潮，防虫、防鼠的设计，车厢内无不良气味、异味。</w:t>
            </w:r>
          </w:p>
          <w:p w14:paraId="013A6237">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冷藏、冷冻食品必须用专用冷藏、冷冻载具运输，应当有必要的保温设备并在整个运输过程中保持安全的冷藏、冷冻温度。特别是对于长途运输的食品，保证食品在运输全过程处于合适的温度范围。</w:t>
            </w:r>
          </w:p>
          <w:p w14:paraId="4CBCEFC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整个运输过程应科学合理，运输车辆应定期清洁，保持性能稳定，符合规定的温度要求，使运输食品处于恒定的环境中。</w:t>
            </w:r>
          </w:p>
          <w:p w14:paraId="2A9C7F3E">
            <w:pPr>
              <w:autoSpaceDE w:val="0"/>
              <w:spacing w:line="24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送货车辆实行1小时配送圈运作，在1小时内的用保温车配送，1小时以外的用制冷车配送，保证肉类中心温度控制在-2-7℃的范围之内，保证运输过程冷链不中断。商品到达目的地时外包装箱干爽,无软化现象</w:t>
            </w:r>
            <w:r>
              <w:rPr>
                <w:rFonts w:hint="eastAsia" w:asciiTheme="minorEastAsia" w:hAnsiTheme="minorEastAsia" w:eastAsiaTheme="minorEastAsia" w:cstheme="minorEastAsia"/>
                <w:color w:val="000000" w:themeColor="text1"/>
                <w:szCs w:val="21"/>
                <w14:textFill>
                  <w14:solidFill>
                    <w14:schemeClr w14:val="tx1"/>
                  </w14:solidFill>
                </w14:textFill>
              </w:rPr>
              <w:t>。</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冷藏食材表面温度与标签标识的温度要求不得超过+3℃，冷冻食材表面温度不宜高于-9℃。</w:t>
            </w:r>
          </w:p>
          <w:p w14:paraId="57A238E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（7）卸货要求：</w:t>
            </w:r>
          </w:p>
          <w:p w14:paraId="5A425F7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送货车辆应保持清洁；食品堆放科学合理，避免造成食品的交叉污染；如对温度有要求的食品应确定食品的温度，记录送货车辆温度，并记录存档。</w:t>
            </w:r>
          </w:p>
          <w:p w14:paraId="146675E7">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在本环节中应保证冷藏食品脱离冷链时间不得超过20分钟，冷冻食品脱离冷链时间不得超过30分钟。</w:t>
            </w:r>
          </w:p>
          <w:p w14:paraId="1AD1DAA6">
            <w:pPr>
              <w:numPr>
                <w:ilvl w:val="0"/>
                <w:numId w:val="8"/>
              </w:num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冻肉质量的基本检查：</w:t>
            </w:r>
          </w:p>
          <w:p w14:paraId="44CE8A3D">
            <w:pPr>
              <w:pStyle w:val="18"/>
              <w:numPr>
                <w:ilvl w:val="255"/>
                <w:numId w:val="0"/>
              </w:numPr>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8.1 采购的冻肉必须符合食品卫生要求及国家有关标准和行业规范。采购生产、经营证明文件齐备，明确来源，并具有检验合格证明。严禁含有毒有害物质、虫及混有异物，严禁有腐烂变质、酸败、霉变情况，禁止采购超过保质期限的冻肉类食品。</w:t>
            </w:r>
          </w:p>
          <w:p w14:paraId="6F1B07C2">
            <w:pPr>
              <w:pStyle w:val="18"/>
              <w:numPr>
                <w:ilvl w:val="255"/>
                <w:numId w:val="0"/>
              </w:numPr>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8.2 冻肉类食品包装必须符合国家规范，采购的食品不得存放在有毒、有害的容器和承载物内。食品包装上必须使用原产地标识，应注明：制造商名称和厂址、食品名称和重（容）量、生产日期和保质期限以及食品生产许可证编号等。</w:t>
            </w:r>
          </w:p>
          <w:p w14:paraId="7148CB0C">
            <w:pPr>
              <w:pStyle w:val="18"/>
              <w:numPr>
                <w:ilvl w:val="255"/>
                <w:numId w:val="0"/>
              </w:numPr>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8.3 对不符合采购要求的冻肉类食品由验收人员提出清退，如双方对质量争议的退货前应实行留</w:t>
            </w:r>
            <w:r>
              <w:rPr>
                <w:rFonts w:hint="eastAsia" w:asciiTheme="minorEastAsia" w:hAnsiTheme="minorEastAsia" w:eastAsiaTheme="minorEastAsia" w:cstheme="minorEastAsia"/>
                <w:b w:val="0"/>
                <w:bCs w:val="0"/>
                <w:sz w:val="21"/>
                <w:szCs w:val="21"/>
                <w:lang w:val="en-US" w:eastAsia="zh-CN"/>
              </w:rPr>
              <w:t>样</w:t>
            </w:r>
            <w:r>
              <w:rPr>
                <w:rFonts w:hint="eastAsia" w:asciiTheme="minorEastAsia" w:hAnsiTheme="minorEastAsia" w:eastAsiaTheme="minorEastAsia" w:cstheme="minorEastAsia"/>
                <w:b w:val="0"/>
                <w:bCs w:val="0"/>
                <w:sz w:val="21"/>
                <w:szCs w:val="21"/>
              </w:rPr>
              <w:t>备案，可送深圳市或用户所在地地级市以上质监部门检测，对缺斤短两（或含冰量超标）的应按实际重量扣减。</w:t>
            </w:r>
          </w:p>
          <w:p w14:paraId="2E1F8026">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（9）冻肉类食品验收发现问题时的处理办法：</w:t>
            </w:r>
          </w:p>
          <w:p w14:paraId="7134EE4A">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9.1 按产品质量描述对货物质量进行抽查。</w:t>
            </w:r>
          </w:p>
          <w:p w14:paraId="31BDE068">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9.2 抽查发现食品安全质量问题的处理：</w:t>
            </w:r>
          </w:p>
          <w:p w14:paraId="2E6CDD0B">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对危及人身安全的食品质量问题采取零容忍措施，一经发现，当日所送同批次产品全部退货，同时有权依法解除合同。如水产品中发现河豚鱼，发现腐败变质肉类等。</w:t>
            </w:r>
          </w:p>
          <w:p w14:paraId="434E692A">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若抽查未发现问题，而在加工食用前发现部分产品质量问题，应立即通知物资验收小组及中标人，将问题产品退货，并作扣分处理。</w:t>
            </w:r>
          </w:p>
          <w:p w14:paraId="6BC2E02D">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9.3 抽查发现资质证照不全问题的处理：</w:t>
            </w:r>
          </w:p>
          <w:p w14:paraId="1BC005F4">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对于无政府部门出具的动植物检疫合格证明的、无产品合格证的、肉制品无疾病控制或质量技术监督部门出具的同类产品半年内有效检验报告的全部退货，并作扣分处理。</w:t>
            </w:r>
          </w:p>
          <w:p w14:paraId="082C7F90">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（10）货物重量验收：</w:t>
            </w:r>
          </w:p>
          <w:p w14:paraId="613108A7">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10.1 冻肉类：双方各随机抽取每品种货物一箱，去包装，在流动的10-25℃清水中浸泡解冻至表面冰层融化，个体能够分离为止，充分摊开货物沥水三分钟后称重，取双方抽取样本均值为该产品本批次种货物的验收重量。</w:t>
            </w:r>
          </w:p>
          <w:p w14:paraId="5FA385BC">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10.2 水产类：双方各随机抽取每品种货物两箱，去包装，在流动的10-25℃清水中浸泡解冻至表面冰层融化，个体能够分离为止，充分摊开货物沥水三分钟后称重，取双方抽取样本均值为该产品本批次种货物的验收重量。</w:t>
            </w:r>
          </w:p>
          <w:p w14:paraId="4A1A8FFA">
            <w:pPr>
              <w:autoSpaceDE w:val="0"/>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10.3 新鲜肉类、丸类、火腿、腊肠类等不含冰货物直接称重验收。</w:t>
            </w:r>
          </w:p>
          <w:p w14:paraId="58BB367C">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2.蔬菜类</w:t>
            </w:r>
          </w:p>
          <w:p w14:paraId="677B4AE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中标人每天的供应按</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提出的品种要求和计划数量进行供应。</w:t>
            </w:r>
          </w:p>
          <w:p w14:paraId="4E7F2F9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属季节问题，若出现品种不能满足</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需求的情况，可与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协商调换相应类别的品种（按叶菜、瓜菜等进行分类）。</w:t>
            </w:r>
          </w:p>
          <w:p w14:paraId="31DD501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（1）货物质量要求：</w:t>
            </w:r>
          </w:p>
          <w:p w14:paraId="315AB89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从蔬菜色泽看，各种蔬菜都应具有本品种固有的颜色，大多数有发亮的光泽，以此显示蔬菜的成熟度及鲜嫩程度；</w:t>
            </w:r>
          </w:p>
          <w:p w14:paraId="013586B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从蔬菜气味看，多数蔬菜具有清馨、甘辛香、甜酸香等气味，可凭嗅觉识别不同品种的质量，不允许有腐烂变质的亚硝酸盐味和其他异常气味；</w:t>
            </w:r>
          </w:p>
          <w:p w14:paraId="4343DE7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从蔬菜滋味看，因品种不同而各异，多数蔬菜滋味甘淡、甜酸、清爽鲜美，少数具有辛酸、苦涩等特殊风味以刺激食欲，如失去本品种原有的滋味即为异常；</w:t>
            </w:r>
          </w:p>
          <w:p w14:paraId="69D1D24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从蔬菜形态看，应尽量避免由于客观因素而造成的各种非正常、不新鲜的蔬菜，例如萎蔫、枯塌、损伤、病变、虫害侵蚀等引起的形态异常等。</w:t>
            </w:r>
          </w:p>
          <w:p w14:paraId="722F437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（2）供应和管理要求</w:t>
            </w:r>
          </w:p>
          <w:p w14:paraId="3AC658F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2.1蔬菜供应的品种安排（分主菜和配菜）。</w:t>
            </w:r>
          </w:p>
          <w:p w14:paraId="7DF4DA7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 配菜品种按</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计划和要求的品种供应；</w:t>
            </w:r>
          </w:p>
          <w:p w14:paraId="7075151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2.1.2主菜品种由供求双方根据季节安排，但要确保每周有5个品种以上，每个品种不少于2次，6-9月叶菜类不少于30％，其余时间叶菜类不少于50％。</w:t>
            </w:r>
          </w:p>
          <w:p w14:paraId="53B9986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蔬菜包装与标志要求：包装。容器(框、箱、袋)要求清洁、干燥、牢固、透气，无污染、无异味、无霉变现象。标志。每件包装必须按《农产品包装和标识管理办法》贴标签，并标明产地、品种、净含量、生产单位及地址和采收日期。</w:t>
            </w:r>
          </w:p>
          <w:p w14:paraId="3F23DAA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2.3食品供应链要求：所有食品的来源必须清晰。蔬菜来源须为深圳市范围内的自有基地、商品菜基地或蔬菜专业流通市场，严禁收购散户农民的蔬菜供应。</w:t>
            </w:r>
          </w:p>
          <w:p w14:paraId="259F546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存档。</w:t>
            </w:r>
          </w:p>
          <w:p w14:paraId="18E01EF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2.5管理要求：菜地设有固定的农资存放场所，配有专用的农药喷洒用具及其他农用器具，施用农药有详尽记录，规定施药间隔期后采收；蔬菜采收后需用清洁、无污染的运输工具运抵加工地点。</w:t>
            </w:r>
          </w:p>
          <w:p w14:paraId="013E80D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2.6环境要求：菜地周围需设有隔离网、隔离带或其他有效的隔离措施，确保不受临近农田施肥和用药污染；菜地周围无养殖场、化工厂、垃圾处理场、医院以及污水排放管道等污染源。</w:t>
            </w:r>
          </w:p>
          <w:p w14:paraId="3AE0C94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2.7水源要求：菜地应有清洁无污染的灌溉水源；灌溉水井设有防护设施。灌溉水源需经检测验证符合规定要求，并一年内在蔬菜种植过程对水源进行2次监测。</w:t>
            </w:r>
          </w:p>
          <w:p w14:paraId="176AD8F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2.8农药要求：种植使用的农药必须符合食品安全管理部门的规定，严禁使用违禁药物；农药的采购、保管、发放、使用必须建立记录；蔬菜生产使用农药的间隔期必须符合行业规定，并且采收前中标人应从种植地取样检测农残项目，合格后方可供应。</w:t>
            </w:r>
          </w:p>
          <w:p w14:paraId="7E902CB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（3）蔬菜验收时发现问题的处理方法：</w:t>
            </w:r>
          </w:p>
          <w:p w14:paraId="757698F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3.1按后附产品质量描述对货物质量进行抽查。</w:t>
            </w:r>
          </w:p>
          <w:p w14:paraId="269ED3A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3.2抽查发现食品安全质量问题的处理：</w:t>
            </w:r>
          </w:p>
          <w:p w14:paraId="07F0353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对危及人身安全的食品质量问题采取零容忍措施，一经发现，当日所送同批次产品全部退货，同时有权依法解除合同。如水产品中发现农药残留超标，发现腐败变质蔬菜等。</w:t>
            </w:r>
          </w:p>
          <w:p w14:paraId="5D86F83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若抽查未发现问题，而在加工食用前发现部分产品质量问题，应立即通知物资验收小组及中标人，将问题产品退货处理。</w:t>
            </w:r>
          </w:p>
          <w:p w14:paraId="6FB4CF69">
            <w:pPr>
              <w:autoSpaceDE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3.</w:t>
            </w:r>
            <w:r>
              <w:rPr>
                <w:rFonts w:hint="eastAsia" w:asciiTheme="minorEastAsia" w:hAnsiTheme="minorEastAsia" w:eastAsiaTheme="minorEastAsia" w:cstheme="minorEastAsia"/>
                <w:b/>
                <w:bCs/>
                <w:szCs w:val="21"/>
              </w:rPr>
              <w:t>冻品类</w:t>
            </w:r>
          </w:p>
          <w:p w14:paraId="2652FBA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所供货物应保持较好的外观和质量等级，符合国家食品部门的有关标准，保证无异味、无霉烂变质，肉类保证来源于深圳市正规肉屠宰场，供货时须提交屠宰场的验收单及当批次有效的动物检疫合格证复印件（原件备查），新鲜肉确保每日新鲜，为当天深圳市正规屠宰场宰杀的新鲜肉；冷冻肉要求肉体冻实而坚硬，无化冻现象，肉质紧密而有弹性，色泽均匀，不粘手，交货时干净、新鲜、无异味；冷冻鱼类要求鱼眼睛清亮，角膜透明，鳞片上覆有冻结的透明黏液层，皮肤天然色泽明显。</w:t>
            </w:r>
          </w:p>
          <w:p w14:paraId="075D06F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（2）所有货物规格符合采购人提交的日采购计划中明确的具体需求。</w:t>
            </w:r>
          </w:p>
          <w:p w14:paraId="659ED33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（3）供应产品须符合相关执行标准，包括但不限于：（如有最新的标准，按最新的标准执行）</w:t>
            </w:r>
          </w:p>
          <w:p w14:paraId="4D0F74D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鲜、冻猪肉及猪副产品：GB/T 9959.1-2019</w:t>
            </w:r>
          </w:p>
          <w:p w14:paraId="5A8089A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鲜、冻禽产品：GB 16869-2005</w:t>
            </w:r>
          </w:p>
          <w:p w14:paraId="1F73A4D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冻鱼： GB/T 18109-2024</w:t>
            </w:r>
          </w:p>
          <w:p w14:paraId="475395F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冻银鱼：GB/T 35375-2024</w:t>
            </w:r>
          </w:p>
          <w:p w14:paraId="7CFC134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（4）所有冷冻食品要求清晰列出产品品牌、规格、类型、包装方式、包装净重、含冰量等相关参数。</w:t>
            </w:r>
          </w:p>
          <w:p w14:paraId="05895E4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（5）各中标人提供猪、牛、羊等肉类、家禽类及肉制品应有《卫生检疫报告》、《产品合格证》资质证明。</w:t>
            </w:r>
          </w:p>
          <w:p w14:paraId="47DB18A4">
            <w:pPr>
              <w:autoSpaceDE w:val="0"/>
              <w:spacing w:line="240" w:lineRule="auto"/>
              <w:ind w:firstLine="422" w:firstLineChars="200"/>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蛋类</w:t>
            </w:r>
          </w:p>
          <w:p w14:paraId="234867CA">
            <w:pPr>
              <w:spacing w:line="24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鲜蛋蛋壳清洁完整，无裂纹，无霉斑，灯光透视时整个蛋呈微红色，蛋内无黑点及异物。蛋黄不见或略见阴影，打开后蛋黄凸起完整并带有韧性，蛋白澄清透明，稀稠分明。食材质量等级指标不低于该产品标准的中位数水平，如质量或规格等级划分为1、2、3、4、5或大（L）、中（M）、小（S）的，应选择1、2或大（L）、中（M）等级。</w:t>
            </w:r>
          </w:p>
          <w:p w14:paraId="50951458">
            <w:pPr>
              <w:pStyle w:val="59"/>
              <w:spacing w:line="24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5BE36B6D">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5.</w:t>
            </w:r>
            <w:r>
              <w:rPr>
                <w:rFonts w:hint="eastAsia" w:asciiTheme="minorEastAsia" w:hAnsiTheme="minorEastAsia" w:eastAsiaTheme="minorEastAsia" w:cstheme="minorEastAsia"/>
                <w:b/>
                <w:bCs/>
                <w:szCs w:val="21"/>
              </w:rPr>
              <w:t>食用油</w:t>
            </w:r>
          </w:p>
          <w:p w14:paraId="3452622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（1）必须符合卫生，不得有腐烂、变质、油脂酸败、霉变、生虫、污秽不结、混有异物或者其他感官性状异常，并可能对人体健康有害的物质。</w:t>
            </w:r>
          </w:p>
          <w:p w14:paraId="7499D3B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（2）要提供食品生产许可证编号、国家机关发出的产品检验合格证书。包装箱完整，同时包装箱要印有注册商标、生产厂家名称、厂址、出厂日期、产品合格证、保质期限、产品成份、厂家电话号码。</w:t>
            </w:r>
          </w:p>
          <w:p w14:paraId="01B1B69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中标人在供应过程中，如果发生出现质量问题或造成食物中毒，如变质等情况，经查实后确属供、方责任，中标人应承担全部责任，主要包括食物中毒人员医疗费、误工费、事故处理费等，直至追究刑事责任。</w:t>
            </w:r>
          </w:p>
          <w:p w14:paraId="63DF1B8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（4）供应产品须符合相关执行标准，包括但不限于：（如有最新的标准，按最新的标准执行）</w:t>
            </w:r>
          </w:p>
          <w:p w14:paraId="0338B21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4.1通用标准：符合食品安全国家标准：GB 2761-2017、GB2762‑2025、GB 2760-2024、GB 5009.271-2016；包装应符合GB/T 17374‑2024 食用植物油销售包装、Q/7645776C-0.1-2017 食品包装瓶；</w:t>
            </w:r>
          </w:p>
          <w:p w14:paraId="256EDA4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4.2不同种类食用油标准：</w:t>
            </w:r>
          </w:p>
          <w:p w14:paraId="01D7967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大豆油：GB/T1535‑2026；</w:t>
            </w:r>
          </w:p>
          <w:p w14:paraId="299DCD5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花生油：GB/T1534‑2026；</w:t>
            </w:r>
          </w:p>
          <w:p w14:paraId="5709917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葵花籽油：GB/T 10464-2017；</w:t>
            </w:r>
          </w:p>
          <w:p w14:paraId="696937CE">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菜籽油</w:t>
            </w:r>
            <w:r>
              <w:rPr>
                <w:rFonts w:hint="eastAsia" w:asciiTheme="minorEastAsia" w:hAnsiTheme="minorEastAsia" w:eastAsiaTheme="minorEastAsia" w:cstheme="minorEastAsia"/>
                <w:szCs w:val="21"/>
                <w:lang w:val="de-DE"/>
              </w:rPr>
              <w:t>：GB/T 1536—2021；</w:t>
            </w:r>
          </w:p>
          <w:p w14:paraId="6C5CF5EF">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棉籽油</w:t>
            </w:r>
            <w:r>
              <w:rPr>
                <w:rFonts w:hint="eastAsia" w:asciiTheme="minorEastAsia" w:hAnsiTheme="minorEastAsia" w:eastAsiaTheme="minorEastAsia" w:cstheme="minorEastAsia"/>
                <w:szCs w:val="21"/>
                <w:lang w:val="de-DE"/>
              </w:rPr>
              <w:t>：GB/T 1537-2019；</w:t>
            </w:r>
          </w:p>
          <w:p w14:paraId="2596CA24">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油茶籽油</w:t>
            </w:r>
            <w:r>
              <w:rPr>
                <w:rFonts w:hint="eastAsia" w:asciiTheme="minorEastAsia" w:hAnsiTheme="minorEastAsia" w:eastAsiaTheme="minorEastAsia" w:cstheme="minorEastAsia"/>
                <w:szCs w:val="21"/>
                <w:lang w:val="de-DE"/>
              </w:rPr>
              <w:t>：GB/T 11765-2018；</w:t>
            </w:r>
          </w:p>
          <w:p w14:paraId="3D77A212">
            <w:pPr>
              <w:autoSpaceDE w:val="0"/>
              <w:ind w:firstLine="420" w:firstLineChars="200"/>
              <w:rPr>
                <w:rFonts w:hint="eastAsia" w:asciiTheme="minorEastAsia" w:hAnsiTheme="minorEastAsia" w:eastAsiaTheme="minorEastAsia" w:cstheme="minorEastAsia"/>
                <w:szCs w:val="21"/>
                <w:lang w:val="de-DE"/>
              </w:rPr>
            </w:pPr>
            <w:r>
              <w:rPr>
                <w:rFonts w:hint="eastAsia" w:asciiTheme="minorEastAsia" w:hAnsiTheme="minorEastAsia" w:eastAsiaTheme="minorEastAsia" w:cstheme="minorEastAsia"/>
                <w:szCs w:val="21"/>
              </w:rPr>
              <w:t>玉米油</w:t>
            </w:r>
            <w:r>
              <w:rPr>
                <w:rFonts w:hint="eastAsia" w:asciiTheme="minorEastAsia" w:hAnsiTheme="minorEastAsia" w:eastAsiaTheme="minorEastAsia" w:cstheme="minorEastAsia"/>
                <w:szCs w:val="21"/>
                <w:lang w:val="de-DE"/>
              </w:rPr>
              <w:t>：GB/T 19111-2017；</w:t>
            </w:r>
          </w:p>
          <w:p w14:paraId="62546F5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.3油类质量要求：</w:t>
            </w:r>
          </w:p>
          <w:p w14:paraId="7D03140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每个食用油品种必须色泽好，透明度高，无浑浊，无沉淀和悬浮物，粘度小，无分层现象，气味正常，无酸臭异味。</w:t>
            </w:r>
          </w:p>
          <w:p w14:paraId="0B7200F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严格执行国家相关质量标准及卫生安全标准，色泽、气味、霉变、真菌毒素、重金属污染物、农药等严格控制在国家标准范围内（原粮及成品粮色泽、气味必须正常。霉变粒不得超过2％。真菌毒素：黄曲霉毒素B1 （5μg/kg～20μg/kg）、脱氧雪腐镰刀菌烯醇（≤1000μg/kg）、玉米赤霉烯酮（≤60μg/kg）、赭曲霉毒素A（5μg/kg）。重金属污染物：铅（≤0.2mg/kg）、镉(0.1 mg/kg～0.2 mg/kg)、汞（0.02 mg/kg）、无机砷（0.1 mg/kg～0.2 mg/kg）。农药：对磷化物、马拉硫磷等140余种农药规定了最大残留限量）。并根据用户需求的食用油等级保质保量完成供货。</w:t>
            </w:r>
          </w:p>
          <w:p w14:paraId="799100B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要求提供的食用油生产厂家信誉良好，有明确的商品标签，有生产日期、保质期、质量等级，并标明初制油的加工工艺(即用浸出法生产，还是用压榨法生产的)和是否用转基因油料生产，不许以次充好、以假充真。如将毛油当一级或二级油进行销售，将低价位的植物油掺人高价位植物油中进行销售，牟取暴利，一经查处，中标人将承担全部责任。</w:t>
            </w:r>
          </w:p>
          <w:p w14:paraId="56E706BC">
            <w:pPr>
              <w:numPr>
                <w:ilvl w:val="-1"/>
                <w:numId w:val="0"/>
              </w:numPr>
              <w:autoSpaceDE w:val="0"/>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6.</w:t>
            </w:r>
            <w:r>
              <w:rPr>
                <w:rFonts w:hint="eastAsia" w:asciiTheme="minorEastAsia" w:hAnsiTheme="minorEastAsia" w:eastAsiaTheme="minorEastAsia" w:cstheme="minorEastAsia"/>
                <w:b/>
                <w:bCs/>
                <w:szCs w:val="21"/>
              </w:rPr>
              <w:t>禽类</w:t>
            </w:r>
          </w:p>
          <w:p w14:paraId="64BB1FF9">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鲜肉应肉质新鲜，肌肉色泽鲜红或深红，有光泽；脂肪呈乳白色或粉白色，指压后的凹陷立即恢复，肉质紧密，有坚实感，不得有肉眼可见异物；具有动物检验检疫合格证明；各种食材的感官性状无异常，无明显腐败变质、油脂酸败、发霉生虫、污秽不洁、混有异物、掺假掺杂等情况。食材质量等级指标不低于该产品标准的中位数水平，如质量或规格等级划分为1、2、3、4、5或大（L）、中（M）、小（S）的，应选择1、2或大（L）、中（M）等级。</w:t>
            </w:r>
          </w:p>
          <w:p w14:paraId="15344DAF">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2E6F7FE3">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7.奶</w:t>
            </w:r>
            <w:r>
              <w:rPr>
                <w:rFonts w:hint="eastAsia" w:asciiTheme="minorEastAsia" w:hAnsiTheme="minorEastAsia" w:eastAsiaTheme="minorEastAsia" w:cstheme="minorEastAsia"/>
                <w:b/>
                <w:bCs/>
                <w:szCs w:val="21"/>
              </w:rPr>
              <w:t>制品</w:t>
            </w:r>
          </w:p>
          <w:p w14:paraId="316C8EE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提供最近日期生产出品的鲜奶和酸奶；外包装完整无损，有详细的生产日期、保质期、生产厂家等信息。</w:t>
            </w:r>
          </w:p>
          <w:p w14:paraId="51975F3F">
            <w:pPr>
              <w:autoSpaceDE w:val="0"/>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b w:val="0"/>
                <w:bCs w:val="0"/>
                <w:szCs w:val="21"/>
              </w:rPr>
              <w:t>鲜奶要求：</w:t>
            </w:r>
          </w:p>
          <w:p w14:paraId="0E03FAD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1.1</w:t>
            </w:r>
            <w:r>
              <w:rPr>
                <w:rFonts w:hint="eastAsia" w:asciiTheme="minorEastAsia" w:hAnsiTheme="minorEastAsia" w:eastAsiaTheme="minorEastAsia" w:cstheme="minorEastAsia"/>
                <w:szCs w:val="21"/>
              </w:rPr>
              <w:t>颜色：色泽为乳白色或稍带微黄色。</w:t>
            </w:r>
          </w:p>
          <w:p w14:paraId="3F4B5C8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1.2组织状态：呈均匀的流体，无沉淀、凝块和机械杂质，无粘稠和浓厚现象。</w:t>
            </w:r>
          </w:p>
          <w:p w14:paraId="7F3B3EF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1.3气味: 具有乳特有的乳香味，无其他任何异味。不能发出显著的酸味、苦味、臭味、霉味、涩味、腥味等异常气味。</w:t>
            </w:r>
          </w:p>
          <w:p w14:paraId="68ED180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1.4味道：具有鲜乳独具的纯香味，滋味可口而稍甜，无其他任何异常滋味。不能有有酸味、咸味、苦味等。</w:t>
            </w:r>
          </w:p>
          <w:p w14:paraId="07C2C870">
            <w:pPr>
              <w:autoSpaceDE w:val="0"/>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2</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酸奶要求：</w:t>
            </w:r>
          </w:p>
          <w:p w14:paraId="78079AF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2.1颜色：色泽均匀一致，呈乳白色或稍带微黄色。不得出现色泽不匀、灰暗或出现其他异常颜色。</w:t>
            </w:r>
          </w:p>
          <w:p w14:paraId="5E1337F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2.2组织状态：凝乳均匀细腻，无气泡，允许有少量黄色脂膜和少量乳清。不能出现气泡、霉斑或乳清析出严重、乳清分离等异常状态。</w:t>
            </w:r>
          </w:p>
          <w:p w14:paraId="6E2658D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2.3气味：有清香、纯正的酸奶味。不能有腐败味，霉变味、酒精发酵及其他不良气味。</w:t>
            </w:r>
          </w:p>
          <w:p w14:paraId="5FB89B6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2.4味道：有纯正的酸牛奶味，酸甜适口。不能酸味过度、有苦味、涩味或其他不良滋味。</w:t>
            </w:r>
          </w:p>
          <w:p w14:paraId="61050385">
            <w:pPr>
              <w:bidi w:val="0"/>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8.</w:t>
            </w:r>
            <w:r>
              <w:rPr>
                <w:rFonts w:hint="eastAsia" w:asciiTheme="minorEastAsia" w:hAnsiTheme="minorEastAsia" w:eastAsiaTheme="minorEastAsia" w:cstheme="minorEastAsia"/>
                <w:b/>
                <w:bCs/>
                <w:szCs w:val="21"/>
              </w:rPr>
              <w:t>大米</w:t>
            </w:r>
            <w:r>
              <w:rPr>
                <w:rFonts w:hint="eastAsia" w:asciiTheme="minorEastAsia" w:hAnsiTheme="minorEastAsia" w:eastAsiaTheme="minorEastAsia" w:cstheme="minorEastAsia"/>
                <w:b/>
                <w:bCs/>
                <w:szCs w:val="21"/>
                <w:lang w:val="en-US" w:eastAsia="zh-CN"/>
              </w:rPr>
              <w:t>类</w:t>
            </w:r>
          </w:p>
          <w:p w14:paraId="1E104CC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大米</w:t>
            </w:r>
            <w:r>
              <w:rPr>
                <w:rFonts w:hint="eastAsia" w:asciiTheme="minorEastAsia" w:hAnsiTheme="minorEastAsia" w:eastAsiaTheme="minorEastAsia" w:cstheme="minorEastAsia"/>
                <w:szCs w:val="21"/>
              </w:rPr>
              <w:t>须为一年内新米；</w:t>
            </w:r>
          </w:p>
          <w:p w14:paraId="1F52498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（2）供应产品须达到国家质量标准，包括但不限于：GB/T 1354-2018 三级以上（含三级）籼米，其中铬、镉、无机砷、黄曲霉毒素B1 等项目应符合相应的食品安全国家标准要求；</w:t>
            </w:r>
          </w:p>
          <w:p w14:paraId="3751A9C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（3）包装要求：用纤维袋或塑料袋定量包装。包装上有生产许可证的编号，包装标识清楚，如印有重量、生产日期、保质期、生产厂家、电话等；</w:t>
            </w:r>
          </w:p>
          <w:p w14:paraId="751495E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（4）大米色泽呈透明玉色状，“米眼睛”（胚芽部）的颜色呈乳白色，有自然清香味，脂肪酸值[（mg/100g)≤30]符合GB/T20569-2006《稻谷储存品质判定规则》；</w:t>
            </w:r>
          </w:p>
          <w:p w14:paraId="319D0C9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en-US" w:eastAsia="zh-CN"/>
              </w:rPr>
              <w:t>中标后</w:t>
            </w:r>
            <w:r>
              <w:rPr>
                <w:rFonts w:hint="eastAsia" w:asciiTheme="minorEastAsia" w:hAnsiTheme="minorEastAsia" w:eastAsiaTheme="minorEastAsia" w:cstheme="minorEastAsia"/>
                <w:szCs w:val="21"/>
              </w:rPr>
              <w:t>需提供生产加工方国家认可的质量检测部门出具的检测报告（GB/T 1354-2018），每季度提供生产加工方所在地质量检测部门的检测报告。</w:t>
            </w:r>
          </w:p>
          <w:p w14:paraId="1F460CD4">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9.</w:t>
            </w:r>
            <w:r>
              <w:rPr>
                <w:rFonts w:hint="eastAsia" w:asciiTheme="minorEastAsia" w:hAnsiTheme="minorEastAsia" w:eastAsiaTheme="minorEastAsia" w:cstheme="minorEastAsia"/>
                <w:b/>
                <w:bCs/>
                <w:szCs w:val="21"/>
              </w:rPr>
              <w:t>调味品</w:t>
            </w:r>
          </w:p>
          <w:p w14:paraId="10C153C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（1）总体要求</w:t>
            </w:r>
          </w:p>
          <w:p w14:paraId="01A166E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产品外包装上明确标准产品名称、规格、生产日期、保质期、生产厂家、生产地点、食品生产许可证编号等，符合《食品安全法》的基本要求。</w:t>
            </w:r>
          </w:p>
          <w:p w14:paraId="028A1F0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（2）几种主要调味品的质量标准：</w:t>
            </w:r>
          </w:p>
          <w:p w14:paraId="3F7CDBC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酱油：氨基酸态氮含量要求每百毫升≥0.55；澄清，浓厚，稀稠适度，挂壁，无沉淀。</w:t>
            </w:r>
          </w:p>
          <w:p w14:paraId="17DD39E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醋： 颜色黑紫、过夏不霉、过冬不冻，气味甘甜异酸；食醋的总酸含量要≥3.5g/100ml；具有琥珀色或红棕色，有光泽者为佳品。体态澄清、浓度适当，无悬浮物、沉淀。</w:t>
            </w:r>
          </w:p>
          <w:p w14:paraId="7316E64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味精：味精颗粒形状一致，色洁白有光泽，颗粒间呈散粒状态；味精溶液透明无色，无泡沫，无杂质。</w:t>
            </w:r>
          </w:p>
          <w:p w14:paraId="6528A9B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鸡精：谷氨酸钠，g/100g≥35.0 氯化物g/100g≤40.0，呈味核苷酸二钠g/100g≥1.10，干燥失重g/100g≤3.0，总氮g/100g≥3.00，其他氮g/100g≥0.20。</w:t>
            </w:r>
          </w:p>
          <w:p w14:paraId="338F25B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豆瓣酱：色泽：红褐色、油润光亮；香气：无不良气味；滋味：鲜美、咸淡可口；体态：松散、质地柔软。</w:t>
            </w:r>
          </w:p>
          <w:p w14:paraId="03AFB7C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白砂糖：结晶体、质地均匀、甜味纯正；干燥松散、洁白、有光泽、无明显黑点。</w:t>
            </w:r>
          </w:p>
          <w:p w14:paraId="004C2F0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料酒：酒精含量在15 度以下；由小米或糯米酿造而成。</w:t>
            </w:r>
          </w:p>
          <w:p w14:paraId="55990F04">
            <w:pPr>
              <w:numPr>
                <w:ilvl w:val="0"/>
                <w:numId w:val="9"/>
              </w:numPr>
              <w:autoSpaceDE w:val="0"/>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小麦粉或者面粉类</w:t>
            </w:r>
          </w:p>
          <w:p w14:paraId="167D8111">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各种食材的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239B2A19">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64F3D876">
            <w:pPr>
              <w:widowControl/>
              <w:autoSpaceDE/>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小麦粉（面粉）的质量指标符合食品安全国家标准（GB 2761、GB 2762等）及产品标签明示执行标准的要求，其中通用小麦粉质量等级应达到或超过国家标准GB/T 1355中质量等级为“特制二等”的要求（2023年1月1日起生产的小麦粉应达到GB/T 1355-2021“标准粉”及以上的要求）。</w:t>
            </w:r>
          </w:p>
          <w:p w14:paraId="1C7CF65D">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11</w:t>
            </w:r>
            <w:r>
              <w:rPr>
                <w:rFonts w:hint="eastAsia" w:asciiTheme="minorEastAsia" w:hAnsiTheme="minorEastAsia" w:eastAsiaTheme="minorEastAsia" w:cstheme="minorEastAsia"/>
                <w:b/>
                <w:bCs/>
                <w:szCs w:val="21"/>
              </w:rPr>
              <w:t>.水果类</w:t>
            </w:r>
          </w:p>
          <w:p w14:paraId="13BC711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（1）总体要求</w:t>
            </w:r>
          </w:p>
          <w:p w14:paraId="4451194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1.1色泽：具有该品种成熟果品应有的色泽及形态特征；颜色鲜艳、外型端正、细腻光滑、富有光泽的水果质量一般较好；</w:t>
            </w:r>
          </w:p>
          <w:p w14:paraId="5828F42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1.2外形：果型端正，个头大小基本一致；果品表面清洁新鲜，无腐烂变质、病虫害和机械损伤等。</w:t>
            </w:r>
          </w:p>
          <w:p w14:paraId="5FC171E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1.3气味：多数成熟的果品有较浓郁的芳香；</w:t>
            </w:r>
          </w:p>
          <w:p w14:paraId="4FAB1D3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1.4口感：具有较好的甜度和口感。</w:t>
            </w:r>
          </w:p>
          <w:p w14:paraId="153547E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（2）几种常见水果的质量标准</w:t>
            </w:r>
          </w:p>
          <w:p w14:paraId="4D95E54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苹果：色泽均匀而鲜艳，表面洁净光亮，红者艳如珊瑚、玛瑙，青者黄里透出微红；气味清香；肉质香甜鲜脆，美味可口。</w:t>
            </w:r>
          </w:p>
          <w:p w14:paraId="3AAF04A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梨：果实新鲜饱满，果形端正，因各品种不同而呈青、黄、月白等颜色，成熟适度，肉质细，质地脆而鲜嫩，石细胞少，汁多，味甜或酸甜，无霉烂、冻伤、病灾害和机械伤。</w:t>
            </w:r>
          </w:p>
          <w:p w14:paraId="39D69D4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柑橘类：果形中等，呈圆形或呈长圆形，皮稍厚而光滑润泽，果心无实，核与种均呈白色，果肉汁多，瓤瓣界限不分明，味酸甜适口。</w:t>
            </w:r>
          </w:p>
          <w:p w14:paraId="78A5421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香蕉：体形大而均匀；色泽新鲜、光亮。果皮呈鲜黄或青黄色；果面光滑，无病斑，无虫疤，无霉菌，无创伤；果皮易剥离，果肉稍硬而不摊浆；果肉柔软糯滑，香甜适口，不涩口，无怪味，不软烂。</w:t>
            </w:r>
          </w:p>
          <w:p w14:paraId="45B848A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西瓜：基本端正，具有本品种的基本形状和特征；表面光亮清晰，条纹清晰。无机械伤，无病虫害和干疤；果肉结构松紧适度，呈均匀一致的鲜红色；有清香爽的滋味，无异味。</w:t>
            </w:r>
          </w:p>
          <w:p w14:paraId="781832C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葡萄：新鲜并且成熟适度的葡萄，果粒饱满，大小均匀，果粒牢固，落子较少，果浆多而浓，味甜。</w:t>
            </w:r>
          </w:p>
          <w:p w14:paraId="48039035">
            <w:pPr>
              <w:numPr>
                <w:ilvl w:val="-1"/>
                <w:numId w:val="0"/>
              </w:numPr>
              <w:autoSpaceDE w:val="0"/>
              <w:spacing w:line="240" w:lineRule="auto"/>
              <w:ind w:firstLine="422"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val="en-US" w:eastAsia="zh-CN"/>
              </w:rPr>
              <w:t>12.</w:t>
            </w:r>
            <w:r>
              <w:rPr>
                <w:rFonts w:hint="eastAsia" w:asciiTheme="minorEastAsia" w:hAnsiTheme="minorEastAsia" w:eastAsiaTheme="minorEastAsia" w:cstheme="minorEastAsia"/>
                <w:b/>
                <w:bCs/>
                <w:szCs w:val="21"/>
              </w:rPr>
              <w:t>熟食类</w:t>
            </w:r>
          </w:p>
          <w:p w14:paraId="68251438">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（1）所供货物应符合以下要求：</w:t>
            </w:r>
          </w:p>
          <w:p w14:paraId="3C2DAF74">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采购的熟食原料必须符合国家食品安全标准，不得采购来源不明、未经检验或检验不合格的原料。</w:t>
            </w:r>
          </w:p>
          <w:p w14:paraId="27D3FCC3">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采购时应索取供应商资质证明、产品检验报告等相关文件，并做好采购记录。</w:t>
            </w:r>
          </w:p>
          <w:p w14:paraId="4774D70C">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（2）供应产品须符合相关执行标准，包括但不限于：《食品安全国家标准食品添加剂使用标准》（GB 2760）、《熟肉制品卫生标准》（GB 2726）</w:t>
            </w:r>
          </w:p>
          <w:p w14:paraId="300DBFC3">
            <w:pPr>
              <w:pStyle w:val="59"/>
              <w:spacing w:line="240" w:lineRule="auto"/>
              <w:ind w:firstLine="420" w:firstLineChars="200"/>
              <w:rPr>
                <w:rFonts w:hint="eastAsia" w:asciiTheme="minorEastAsia" w:hAnsiTheme="minorEastAsia" w:eastAsiaTheme="minorEastAsia" w:cstheme="minorEastAsia"/>
                <w:szCs w:val="21"/>
              </w:rPr>
            </w:pPr>
            <w:r>
              <w:rPr>
                <w:rFonts w:hint="eastAsia"/>
                <w:lang w:val="en-US" w:eastAsia="zh-CN"/>
              </w:rPr>
              <w:t>★</w:t>
            </w:r>
            <w:r>
              <w:rPr>
                <w:rFonts w:hint="eastAsia" w:asciiTheme="minorEastAsia" w:hAnsiTheme="minorEastAsia" w:eastAsiaTheme="minorEastAsia" w:cstheme="minorEastAsia"/>
                <w:szCs w:val="21"/>
              </w:rPr>
              <w:t>（3）验收要求：</w:t>
            </w:r>
          </w:p>
          <w:p w14:paraId="00CCCCE2">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对原料的外观、色泽、气味、口感等进行检查，确保符合要求。</w:t>
            </w:r>
          </w:p>
          <w:p w14:paraId="36A67F1E">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卤制品表面应呈现自然酱色，无异常斑点。切片观察横截面，肌肉纤维纹理清晰，脂肪层呈乳白色。使用标准比色卡对照，色差值ΔE≤3.0。</w:t>
            </w:r>
          </w:p>
          <w:p w14:paraId="011AB6D6">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拆包后静置3分钟，距鼻端20cm处嗅闻。合格品应具有原料固有香味，禁止出现哈喇味、酸腐味或消毒水残留气味。</w:t>
            </w:r>
          </w:p>
          <w:p w14:paraId="7878ED00">
            <w:pPr>
              <w:pStyle w:val="59"/>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亚硝酸盐残留量：肉制品≤30mg/kg（GB 2760-2024） 过氧化值：速冻调理肉制品≤0.25g/100g（GB 19295-2021），菌落总数≤10^4 CFU/g ，大肠菌群≤10 MPN/g阳性样本需进行沙门氏菌、金黄色葡萄球菌等致病菌复检。</w:t>
            </w:r>
          </w:p>
          <w:p w14:paraId="0718C6EC">
            <w:pPr>
              <w:numPr>
                <w:ilvl w:val="-1"/>
                <w:numId w:val="0"/>
              </w:numPr>
              <w:autoSpaceDE w:val="0"/>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13.</w:t>
            </w:r>
            <w:r>
              <w:rPr>
                <w:rFonts w:hint="eastAsia" w:asciiTheme="minorEastAsia" w:hAnsiTheme="minorEastAsia" w:eastAsiaTheme="minorEastAsia" w:cstheme="minorEastAsia"/>
                <w:b/>
                <w:bCs/>
                <w:szCs w:val="21"/>
              </w:rPr>
              <w:t>豆制品类</w:t>
            </w:r>
          </w:p>
          <w:p w14:paraId="65642153">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质量符合食品安全国家标准 GB 2712 的要求。</w:t>
            </w:r>
          </w:p>
          <w:p w14:paraId="26ECDD8E">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4436E5A8">
            <w:pPr>
              <w:widowControl/>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49FCD509">
            <w:pPr>
              <w:bidi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1</w:t>
            </w:r>
            <w:r>
              <w:rPr>
                <w:rFonts w:hint="eastAsia" w:asciiTheme="minorEastAsia" w:hAnsiTheme="minorEastAsia" w:eastAsiaTheme="minorEastAsia" w:cstheme="minorEastAsia"/>
                <w:b/>
                <w:bCs/>
                <w:szCs w:val="21"/>
              </w:rPr>
              <w:t>4.干货类</w:t>
            </w:r>
          </w:p>
          <w:p w14:paraId="38ED76E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（1）供应产品质量要求：</w:t>
            </w:r>
          </w:p>
          <w:p w14:paraId="2842620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1.1中标人所提供产品质量必须要符合行业标准要求，不得有掺假、变质、变味、过期等现象出现，严禁伪劣、假冒、无证不合格物品进入仓库。</w:t>
            </w:r>
          </w:p>
          <w:p w14:paraId="1F70147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1.2中标人所提供产品必须价格合理，不得虚高报价，否则</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有权不用。</w:t>
            </w:r>
          </w:p>
          <w:p w14:paraId="47D72B4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中标人在供应过程中，如果发生出现质量问题或造成食物中毒,如变质等情况，经查实后确属供货方责任，中标人应承担全部责任，主要包括食物中毒人员医疗费、误工费、事故处理费等，直至追究刑事责任。同时依法解除合同。</w:t>
            </w:r>
          </w:p>
          <w:p w14:paraId="531A2A7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（2）干货类质量要求：</w:t>
            </w:r>
          </w:p>
          <w:p w14:paraId="4060DF28">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可根据实际情况对需要的干货制品进行品质抽检，对质量未达到国家标准的干货制品</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有权拒绝接受。</w:t>
            </w:r>
          </w:p>
          <w:p w14:paraId="238B8E9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2.2几种主要干货制品的质量标准：</w:t>
            </w:r>
          </w:p>
          <w:p w14:paraId="50000F82">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肉皮：作为干肉皮，无论什么部位，体表洁净无毛，白亮无残余肥膘，无虫蛀，干爽，敲击时响声清脆，质量均匀为好，反之则为次之，如已发霉，并有哈喇味，即已变质。</w:t>
            </w:r>
          </w:p>
          <w:p w14:paraId="3BCA1BDC">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玉兰片：玉兰片以色泽黄白、洁净、肉厚、纤维少、节较密、体长不超过 10~17cm 的为最好，肉薄节疏、纤维多而粗老的质量较差。</w:t>
            </w:r>
          </w:p>
          <w:p w14:paraId="3C4F4EA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黄花菜：又名金针菜，干燥、有清香味，菜色黄亮、身条长而粗壮、条杆粗细均匀者为佳。</w:t>
            </w:r>
          </w:p>
          <w:p w14:paraId="6E47EA1A">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黑木耳：黑木耳的质量一般以条形大而完整，耳瓣舒展少卷曲，内厚黑，富于光泽，体干不霉，无杂质和碎者为优，反之则差。</w:t>
            </w:r>
          </w:p>
          <w:p w14:paraId="7D1E13D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银耳：银耳又称白木耳，以朵大、色洁白、有光泽、无杂质，根小、干度足，完整者为佳品， 朵小、色黄、根大、无光泽，散碎者次之；黄黑色者质量最次，依上述标准可将银耳分为上中下三等。质量好的银耳，根部易稣烂，食之柔软，质量次则根部大而发硬。</w:t>
            </w:r>
          </w:p>
          <w:p w14:paraId="560650C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香菇：根据采收季节和形状不同，香菇又分为花菇、厚菇、薄菇和菇丁四类，其中以花菇质量 最好，厚菇次之，薄菇更差，菇丁质量最差。</w:t>
            </w:r>
          </w:p>
          <w:p w14:paraId="1473DBB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A、花菇：朵小柄短，呈半球状，菇伞顶面有似菊花似的白色裂纹，肉厚、菌盖色泽淡黑，菇底 褶，通过加工呈淡黄色，身干、质嫩、有芳香气味者为质好好香菇。 </w:t>
            </w:r>
          </w:p>
          <w:p w14:paraId="0BE61B9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B、厚菇：形状如伞，顶面无花纹，呈黑色并略有光泽，质嫩、肉厚、朵稍大，质量稍次。 </w:t>
            </w:r>
          </w:p>
          <w:p w14:paraId="44AD2E8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C、薄菇：形状扁平、开伞、朵大、肉薄、菌盖表面浅褐色，菌褐白色，菌柄稍高，浅咖啡色， 基部稍带红色或红褐色，质量比花菇厚，菇差，味淡。 </w:t>
            </w:r>
          </w:p>
          <w:p w14:paraId="7D7C00F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D、菇丁：是指未充分发育的香菇，个小，直径在2cm以下，味淡质差。</w:t>
            </w:r>
          </w:p>
          <w:p w14:paraId="4EF5206E">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腐竹：腐竹又名豆腐皮和油皮，有一、二、三级品之分。一级品：色泽黄亮、干燥筋韧、耐贮、无碎块。二级品：颜色较一极品灰黄、干燥无碎块。三级品：颜色更灰黄、无光泽、易碎、筋韧性差。</w:t>
            </w:r>
          </w:p>
          <w:p w14:paraId="2D745CD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粉丝：质量好的粉丝，粉条细长、白净、晶莹透明、丝条均匀、整齐、干燥，不易折断，无斑点、黑迹，无霉变，有粉丝特有的光泽。</w:t>
            </w:r>
          </w:p>
          <w:p w14:paraId="102E0F89">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蹄筋：猪蹄筋的质量首先从蹄筋抽取的部位区别，后蹄筋体长而圆、粗状、光滑的品质好。前蹄筋体短而扁细、品质较差、保管完好的蹄筋应呈白色、无杂质，干、硬度高。</w:t>
            </w:r>
          </w:p>
          <w:p w14:paraId="1A6B83F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干贝：上等干贝粒大完整、黄亮干燥、肉质饱满，肉丝清晰、粗且有特殊香气。粒小、碎破、色淡无光泽者较次。破碎、发黑发霉的为变质品。</w:t>
            </w:r>
          </w:p>
          <w:p w14:paraId="3CDE1AB1">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鱿鱼：市场上常见的鱿鱼有椭圆形和长方形，选购时应注意：体干、体形完整、光亮洁净、淡粉红色、片大头小、肉厚者为优。体形部分卷曲，尾部和背部红中透暗，两侧有微红点、体小而宽、肉薄者为次品。</w:t>
            </w:r>
          </w:p>
          <w:p w14:paraId="76D81A1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海蛰：海蛰是由水母加工制成，选购时应注意色泽，以乳白色或淡黄色、气味清新、质厚均匀、个体完整、块大、无血黑（体肉红皮）有光泽的为上品，带有膜状血衣的为次品。</w:t>
            </w:r>
          </w:p>
          <w:p w14:paraId="7B1E3035">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紫菜：属海产红藻类植物，因鲜紫菜叶较宽大，经干制成长方块形，散片状卷筒，其中以卷筒形柔嫩微脆、叶薄、色紫清香鲜美的为品质优。</w:t>
            </w:r>
          </w:p>
          <w:p w14:paraId="18D97772">
            <w:pPr>
              <w:widowControl/>
              <w:autoSpaceDE w:val="0"/>
              <w:ind w:firstLine="420" w:firstLineChars="200"/>
              <w:rPr>
                <w:rFonts w:hint="default" w:eastAsia="宋体"/>
                <w:bCs/>
                <w:szCs w:val="21"/>
                <w:lang w:val="en-US" w:eastAsia="zh-CN"/>
              </w:rPr>
            </w:pPr>
            <w:r>
              <w:rPr>
                <w:rFonts w:hint="eastAsia" w:asciiTheme="minorEastAsia" w:hAnsiTheme="minorEastAsia" w:eastAsiaTheme="minorEastAsia" w:cstheme="minorEastAsia"/>
                <w:szCs w:val="21"/>
              </w:rPr>
              <w:t>发菜：发菜是陆生褐色藻类，以藻体细长、绿黑色、柔软爽滑、干燥、无杂质的质量为优，反之则劣。</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15D22178">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2459EAC9">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10157668">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755269A3">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6E59C3D9">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四</w:t>
            </w:r>
            <w:r>
              <w:rPr>
                <w:rFonts w:hint="eastAsia" w:asciiTheme="minorEastAsia" w:hAnsiTheme="minorEastAsia" w:eastAsiaTheme="minorEastAsia" w:cstheme="minorEastAsia"/>
                <w:b/>
                <w:bCs/>
                <w:sz w:val="21"/>
                <w:szCs w:val="21"/>
                <w:lang w:eastAsia="zh-CN"/>
              </w:rPr>
              <w:t>）</w:t>
            </w:r>
            <w:r>
              <w:rPr>
                <w:rFonts w:hint="eastAsia"/>
                <w:lang w:val="en-US" w:eastAsia="zh-CN"/>
              </w:rPr>
              <w:t>★</w:t>
            </w:r>
            <w:r>
              <w:rPr>
                <w:rFonts w:hint="eastAsia" w:asciiTheme="minorEastAsia" w:hAnsiTheme="minorEastAsia" w:eastAsiaTheme="minorEastAsia" w:cstheme="minorEastAsia"/>
                <w:b/>
                <w:bCs/>
                <w:sz w:val="21"/>
                <w:szCs w:val="21"/>
              </w:rPr>
              <w:t>本次食堂食材配送货物的验</w:t>
            </w:r>
            <w:r>
              <w:rPr>
                <w:rFonts w:hint="eastAsia" w:asciiTheme="minorEastAsia" w:hAnsiTheme="minorEastAsia" w:eastAsiaTheme="minorEastAsia" w:cstheme="minorEastAsia"/>
                <w:b/>
                <w:bCs/>
                <w:sz w:val="21"/>
                <w:szCs w:val="21"/>
                <w:lang w:val="en-US" w:eastAsia="zh-CN"/>
              </w:rPr>
              <w:t>收</w:t>
            </w:r>
            <w:r>
              <w:rPr>
                <w:rFonts w:hint="eastAsia" w:asciiTheme="minorEastAsia" w:hAnsiTheme="minorEastAsia" w:eastAsiaTheme="minorEastAsia" w:cstheme="minorEastAsia"/>
                <w:b/>
                <w:bCs/>
                <w:sz w:val="21"/>
                <w:szCs w:val="21"/>
              </w:rPr>
              <w:t>要求：</w:t>
            </w:r>
          </w:p>
          <w:p w14:paraId="305F2730">
            <w:p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1.蔬菜水果类</w:t>
            </w:r>
          </w:p>
          <w:p w14:paraId="444CBC29">
            <w:pPr>
              <w:widowControl/>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Cs w:val="21"/>
              </w:rPr>
              <w:t>新鲜蔬菜和瓜果</w:t>
            </w:r>
            <w:r>
              <w:rPr>
                <w:rFonts w:hint="eastAsia" w:asciiTheme="minorEastAsia" w:hAnsiTheme="minorEastAsia" w:eastAsiaTheme="minorEastAsia" w:cstheme="minorEastAsia"/>
                <w:b w:val="0"/>
                <w:bCs w:val="0"/>
                <w:sz w:val="21"/>
                <w:szCs w:val="21"/>
              </w:rPr>
              <w:t>各种食材的感官性状无异常，无明显腐败变质、油脂酸败、发霉生虫、污秽不洁、混有异物、掺假掺杂等情况。农副产品外观新鲜，无明显萎蔫、腐烂、发芽、畸形等异常情况；蔬菜类需保证无黄叶、枯死叶、无虫、无杂质；水果及其制品需保证成熟、新鲜、无腐烂变质。食材质量等级指标不低于该产品标准的中位数水平，如质量或规格等级划分为1、2、3、4、5或大（L）、中（M）、小（S）的，应选择1、2或大（L）、中（M）等级。</w:t>
            </w:r>
          </w:p>
          <w:p w14:paraId="74C6DE54">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外包装（筐、箱、袋、盒等）整洁、牢固、标签清晰，无明显破损、发霉等现象；非预包装食品的包装需标注名称、生产/加工日期、保质期、供应商/生产者的名称等基本信息；未包装的农产品，需采取附加标签、标识牌、标识带、说明书、合格证、电子秤标签等形式标明农产品的品名、生产地、生产者或者销售者名称等内容（具体符合《农产品包装和标识管理办法》的要求）。</w:t>
            </w:r>
          </w:p>
          <w:p w14:paraId="20E142DA">
            <w:pPr>
              <w:widowControl/>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验收技术要求：</w:t>
            </w:r>
          </w:p>
          <w:p w14:paraId="2D4CC1C5">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新鲜蔬菜：蔬菜新鲜，无明显黄叶、萎蔫、腐烂、发芽、畸形、虫蛀等异常情况，其中，叶菜类、豆类（荚不可食类除外）和净菜的整体利用率不得低于 95%；蔬菜类感官基本要求如下：</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
              <w:gridCol w:w="1432"/>
              <w:gridCol w:w="1600"/>
            </w:tblGrid>
            <w:tr w14:paraId="2A33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67" w:type="dxa"/>
                  <w:vAlign w:val="center"/>
                </w:tcPr>
                <w:p w14:paraId="35870B0F">
                  <w:pPr>
                    <w:widowControl/>
                    <w:ind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类别</w:t>
                  </w:r>
                </w:p>
              </w:tc>
              <w:tc>
                <w:tcPr>
                  <w:tcW w:w="1432" w:type="dxa"/>
                  <w:vAlign w:val="center"/>
                </w:tcPr>
                <w:p w14:paraId="082CE882">
                  <w:pPr>
                    <w:widowControl/>
                    <w:ind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常见品种</w:t>
                  </w:r>
                </w:p>
              </w:tc>
              <w:tc>
                <w:tcPr>
                  <w:tcW w:w="1600" w:type="dxa"/>
                  <w:vAlign w:val="center"/>
                </w:tcPr>
                <w:p w14:paraId="2708CC9D">
                  <w:pPr>
                    <w:widowControl/>
                    <w:ind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感官要求</w:t>
                  </w:r>
                </w:p>
              </w:tc>
            </w:tr>
            <w:tr w14:paraId="60647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7" w:type="dxa"/>
                  <w:vAlign w:val="center"/>
                </w:tcPr>
                <w:p w14:paraId="2D6E6DF5">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叶菜类</w:t>
                  </w:r>
                </w:p>
              </w:tc>
              <w:tc>
                <w:tcPr>
                  <w:tcW w:w="1432" w:type="dxa"/>
                  <w:vAlign w:val="center"/>
                </w:tcPr>
                <w:p w14:paraId="672B3421">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大白菜、小白菜、菜心、生菜、油菜、菠菜等</w:t>
                  </w:r>
                </w:p>
              </w:tc>
              <w:tc>
                <w:tcPr>
                  <w:tcW w:w="1600" w:type="dxa"/>
                  <w:vAlign w:val="center"/>
                </w:tcPr>
                <w:p w14:paraId="7282F1CA">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色泽鲜亮、切口不变色，叶片挺而不萎蔫，无明显黄叶、腐烂叶；质地脆嫩。</w:t>
                  </w:r>
                </w:p>
              </w:tc>
            </w:tr>
            <w:tr w14:paraId="3D88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7" w:type="dxa"/>
                  <w:vAlign w:val="center"/>
                </w:tcPr>
                <w:p w14:paraId="4517177F">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根茎类</w:t>
                  </w:r>
                </w:p>
              </w:tc>
              <w:tc>
                <w:tcPr>
                  <w:tcW w:w="1432" w:type="dxa"/>
                  <w:vAlign w:val="center"/>
                </w:tcPr>
                <w:p w14:paraId="5F15C4BD">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萝卜、土豆、红薯、芋头、莲藕、淮山等</w:t>
                  </w:r>
                </w:p>
              </w:tc>
              <w:tc>
                <w:tcPr>
                  <w:tcW w:w="1600" w:type="dxa"/>
                  <w:vAlign w:val="center"/>
                </w:tcPr>
                <w:p w14:paraId="5D0D588D">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个体均匀，无发芽、变色等现象。</w:t>
                  </w:r>
                </w:p>
              </w:tc>
            </w:tr>
            <w:tr w14:paraId="046E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7" w:type="dxa"/>
                  <w:vAlign w:val="center"/>
                </w:tcPr>
                <w:p w14:paraId="7E9C18B2">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瓜</w:t>
                  </w:r>
                  <w:r>
                    <w:rPr>
                      <w:rFonts w:hint="eastAsia" w:asciiTheme="minorEastAsia" w:hAnsiTheme="minorEastAsia" w:eastAsiaTheme="minorEastAsia" w:cstheme="minorEastAsia"/>
                      <w:sz w:val="21"/>
                      <w:szCs w:val="21"/>
                    </w:rPr>
                    <w:t>果类</w:t>
                  </w:r>
                </w:p>
              </w:tc>
              <w:tc>
                <w:tcPr>
                  <w:tcW w:w="1432" w:type="dxa"/>
                  <w:vAlign w:val="center"/>
                </w:tcPr>
                <w:p w14:paraId="15FAE44E">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南瓜、黄瓜、苦瓜、茄子、西红柿等</w:t>
                  </w:r>
                </w:p>
              </w:tc>
              <w:tc>
                <w:tcPr>
                  <w:tcW w:w="1600" w:type="dxa"/>
                  <w:vAlign w:val="center"/>
                </w:tcPr>
                <w:p w14:paraId="0B83197B">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无明显斑点、畸形、过熟；表皮无明显损伤、变色、生虫等现象。</w:t>
                  </w:r>
                </w:p>
              </w:tc>
            </w:tr>
            <w:tr w14:paraId="49F6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7" w:type="dxa"/>
                  <w:vAlign w:val="center"/>
                </w:tcPr>
                <w:p w14:paraId="25554DC1">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豆类</w:t>
                  </w:r>
                </w:p>
              </w:tc>
              <w:tc>
                <w:tcPr>
                  <w:tcW w:w="1432" w:type="dxa"/>
                  <w:vAlign w:val="center"/>
                </w:tcPr>
                <w:p w14:paraId="356936A1">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豌豆、扁豆、荷兰豆等</w:t>
                  </w:r>
                </w:p>
              </w:tc>
              <w:tc>
                <w:tcPr>
                  <w:tcW w:w="1600" w:type="dxa"/>
                  <w:vAlign w:val="center"/>
                </w:tcPr>
                <w:p w14:paraId="699DFBB4">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色泽鲜绿，豆荚肉厚，无明显褐斑、畸形、生虫等现象。</w:t>
                  </w:r>
                </w:p>
              </w:tc>
            </w:tr>
            <w:tr w14:paraId="2D3A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367" w:type="dxa"/>
                  <w:vAlign w:val="center"/>
                </w:tcPr>
                <w:p w14:paraId="33E9D82D">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食用菌类</w:t>
                  </w:r>
                </w:p>
              </w:tc>
              <w:tc>
                <w:tcPr>
                  <w:tcW w:w="1432" w:type="dxa"/>
                  <w:vAlign w:val="center"/>
                </w:tcPr>
                <w:p w14:paraId="5B466DBB">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香菇、木耳、金针菇等</w:t>
                  </w:r>
                </w:p>
              </w:tc>
              <w:tc>
                <w:tcPr>
                  <w:tcW w:w="1600" w:type="dxa"/>
                  <w:vAlign w:val="center"/>
                </w:tcPr>
                <w:p w14:paraId="371CB93A">
                  <w:pPr>
                    <w:widowControl/>
                    <w:ind w:firstLine="0" w:firstLineChars="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外形饱满、无明显失水、腐烂、发霉或变色等现象。</w:t>
                  </w:r>
                </w:p>
              </w:tc>
            </w:tr>
          </w:tbl>
          <w:p w14:paraId="3AB8BDA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新鲜瓜果：色泽正常；成熟度适中，无明显过生或过熟现象；果形均匀、无畸形果；表皮无明显异常斑点、虫蛀、损伤等现象；口感较好，具有该品种水果特有的风味，无异味。</w:t>
            </w:r>
          </w:p>
          <w:p w14:paraId="43BC1801">
            <w:pPr>
              <w:widowControl/>
              <w:ind w:firstLine="422" w:firstLineChars="200"/>
              <w:rPr>
                <w:rFonts w:hint="eastAsia" w:asciiTheme="minorEastAsia" w:hAnsiTheme="minorEastAsia" w:eastAsiaTheme="minorEastAsia" w:cstheme="minorEastAsia"/>
                <w:b/>
                <w:bCs/>
                <w:szCs w:val="21"/>
                <w:highlight w:val="none"/>
                <w:lang w:eastAsia="zh-CN"/>
              </w:rPr>
            </w:pPr>
            <w:r>
              <w:rPr>
                <w:rFonts w:hint="eastAsia" w:asciiTheme="minorEastAsia" w:hAnsiTheme="minorEastAsia" w:eastAsiaTheme="minorEastAsia" w:cstheme="minorEastAsia"/>
                <w:b/>
                <w:bCs/>
                <w:szCs w:val="21"/>
                <w:lang w:val="en-US" w:eastAsia="zh-CN"/>
              </w:rPr>
              <w:t>2.</w:t>
            </w:r>
            <w:r>
              <w:rPr>
                <w:rFonts w:hint="eastAsia" w:asciiTheme="minorEastAsia" w:hAnsiTheme="minorEastAsia" w:eastAsiaTheme="minorEastAsia" w:cstheme="minorEastAsia"/>
                <w:b/>
                <w:bCs/>
                <w:szCs w:val="21"/>
                <w:highlight w:val="none"/>
              </w:rPr>
              <w:t>鲜</w:t>
            </w:r>
            <w:r>
              <w:rPr>
                <w:rFonts w:hint="eastAsia" w:asciiTheme="minorEastAsia" w:hAnsiTheme="minorEastAsia" w:eastAsiaTheme="minorEastAsia" w:cstheme="minorEastAsia"/>
                <w:b/>
                <w:bCs/>
                <w:szCs w:val="21"/>
                <w:highlight w:val="none"/>
                <w:lang w:val="en-US" w:eastAsia="zh-CN"/>
              </w:rPr>
              <w:t>肉</w:t>
            </w:r>
            <w:r>
              <w:rPr>
                <w:rFonts w:hint="eastAsia" w:asciiTheme="minorEastAsia" w:hAnsiTheme="minorEastAsia" w:eastAsiaTheme="minorEastAsia" w:cstheme="minorEastAsia"/>
                <w:b/>
                <w:bCs/>
                <w:szCs w:val="21"/>
                <w:highlight w:val="none"/>
                <w:lang w:eastAsia="zh-CN"/>
              </w:rPr>
              <w:t>、</w:t>
            </w:r>
            <w:r>
              <w:rPr>
                <w:rFonts w:hint="eastAsia" w:asciiTheme="minorEastAsia" w:hAnsiTheme="minorEastAsia" w:eastAsiaTheme="minorEastAsia" w:cstheme="minorEastAsia"/>
                <w:b/>
                <w:bCs/>
                <w:szCs w:val="21"/>
                <w:highlight w:val="none"/>
              </w:rPr>
              <w:t>禽</w:t>
            </w:r>
            <w:r>
              <w:rPr>
                <w:rFonts w:hint="eastAsia" w:asciiTheme="minorEastAsia" w:hAnsiTheme="minorEastAsia" w:eastAsiaTheme="minorEastAsia" w:cstheme="minorEastAsia"/>
                <w:b/>
                <w:bCs/>
                <w:szCs w:val="21"/>
                <w:highlight w:val="none"/>
                <w:lang w:val="en-US" w:eastAsia="zh-CN"/>
              </w:rPr>
              <w:t>类</w:t>
            </w:r>
          </w:p>
          <w:p w14:paraId="0BCAAFCE">
            <w:pPr>
              <w:widowControl/>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鲜肉应肉质新鲜，肌肉色泽鲜红或深红，有光泽；脂肪呈乳白色或粉白色，指压后的凹陷立即恢复，肉质紧密，有坚实感，不得有肉眼可见异物；具有动物检验检疫合格证明；各种食材的感官性状无异常，无明显腐败变质、油脂酸败、发霉生虫、污秽不洁、混有异物、掺假掺杂等情况。食材质量等级指标不低于该产品标准的中位数水平，如质量或规格等级划分为1、2、3、4、5或大（L）、中（M）、小（S）的，应选择1、2或大（L）、中（M）等级。</w:t>
            </w:r>
          </w:p>
          <w:p w14:paraId="2CF5C4B4">
            <w:pPr>
              <w:widowControl/>
              <w:ind w:firstLine="420"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4908C543">
            <w:pPr>
              <w:widowControl/>
              <w:ind w:firstLine="422" w:firstLineChars="20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验收技术要求：</w:t>
            </w:r>
            <w:r>
              <w:rPr>
                <w:rFonts w:hint="eastAsia" w:asciiTheme="minorEastAsia" w:hAnsiTheme="minorEastAsia" w:eastAsiaTheme="minorEastAsia" w:cstheme="minorEastAsia"/>
                <w:szCs w:val="21"/>
                <w:highlight w:val="none"/>
              </w:rPr>
              <w:t>生鲜肉的食品安全指标应符合、GB 16869（或最新标准）的规定。国家有定点屠宰、检验检疫要求的品种，应来自于定点屠宰厂出品、有国家规定的动物产品检疫合格证明及验讫印章（猪肉还需有肉品品质检验合格证明及验讫印章）。其中：猪肉的质量指标应符合GB2707、GB/T 9959.1、GB/T9959.2（或最新标准）的相应技术要求；牛肉的质量指标应符合GB2707、GB/T 17238（或最新标准）的相应技术要求；羊肉的质量指标应符合GB2707、GB/T 9961（或最新标准）的相应技术要求。</w:t>
            </w:r>
          </w:p>
          <w:p w14:paraId="7FEE6F81">
            <w:p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3.蛋类</w:t>
            </w:r>
          </w:p>
          <w:p w14:paraId="3AA8610B">
            <w:pPr>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鲜蛋蛋壳清洁完整，无裂纹，无霉斑，灯光透视时整个蛋呈微红色，蛋内无黑点及异物。蛋黄不见或略见阴影，打开后蛋黄凸起完整并带有韧性，蛋白澄清透明，稀稠分明。食材质量等级指标不低于该产品标准的中位数水平，如质量或规格等级划分为1、2、3、4、5或大（L）、中（M）、小（S）的，应选择1、2或大（L）、中（M）等级。</w:t>
            </w:r>
          </w:p>
          <w:p w14:paraId="272433EE">
            <w:pPr>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外包装（筐、箱、袋、盒等）整洁、牢固、标签清晰，无明显破损、发霉等现象；非预包装食品的包装应至少标注名称、生产/加工日期、保质期、供应商/生产者的名称等基本信息；未包装的农产品，应当采取附加标签、标识牌、标识带、说明书、合格证、电子秤标签等形式标明农产品的品名、生产地、生产者或者销售者名称等内容（具体符合《农产品包装和标识管理办法》的要求）。</w:t>
            </w:r>
          </w:p>
          <w:p w14:paraId="04419DCE">
            <w:pPr>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验收技术要求：鲜蛋的食品安全指标应符合食品安全国家标准（GB 31650、GB 2762、GB 2749）（或最新标准）的规定及产品标签明示执行标准的要求。产品标签内容清晰，明确标注产品的品名、商标、生产日期、保质期、产地、储存条件等相关信息，并与合同文件及供（送）货单内容一致；包装应采用符合国家卫生标准要求的包装材料。</w:t>
            </w:r>
          </w:p>
          <w:p w14:paraId="53E7BA77">
            <w:pPr>
              <w:numPr>
                <w:ilvl w:val="0"/>
                <w:numId w:val="0"/>
              </w:num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kern w:val="2"/>
                <w:sz w:val="21"/>
                <w:szCs w:val="21"/>
                <w:lang w:val="en-US" w:eastAsia="zh-CN" w:bidi="ar-SA"/>
              </w:rPr>
              <w:t>4.</w:t>
            </w:r>
            <w:r>
              <w:rPr>
                <w:rFonts w:hint="eastAsia" w:asciiTheme="minorEastAsia" w:hAnsiTheme="minorEastAsia" w:eastAsiaTheme="minorEastAsia" w:cstheme="minorEastAsia"/>
                <w:b/>
                <w:bCs/>
                <w:szCs w:val="21"/>
                <w:lang w:val="en-US" w:eastAsia="zh-CN"/>
              </w:rPr>
              <w:t>冻品类</w:t>
            </w:r>
          </w:p>
          <w:p w14:paraId="00696C7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冻畜禽肉：①冻鲜畜禽肉的食品安全指标应符合 GB 2707、GB 16869的要求。国家有定点屠宰、检验检疫要求的品种，应来自于定点屠宰厂出品、有国家规定的动物产品检疫合格证明及验讫印章（猪肉还需有肉品品质检验合格证明及验讫印章）。②肉体冻结坚硬，无变质、无化冻现象；需有相关检验、检疫及相关合格证明；并清晰列出产品品牌、规格、类型、包装方式、包装净重等相关参数；冷冻肉类食品解冻后净重不少于95 %，冷冻禽类食品解冻后净重不少于 94 %;解冻时间为4小时以内(室温 20℃)。③冻畜禽肉解冻后的感官及关键指标符合《深圳市学校食堂食材采购验收参考标准》的相关要求。</w:t>
            </w:r>
          </w:p>
          <w:p w14:paraId="62DB98E9">
            <w:pPr>
              <w:widowControl/>
              <w:ind w:firstLine="420" w:firstLineChars="200"/>
              <w:rPr>
                <w:rFonts w:hint="eastAsia" w:asciiTheme="minorEastAsia" w:hAnsiTheme="minorEastAsia" w:eastAsiaTheme="minorEastAsia" w:cstheme="minorEastAsia"/>
                <w:color w:val="auto"/>
                <w:szCs w:val="21"/>
                <w:highlight w:val="none"/>
                <w:lang w:val="zh-TW"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冷冻水产品（鱼、虾、蟹和贝类）：①冷冻水产品冻结结实，大小规格基本一致，无变质、无化冻现象；解冻后感官状态正常，无腐败变质气味，冻水产类食品解冻后净重不少于85% ，解冻时间为4小时以内(室温20℃)。②产品质量符合食品安全国家标准 GB 2733 及产品明示质量标准的要求</w:t>
            </w:r>
            <w:r>
              <w:rPr>
                <w:rFonts w:hint="eastAsia" w:asciiTheme="minorEastAsia" w:hAnsiTheme="minorEastAsia" w:eastAsiaTheme="minorEastAsia" w:cstheme="minorEastAsia"/>
                <w:color w:val="auto"/>
                <w:szCs w:val="21"/>
                <w:highlight w:val="none"/>
                <w:lang w:val="zh-TW" w:eastAsia="zh-CN"/>
              </w:rPr>
              <w:t>。</w:t>
            </w:r>
          </w:p>
          <w:p w14:paraId="598947EF">
            <w:pPr>
              <w:widowControl/>
              <w:ind w:firstLine="422" w:firstLineChars="200"/>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5.水产类</w:t>
            </w:r>
          </w:p>
          <w:p w14:paraId="75CC2B4F">
            <w:pPr>
              <w:widowControl/>
              <w:ind w:firstLine="420" w:firstLineChars="200"/>
              <w:rPr>
                <w:rFonts w:hint="eastAsia" w:asciiTheme="minorEastAsia" w:hAnsiTheme="minorEastAsia" w:eastAsiaTheme="minorEastAsia" w:cstheme="minorEastAsia"/>
                <w:color w:val="auto"/>
                <w:szCs w:val="21"/>
                <w:highlight w:val="none"/>
                <w:lang w:val="zh-TW"/>
              </w:rPr>
            </w:pPr>
            <w:r>
              <w:rPr>
                <w:rFonts w:hint="eastAsia" w:asciiTheme="minorEastAsia" w:hAnsiTheme="minorEastAsia" w:eastAsiaTheme="minorEastAsia" w:cstheme="minorEastAsia"/>
                <w:color w:val="auto"/>
                <w:szCs w:val="21"/>
                <w:highlight w:val="none"/>
              </w:rPr>
              <w:t>鲜活水产品（鱼、虾、蟹和贝类）：鲜活、大小规格基本一致，体表无明显碰撞伤，质量符合食品安全国家标准 GB 2733、GB 31650 及产品明示质量标准的要求</w:t>
            </w:r>
            <w:r>
              <w:rPr>
                <w:rFonts w:hint="eastAsia" w:asciiTheme="minorEastAsia" w:hAnsiTheme="minorEastAsia" w:eastAsiaTheme="minorEastAsia" w:cstheme="minorEastAsia"/>
                <w:color w:val="auto"/>
                <w:szCs w:val="21"/>
                <w:highlight w:val="none"/>
                <w:lang w:val="zh-TW"/>
              </w:rPr>
              <w:t>，其中关键指标见</w:t>
            </w:r>
            <w:r>
              <w:rPr>
                <w:rFonts w:hint="eastAsia" w:asciiTheme="minorEastAsia" w:hAnsiTheme="minorEastAsia" w:eastAsiaTheme="minorEastAsia" w:cstheme="minorEastAsia"/>
                <w:color w:val="auto"/>
                <w:szCs w:val="21"/>
                <w:highlight w:val="none"/>
              </w:rPr>
              <w:t>下</w:t>
            </w:r>
            <w:r>
              <w:rPr>
                <w:rFonts w:hint="eastAsia" w:asciiTheme="minorEastAsia" w:hAnsiTheme="minorEastAsia" w:eastAsiaTheme="minorEastAsia" w:cstheme="minorEastAsia"/>
                <w:color w:val="auto"/>
                <w:szCs w:val="21"/>
                <w:highlight w:val="none"/>
                <w:lang w:val="zh-TW"/>
              </w:rPr>
              <w:t>表：</w:t>
            </w:r>
          </w:p>
          <w:tbl>
            <w:tblPr>
              <w:tblStyle w:val="42"/>
              <w:tblW w:w="3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152"/>
              <w:gridCol w:w="1705"/>
            </w:tblGrid>
            <w:tr w14:paraId="3C9E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842" w:type="dxa"/>
                  <w:vAlign w:val="center"/>
                </w:tcPr>
                <w:p w14:paraId="326B9E76">
                  <w:pPr>
                    <w:widowControl/>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序号</w:t>
                  </w:r>
                </w:p>
              </w:tc>
              <w:tc>
                <w:tcPr>
                  <w:tcW w:w="1152" w:type="dxa"/>
                  <w:vAlign w:val="center"/>
                </w:tcPr>
                <w:p w14:paraId="736449C0">
                  <w:pPr>
                    <w:widowControl/>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项目</w:t>
                  </w:r>
                </w:p>
              </w:tc>
              <w:tc>
                <w:tcPr>
                  <w:tcW w:w="1705" w:type="dxa"/>
                  <w:vAlign w:val="center"/>
                </w:tcPr>
                <w:p w14:paraId="204F7240">
                  <w:pPr>
                    <w:widowControl/>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关键指标</w:t>
                  </w:r>
                </w:p>
              </w:tc>
            </w:tr>
            <w:tr w14:paraId="4A9A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842" w:type="dxa"/>
                  <w:vAlign w:val="center"/>
                </w:tcPr>
                <w:p w14:paraId="1169E405">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1152" w:type="dxa"/>
                  <w:vAlign w:val="center"/>
                </w:tcPr>
                <w:p w14:paraId="1FF8D2DA">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挥发性盐基氮（mg/100 g）≤</w:t>
                  </w:r>
                </w:p>
              </w:tc>
              <w:tc>
                <w:tcPr>
                  <w:tcW w:w="1705" w:type="dxa"/>
                  <w:vAlign w:val="center"/>
                </w:tcPr>
                <w:p w14:paraId="43214EAE">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30（海水鱼、虾）</w:t>
                  </w:r>
                </w:p>
                <w:p w14:paraId="49723E23">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25（海蟹）</w:t>
                  </w:r>
                </w:p>
                <w:p w14:paraId="32266D3B">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20（淡水鱼、虾）</w:t>
                  </w:r>
                </w:p>
                <w:p w14:paraId="5832FA66">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15（冷冻贝类）</w:t>
                  </w:r>
                </w:p>
              </w:tc>
            </w:tr>
            <w:tr w14:paraId="35D5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42" w:type="dxa"/>
                  <w:vAlign w:val="center"/>
                </w:tcPr>
                <w:p w14:paraId="1EDB86CD">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1152" w:type="dxa"/>
                  <w:vAlign w:val="center"/>
                </w:tcPr>
                <w:p w14:paraId="5F3008D6">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组胺（mg/100 g）≤</w:t>
                  </w:r>
                </w:p>
              </w:tc>
              <w:tc>
                <w:tcPr>
                  <w:tcW w:w="1705" w:type="dxa"/>
                  <w:vAlign w:val="center"/>
                </w:tcPr>
                <w:p w14:paraId="3C65D28C">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40（高组胺鱼类）</w:t>
                  </w:r>
                </w:p>
                <w:p w14:paraId="628FB84B">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20（其他海水鱼类）</w:t>
                  </w:r>
                </w:p>
              </w:tc>
            </w:tr>
            <w:tr w14:paraId="6D67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842" w:type="dxa"/>
                  <w:vAlign w:val="center"/>
                </w:tcPr>
                <w:p w14:paraId="3736E698">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1152" w:type="dxa"/>
                  <w:vAlign w:val="center"/>
                </w:tcPr>
                <w:p w14:paraId="2EFB5DC8">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镉（mg/kg）≤</w:t>
                  </w:r>
                </w:p>
              </w:tc>
              <w:tc>
                <w:tcPr>
                  <w:tcW w:w="1705" w:type="dxa"/>
                  <w:vAlign w:val="center"/>
                </w:tcPr>
                <w:p w14:paraId="7A7FC0F2">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0.1（鱼类）</w:t>
                  </w:r>
                </w:p>
                <w:p w14:paraId="1A676DE2">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0.5（甲壳类）</w:t>
                  </w:r>
                </w:p>
                <w:p w14:paraId="56BA4A9A">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2.0（双壳类、腹足类、头足类、棘皮类）</w:t>
                  </w:r>
                </w:p>
              </w:tc>
            </w:tr>
            <w:tr w14:paraId="4DDA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2" w:type="dxa"/>
                  <w:vAlign w:val="center"/>
                </w:tcPr>
                <w:p w14:paraId="6F3899D2">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1152" w:type="dxa"/>
                  <w:vAlign w:val="center"/>
                </w:tcPr>
                <w:p w14:paraId="402BAC95">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无机砷（mg/kg）≤    </w:t>
                  </w:r>
                </w:p>
              </w:tc>
              <w:tc>
                <w:tcPr>
                  <w:tcW w:w="1705" w:type="dxa"/>
                  <w:vAlign w:val="center"/>
                </w:tcPr>
                <w:p w14:paraId="7028751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0.1（鱼类）</w:t>
                  </w:r>
                </w:p>
                <w:p w14:paraId="511D056E">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0.5（其他）</w:t>
                  </w:r>
                </w:p>
              </w:tc>
            </w:tr>
            <w:tr w14:paraId="1EEF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2" w:type="dxa"/>
                  <w:vAlign w:val="center"/>
                </w:tcPr>
                <w:p w14:paraId="295B6E88">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1152" w:type="dxa"/>
                  <w:vAlign w:val="center"/>
                </w:tcPr>
                <w:p w14:paraId="13F4DFEB">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甲基汞（mg/kg）≤</w:t>
                  </w:r>
                </w:p>
              </w:tc>
              <w:tc>
                <w:tcPr>
                  <w:tcW w:w="1705" w:type="dxa"/>
                  <w:vAlign w:val="center"/>
                </w:tcPr>
                <w:p w14:paraId="28A11B2B">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1.0（肉食性鱼类）</w:t>
                  </w:r>
                </w:p>
                <w:p w14:paraId="73217C30">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0.5（其他）</w:t>
                  </w:r>
                </w:p>
              </w:tc>
            </w:tr>
            <w:tr w14:paraId="3A26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42" w:type="dxa"/>
                  <w:vAlign w:val="center"/>
                </w:tcPr>
                <w:p w14:paraId="19D489A5">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w:t>
                  </w:r>
                </w:p>
              </w:tc>
              <w:tc>
                <w:tcPr>
                  <w:tcW w:w="1152" w:type="dxa"/>
                  <w:vAlign w:val="center"/>
                </w:tcPr>
                <w:p w14:paraId="597600EE">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麻痹性贝类毒素（MU/g） ≤</w:t>
                  </w:r>
                </w:p>
              </w:tc>
              <w:tc>
                <w:tcPr>
                  <w:tcW w:w="1705" w:type="dxa"/>
                  <w:vAlign w:val="center"/>
                </w:tcPr>
                <w:p w14:paraId="5FABD490">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4（贝类）</w:t>
                  </w:r>
                </w:p>
              </w:tc>
            </w:tr>
            <w:tr w14:paraId="5E56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42" w:type="dxa"/>
                  <w:vAlign w:val="center"/>
                </w:tcPr>
                <w:p w14:paraId="47DF9ACD">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w:t>
                  </w:r>
                </w:p>
              </w:tc>
              <w:tc>
                <w:tcPr>
                  <w:tcW w:w="1152" w:type="dxa"/>
                  <w:vAlign w:val="center"/>
                </w:tcPr>
                <w:p w14:paraId="37584CD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腹泻性贝类毒素（MU/g）≤</w:t>
                  </w:r>
                </w:p>
              </w:tc>
              <w:tc>
                <w:tcPr>
                  <w:tcW w:w="1705" w:type="dxa"/>
                  <w:vAlign w:val="center"/>
                </w:tcPr>
                <w:p w14:paraId="5F64B534">
                  <w:pPr>
                    <w:widowControl/>
                    <w:ind w:firstLine="0" w:firstLineChars="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0.05（贝类）</w:t>
                  </w:r>
                </w:p>
              </w:tc>
            </w:tr>
          </w:tbl>
          <w:p w14:paraId="3676F053">
            <w:pPr>
              <w:numPr>
                <w:ilvl w:val="0"/>
                <w:numId w:val="0"/>
              </w:numPr>
              <w:ind w:firstLine="422" w:firstLineChars="200"/>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6.调味品、豆制品、干货类</w:t>
            </w:r>
          </w:p>
          <w:p w14:paraId="7BE10DB5">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各种食材的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5172EFD2">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2365BBCE">
            <w:pPr>
              <w:widowControl/>
              <w:ind w:firstLine="420" w:firstLineChars="200"/>
              <w:rPr>
                <w:rFonts w:hint="eastAsia" w:asciiTheme="minorEastAsia" w:hAnsiTheme="minorEastAsia" w:eastAsiaTheme="minorEastAsia" w:cstheme="minorEastAsia"/>
                <w:b/>
                <w:bCs/>
                <w:szCs w:val="21"/>
              </w:rPr>
            </w:pPr>
            <w:r>
              <w:rPr>
                <w:rFonts w:hint="eastAsia"/>
                <w:lang w:val="en-US" w:eastAsia="zh-CN"/>
              </w:rPr>
              <w:t>★</w:t>
            </w:r>
            <w:r>
              <w:rPr>
                <w:rFonts w:hint="eastAsia" w:asciiTheme="minorEastAsia" w:hAnsiTheme="minorEastAsia" w:eastAsiaTheme="minorEastAsia" w:cstheme="minorEastAsia"/>
                <w:b/>
                <w:bCs/>
                <w:szCs w:val="21"/>
              </w:rPr>
              <w:t>验收技术要求：</w:t>
            </w:r>
          </w:p>
          <w:p w14:paraId="52821FA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①调味品</w:t>
            </w:r>
          </w:p>
          <w:p w14:paraId="042C30D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食盐应为预包装产品，符合产品明示执行标准、明示指标及食品安全国家标准 GB 2721 的要求，产品包装完好，标签内容清晰明确，明确标注食盐含量、碘含量（无碘盐除外）；食盐颜色洁白、颗粒大小均匀一致，无结块现象。</w:t>
            </w:r>
          </w:p>
          <w:p w14:paraId="68F6EB2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酱油应为预包装产品，符合产品明示执行标准、明示指标及食品安全国家标准 GB 2717 的要求，质量指标不低于 GB/T18186 的二级酱油技术要求，特征指标（氨基酸态氮）≥0.7 g/100mL。  </w:t>
            </w:r>
          </w:p>
          <w:p w14:paraId="5376D02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酱油为红褐色或棕褐色液体，有光泽，酱香较浓郁，无不良气味。</w:t>
            </w:r>
          </w:p>
          <w:p w14:paraId="0EF730C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食醋应为预包装产品，符合产品明示执行标准、明示指标及食品安全国家标准 GB 2719 的要求，特征指标（总酸）≥3.5g/100 mL。具有食醋应有的滋气味，味道纯正；不浑浊，可有少量沉淀，无异物。</w:t>
            </w:r>
          </w:p>
          <w:p w14:paraId="097D68F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香辛料符合该产品应有的形态和特征，颜色、气味正常，无杂物，发霉、结块等异常状况。</w:t>
            </w:r>
          </w:p>
          <w:p w14:paraId="122B192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②干货(包括蔬菜干制品、干制食用菌、水产干制品等)</w:t>
            </w:r>
          </w:p>
          <w:p w14:paraId="2C40AB76">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预包装产品包装完整，无破损；散装产品应有简易包装且能避免潮湿。产品规格大小整齐、均匀、完整，无虫蛀，无杂质，保持应有的色泽；整体干爽、无霉烂、无异常气味。干制食用菌应符合 GB 7096 的要求；水产干制品应符合GB 10136 的要求；藻类干制品（例如紫菜、干海带）应符合 GB19643 的要求，关键指标见下表：</w:t>
            </w:r>
          </w:p>
          <w:tbl>
            <w:tblPr>
              <w:tblStyle w:val="42"/>
              <w:tblW w:w="3181" w:type="dxa"/>
              <w:tblInd w:w="98" w:type="dxa"/>
              <w:tblLayout w:type="fixed"/>
              <w:tblCellMar>
                <w:top w:w="0" w:type="dxa"/>
                <w:left w:w="108" w:type="dxa"/>
                <w:bottom w:w="0" w:type="dxa"/>
                <w:right w:w="108" w:type="dxa"/>
              </w:tblCellMar>
            </w:tblPr>
            <w:tblGrid>
              <w:gridCol w:w="294"/>
              <w:gridCol w:w="853"/>
              <w:gridCol w:w="2034"/>
            </w:tblGrid>
            <w:tr w14:paraId="7B52C213">
              <w:tblPrEx>
                <w:tblCellMar>
                  <w:top w:w="0" w:type="dxa"/>
                  <w:left w:w="108" w:type="dxa"/>
                  <w:bottom w:w="0" w:type="dxa"/>
                  <w:right w:w="108" w:type="dxa"/>
                </w:tblCellMar>
              </w:tblPrEx>
              <w:trPr>
                <w:trHeight w:val="552" w:hRule="atLeast"/>
              </w:trPr>
              <w:tc>
                <w:tcPr>
                  <w:tcW w:w="2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58A10">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序号</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AFD7">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项目</w:t>
                  </w: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774A">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要求</w:t>
                  </w:r>
                </w:p>
              </w:tc>
            </w:tr>
            <w:tr w14:paraId="2B4C3CA2">
              <w:tblPrEx>
                <w:tblCellMar>
                  <w:top w:w="0" w:type="dxa"/>
                  <w:left w:w="108" w:type="dxa"/>
                  <w:bottom w:w="0" w:type="dxa"/>
                  <w:right w:w="108" w:type="dxa"/>
                </w:tblCellMar>
              </w:tblPrEx>
              <w:trPr>
                <w:trHeight w:val="281" w:hRule="atLeast"/>
              </w:trPr>
              <w:tc>
                <w:tcPr>
                  <w:tcW w:w="2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CD48">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w:t>
                  </w:r>
                </w:p>
              </w:tc>
              <w:tc>
                <w:tcPr>
                  <w:tcW w:w="8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4DB3">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水分</w:t>
                  </w:r>
                  <w:r>
                    <w:rPr>
                      <w:rStyle w:val="209"/>
                      <w:rFonts w:hint="eastAsia" w:asciiTheme="minorEastAsia" w:hAnsiTheme="minorEastAsia" w:eastAsiaTheme="minorEastAsia" w:cstheme="minorEastAsia"/>
                      <w:sz w:val="21"/>
                      <w:szCs w:val="21"/>
                    </w:rPr>
                    <w:t>（g/100g）≤</w:t>
                  </w: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2F25">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13（香菇干制品</w:t>
                  </w:r>
                  <w:r>
                    <w:rPr>
                      <w:rStyle w:val="209"/>
                      <w:rFonts w:hint="eastAsia" w:asciiTheme="minorEastAsia" w:hAnsiTheme="minorEastAsia" w:eastAsiaTheme="minorEastAsia" w:cstheme="minorEastAsia"/>
                      <w:sz w:val="21"/>
                      <w:szCs w:val="21"/>
                    </w:rPr>
                    <w:t>）</w:t>
                  </w:r>
                </w:p>
              </w:tc>
            </w:tr>
            <w:tr w14:paraId="6E8F09F0">
              <w:tblPrEx>
                <w:tblCellMar>
                  <w:top w:w="0" w:type="dxa"/>
                  <w:left w:w="108" w:type="dxa"/>
                  <w:bottom w:w="0" w:type="dxa"/>
                  <w:right w:w="108" w:type="dxa"/>
                </w:tblCellMar>
              </w:tblPrEx>
              <w:trPr>
                <w:trHeight w:val="373" w:hRule="atLeast"/>
              </w:trPr>
              <w:tc>
                <w:tcPr>
                  <w:tcW w:w="2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3B1BA">
                  <w:pPr>
                    <w:widowControl/>
                    <w:ind w:firstLine="0" w:firstLineChars="0"/>
                    <w:jc w:val="center"/>
                    <w:rPr>
                      <w:rFonts w:hint="eastAsia" w:asciiTheme="minorEastAsia" w:hAnsiTheme="minorEastAsia" w:eastAsiaTheme="minorEastAsia" w:cstheme="minorEastAsia"/>
                      <w:color w:val="000000"/>
                      <w:sz w:val="21"/>
                      <w:szCs w:val="21"/>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0C6E">
                  <w:pPr>
                    <w:widowControl/>
                    <w:ind w:firstLine="0" w:firstLineChars="0"/>
                    <w:jc w:val="center"/>
                    <w:rPr>
                      <w:rFonts w:hint="eastAsia" w:asciiTheme="minorEastAsia" w:hAnsiTheme="minorEastAsia" w:eastAsiaTheme="minorEastAsia" w:cstheme="minorEastAsia"/>
                      <w:color w:val="000000"/>
                      <w:sz w:val="21"/>
                      <w:szCs w:val="21"/>
                    </w:rPr>
                  </w:pP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013A">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15（银耳干制品</w:t>
                  </w:r>
                  <w:r>
                    <w:rPr>
                      <w:rStyle w:val="209"/>
                      <w:rFonts w:hint="eastAsia" w:asciiTheme="minorEastAsia" w:hAnsiTheme="minorEastAsia" w:eastAsiaTheme="minorEastAsia" w:cstheme="minorEastAsia"/>
                      <w:sz w:val="21"/>
                      <w:szCs w:val="21"/>
                    </w:rPr>
                    <w:t>）</w:t>
                  </w:r>
                </w:p>
              </w:tc>
            </w:tr>
            <w:tr w14:paraId="10D7E3B1">
              <w:tblPrEx>
                <w:tblCellMar>
                  <w:top w:w="0" w:type="dxa"/>
                  <w:left w:w="108" w:type="dxa"/>
                  <w:bottom w:w="0" w:type="dxa"/>
                  <w:right w:w="108" w:type="dxa"/>
                </w:tblCellMar>
              </w:tblPrEx>
              <w:trPr>
                <w:trHeight w:val="552" w:hRule="atLeast"/>
              </w:trPr>
              <w:tc>
                <w:tcPr>
                  <w:tcW w:w="2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8C0F0">
                  <w:pPr>
                    <w:widowControl/>
                    <w:ind w:firstLine="0" w:firstLineChars="0"/>
                    <w:jc w:val="center"/>
                    <w:rPr>
                      <w:rFonts w:hint="eastAsia" w:asciiTheme="minorEastAsia" w:hAnsiTheme="minorEastAsia" w:eastAsiaTheme="minorEastAsia" w:cstheme="minorEastAsia"/>
                      <w:color w:val="000000"/>
                      <w:sz w:val="21"/>
                      <w:szCs w:val="21"/>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F8150">
                  <w:pPr>
                    <w:widowControl/>
                    <w:ind w:firstLine="0" w:firstLineChars="0"/>
                    <w:jc w:val="center"/>
                    <w:rPr>
                      <w:rFonts w:hint="eastAsia" w:asciiTheme="minorEastAsia" w:hAnsiTheme="minorEastAsia" w:eastAsiaTheme="minorEastAsia" w:cstheme="minorEastAsia"/>
                      <w:color w:val="000000"/>
                      <w:sz w:val="21"/>
                      <w:szCs w:val="21"/>
                    </w:rPr>
                  </w:pP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DEBB3">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12（其他食用菌干制品）</w:t>
                  </w:r>
                </w:p>
              </w:tc>
            </w:tr>
            <w:tr w14:paraId="3693C62F">
              <w:tblPrEx>
                <w:tblCellMar>
                  <w:top w:w="0" w:type="dxa"/>
                  <w:left w:w="108" w:type="dxa"/>
                  <w:bottom w:w="0" w:type="dxa"/>
                  <w:right w:w="108" w:type="dxa"/>
                </w:tblCellMar>
              </w:tblPrEx>
              <w:trPr>
                <w:trHeight w:val="823" w:hRule="atLeast"/>
              </w:trPr>
              <w:tc>
                <w:tcPr>
                  <w:tcW w:w="2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7BA2">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2</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D427">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米酵菌酸</w:t>
                  </w:r>
                  <w:r>
                    <w:rPr>
                      <w:rStyle w:val="209"/>
                      <w:rFonts w:hint="eastAsia" w:asciiTheme="minorEastAsia" w:hAnsiTheme="minorEastAsia" w:eastAsiaTheme="minorEastAsia" w:cstheme="minorEastAsia"/>
                      <w:sz w:val="21"/>
                      <w:szCs w:val="21"/>
                    </w:rPr>
                    <w:t>（mg/kg）≤</w:t>
                  </w: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B0F1E">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0.25（银耳</w:t>
                  </w:r>
                  <w:r>
                    <w:rPr>
                      <w:rStyle w:val="209"/>
                      <w:rFonts w:hint="eastAsia" w:asciiTheme="minorEastAsia" w:hAnsiTheme="minorEastAsia" w:eastAsiaTheme="minorEastAsia" w:cstheme="minorEastAsia"/>
                      <w:sz w:val="21"/>
                      <w:szCs w:val="21"/>
                    </w:rPr>
                    <w:t>）</w:t>
                  </w:r>
                </w:p>
              </w:tc>
            </w:tr>
            <w:tr w14:paraId="56D0F100">
              <w:tblPrEx>
                <w:tblCellMar>
                  <w:top w:w="0" w:type="dxa"/>
                  <w:left w:w="108" w:type="dxa"/>
                  <w:bottom w:w="0" w:type="dxa"/>
                  <w:right w:w="108" w:type="dxa"/>
                </w:tblCellMar>
              </w:tblPrEx>
              <w:trPr>
                <w:trHeight w:val="823" w:hRule="atLeast"/>
              </w:trPr>
              <w:tc>
                <w:tcPr>
                  <w:tcW w:w="2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2937">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3</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B9ED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过氧化值</w:t>
                  </w:r>
                  <w:r>
                    <w:rPr>
                      <w:rStyle w:val="209"/>
                      <w:rFonts w:hint="eastAsia" w:asciiTheme="minorEastAsia" w:hAnsiTheme="minorEastAsia" w:eastAsiaTheme="minorEastAsia" w:cstheme="minorEastAsia"/>
                      <w:sz w:val="21"/>
                      <w:szCs w:val="21"/>
                    </w:rPr>
                    <w:t>（g/100g）≤</w:t>
                  </w: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9C38">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0.6（水产干制品</w:t>
                  </w:r>
                  <w:r>
                    <w:rPr>
                      <w:rStyle w:val="209"/>
                      <w:rFonts w:hint="eastAsia" w:asciiTheme="minorEastAsia" w:hAnsiTheme="minorEastAsia" w:eastAsiaTheme="minorEastAsia" w:cstheme="minorEastAsia"/>
                      <w:sz w:val="21"/>
                      <w:szCs w:val="21"/>
                    </w:rPr>
                    <w:t>）</w:t>
                  </w:r>
                </w:p>
              </w:tc>
            </w:tr>
            <w:tr w14:paraId="79306DC7">
              <w:tblPrEx>
                <w:tblCellMar>
                  <w:top w:w="0" w:type="dxa"/>
                  <w:left w:w="108" w:type="dxa"/>
                  <w:bottom w:w="0" w:type="dxa"/>
                  <w:right w:w="108" w:type="dxa"/>
                </w:tblCellMar>
              </w:tblPrEx>
              <w:trPr>
                <w:trHeight w:val="281" w:hRule="atLeast"/>
              </w:trPr>
              <w:tc>
                <w:tcPr>
                  <w:tcW w:w="2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8761">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4</w:t>
                  </w:r>
                </w:p>
              </w:tc>
              <w:tc>
                <w:tcPr>
                  <w:tcW w:w="8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F2DCE">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二氧化硫残留量</w:t>
                  </w:r>
                  <w:r>
                    <w:rPr>
                      <w:rStyle w:val="209"/>
                      <w:rFonts w:hint="eastAsia" w:asciiTheme="minorEastAsia" w:hAnsiTheme="minorEastAsia" w:eastAsiaTheme="minorEastAsia" w:cstheme="minorEastAsia"/>
                      <w:sz w:val="21"/>
                      <w:szCs w:val="21"/>
                    </w:rPr>
                    <w:t>（g/kg）≤</w:t>
                  </w: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987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0.2（干制蔬</w:t>
                  </w:r>
                  <w:r>
                    <w:rPr>
                      <w:rStyle w:val="209"/>
                      <w:rFonts w:hint="eastAsia" w:asciiTheme="minorEastAsia" w:hAnsiTheme="minorEastAsia" w:eastAsiaTheme="minorEastAsia" w:cstheme="minorEastAsia"/>
                      <w:sz w:val="21"/>
                      <w:szCs w:val="21"/>
                    </w:rPr>
                    <w:t>菜）</w:t>
                  </w:r>
                </w:p>
              </w:tc>
            </w:tr>
            <w:tr w14:paraId="55FA0C1B">
              <w:tblPrEx>
                <w:tblCellMar>
                  <w:top w:w="0" w:type="dxa"/>
                  <w:left w:w="108" w:type="dxa"/>
                  <w:bottom w:w="0" w:type="dxa"/>
                  <w:right w:w="108" w:type="dxa"/>
                </w:tblCellMar>
              </w:tblPrEx>
              <w:trPr>
                <w:trHeight w:val="562" w:hRule="atLeast"/>
              </w:trPr>
              <w:tc>
                <w:tcPr>
                  <w:tcW w:w="2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CE1C0">
                  <w:pPr>
                    <w:widowControl/>
                    <w:ind w:firstLine="0" w:firstLineChars="0"/>
                    <w:jc w:val="center"/>
                    <w:rPr>
                      <w:rFonts w:hint="eastAsia" w:asciiTheme="minorEastAsia" w:hAnsiTheme="minorEastAsia" w:eastAsiaTheme="minorEastAsia" w:cstheme="minorEastAsia"/>
                      <w:color w:val="000000"/>
                      <w:sz w:val="21"/>
                      <w:szCs w:val="21"/>
                    </w:rPr>
                  </w:pPr>
                </w:p>
              </w:tc>
              <w:tc>
                <w:tcPr>
                  <w:tcW w:w="8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317CF">
                  <w:pPr>
                    <w:widowControl/>
                    <w:ind w:firstLine="0" w:firstLineChars="0"/>
                    <w:jc w:val="center"/>
                    <w:rPr>
                      <w:rFonts w:hint="eastAsia" w:asciiTheme="minorEastAsia" w:hAnsiTheme="minorEastAsia" w:eastAsiaTheme="minorEastAsia" w:cstheme="minorEastAsia"/>
                      <w:color w:val="000000"/>
                      <w:sz w:val="21"/>
                      <w:szCs w:val="21"/>
                    </w:rPr>
                  </w:pPr>
                </w:p>
              </w:tc>
              <w:tc>
                <w:tcPr>
                  <w:tcW w:w="20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493B">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0.05（干制食用菌及</w:t>
                  </w:r>
                  <w:r>
                    <w:rPr>
                      <w:rStyle w:val="209"/>
                      <w:rFonts w:hint="eastAsia" w:asciiTheme="minorEastAsia" w:hAnsiTheme="minorEastAsia" w:eastAsiaTheme="minorEastAsia" w:cstheme="minorEastAsia"/>
                      <w:sz w:val="21"/>
                      <w:szCs w:val="21"/>
                    </w:rPr>
                    <w:t>藻类）</w:t>
                  </w:r>
                </w:p>
              </w:tc>
            </w:tr>
          </w:tbl>
          <w:p w14:paraId="6AB51D66">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p>
          <w:p w14:paraId="5D2D28BC">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③豆制品</w:t>
            </w:r>
          </w:p>
          <w:p w14:paraId="723D2E91">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质量符合食品安全国家标准 GB 2712 的要求；具有相应产品固有的色、香、味等状态，无杂质，无其他不良气味。</w:t>
            </w:r>
          </w:p>
          <w:p w14:paraId="05624066">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④腌腊肉制品</w:t>
            </w:r>
          </w:p>
          <w:p w14:paraId="1AF7861C">
            <w:pPr>
              <w:pStyle w:val="18"/>
              <w:spacing w:after="0"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应符合食品安全国家标准 GB 2730 及产品明示质量标准的要求，其中关键指标见下表：</w:t>
            </w:r>
          </w:p>
          <w:tbl>
            <w:tblPr>
              <w:tblStyle w:val="42"/>
              <w:tblW w:w="8859" w:type="dxa"/>
              <w:tblInd w:w="98" w:type="dxa"/>
              <w:tblLayout w:type="fixed"/>
              <w:tblCellMar>
                <w:top w:w="0" w:type="dxa"/>
                <w:left w:w="108" w:type="dxa"/>
                <w:bottom w:w="0" w:type="dxa"/>
                <w:right w:w="108" w:type="dxa"/>
              </w:tblCellMar>
            </w:tblPr>
            <w:tblGrid>
              <w:gridCol w:w="386"/>
              <w:gridCol w:w="1227"/>
              <w:gridCol w:w="1227"/>
            </w:tblGrid>
            <w:tr w14:paraId="26045419">
              <w:tblPrEx>
                <w:tblCellMar>
                  <w:top w:w="0" w:type="dxa"/>
                  <w:left w:w="108" w:type="dxa"/>
                  <w:bottom w:w="0" w:type="dxa"/>
                  <w:right w:w="108" w:type="dxa"/>
                </w:tblCellMar>
              </w:tblPrEx>
              <w:trPr>
                <w:trHeight w:val="95" w:hRule="atLeast"/>
              </w:trPr>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ECB8">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序号</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00478">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项目</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E9AE">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要求</w:t>
                  </w:r>
                </w:p>
              </w:tc>
            </w:tr>
            <w:tr w14:paraId="7E6EE241">
              <w:tblPrEx>
                <w:tblCellMar>
                  <w:top w:w="0" w:type="dxa"/>
                  <w:left w:w="108" w:type="dxa"/>
                  <w:bottom w:w="0" w:type="dxa"/>
                  <w:right w:w="108" w:type="dxa"/>
                </w:tblCellMar>
              </w:tblPrEx>
              <w:trPr>
                <w:trHeight w:val="262" w:hRule="atLeast"/>
              </w:trPr>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76779">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w:t>
                  </w:r>
                </w:p>
              </w:tc>
              <w:tc>
                <w:tcPr>
                  <w:tcW w:w="40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4E25">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过氧化值（g/100 g）≤</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9E32">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0.5（火腿、腊肉、腊肠）</w:t>
                  </w:r>
                </w:p>
              </w:tc>
            </w:tr>
            <w:tr w14:paraId="57D2241B">
              <w:tblPrEx>
                <w:tblCellMar>
                  <w:top w:w="0" w:type="dxa"/>
                  <w:left w:w="108" w:type="dxa"/>
                  <w:bottom w:w="0" w:type="dxa"/>
                  <w:right w:w="108" w:type="dxa"/>
                </w:tblCellMar>
              </w:tblPrEx>
              <w:trPr>
                <w:trHeight w:val="262" w:hRule="atLeast"/>
              </w:trPr>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B06A">
                  <w:pPr>
                    <w:widowControl/>
                    <w:ind w:firstLine="0" w:firstLineChars="0"/>
                    <w:jc w:val="center"/>
                    <w:rPr>
                      <w:rFonts w:hint="eastAsia" w:asciiTheme="minorEastAsia" w:hAnsiTheme="minorEastAsia" w:eastAsiaTheme="minorEastAsia" w:cstheme="minorEastAsia"/>
                      <w:color w:val="000000"/>
                      <w:sz w:val="21"/>
                      <w:szCs w:val="21"/>
                    </w:rPr>
                  </w:pPr>
                </w:p>
              </w:tc>
              <w:tc>
                <w:tcPr>
                  <w:tcW w:w="40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15710">
                  <w:pPr>
                    <w:widowControl/>
                    <w:ind w:firstLine="0" w:firstLineChars="0"/>
                    <w:jc w:val="center"/>
                    <w:rPr>
                      <w:rFonts w:hint="eastAsia" w:asciiTheme="minorEastAsia" w:hAnsiTheme="minorEastAsia" w:eastAsiaTheme="minorEastAsia" w:cstheme="minorEastAsia"/>
                      <w:color w:val="000000"/>
                      <w:sz w:val="21"/>
                      <w:szCs w:val="21"/>
                    </w:rPr>
                  </w:pP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A79A">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1.5（腌腊禽制品）</w:t>
                  </w:r>
                </w:p>
              </w:tc>
            </w:tr>
            <w:tr w14:paraId="788A63F6">
              <w:tblPrEx>
                <w:tblCellMar>
                  <w:top w:w="0" w:type="dxa"/>
                  <w:left w:w="108" w:type="dxa"/>
                  <w:bottom w:w="0" w:type="dxa"/>
                  <w:right w:w="108" w:type="dxa"/>
                </w:tblCellMar>
              </w:tblPrEx>
              <w:trPr>
                <w:trHeight w:val="270" w:hRule="atLeast"/>
              </w:trPr>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D4BD">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2</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80BF">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三甲胺氮（mg/100 g） ≤</w:t>
                  </w:r>
                </w:p>
              </w:tc>
              <w:tc>
                <w:tcPr>
                  <w:tcW w:w="4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49D7">
                  <w:pPr>
                    <w:widowControl/>
                    <w:ind w:firstLine="0" w:firstLineChars="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2.5</w:t>
                  </w:r>
                </w:p>
              </w:tc>
            </w:tr>
          </w:tbl>
          <w:p w14:paraId="60799894">
            <w:pPr>
              <w:numPr>
                <w:ilvl w:val="0"/>
                <w:numId w:val="0"/>
              </w:numPr>
              <w:ind w:firstLine="422" w:firstLineChars="200"/>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7.</w:t>
            </w:r>
            <w:r>
              <w:rPr>
                <w:rFonts w:hint="eastAsia" w:asciiTheme="minorEastAsia" w:hAnsiTheme="minorEastAsia" w:eastAsiaTheme="minorEastAsia" w:cstheme="minorEastAsia"/>
                <w:b/>
                <w:bCs/>
                <w:szCs w:val="21"/>
              </w:rPr>
              <w:t>大米、食用油、小麦粉或者面粉类</w:t>
            </w:r>
          </w:p>
          <w:p w14:paraId="2E9FBCA1">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各种食材的感官性状无异常，无明显腐败变质、油脂酸败、发霉生虫、污秽不洁、混有异物、掺假掺杂等情况。预包装产品保质期在一年及以上的，建议收货时的剩余质保期不得少于标注有效期的二分之一；保质期不足一年的，收货时的剩余质保期不得少于标注有效期的三分之二。食材质量等级指标不低于该产品标准的中位数水平，如质量或规格等级划分为1、2、3、4、5或大（L）、中（M）、小（S）的，应选择1、2或大（L）、中（M）等级。</w:t>
            </w:r>
          </w:p>
          <w:p w14:paraId="59E85604">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预包装食品的包装整洁、完好，无破损或胀气现象；标签内容完整、清晰，详细列明产品名称、净含量（规格）、生产日期、配料表、生产者的名称、地址、联系方式、保质期、产品标准代号、贮存条件、生产许可证编号等内容（具体符合GB7718的要求）。预包装食品及加工食品应有生产者及供应商的《食品生产许可证》、《食品经营许可证》等有效资质证明文件；应具有半年内由第三方检测机构或质量监督部门出具的同款产品检测合格报告及本批次产品的出厂检验报告。</w:t>
            </w:r>
          </w:p>
          <w:p w14:paraId="1E7D6115">
            <w:pPr>
              <w:widowControl/>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验收技术要求：</w:t>
            </w:r>
          </w:p>
          <w:p w14:paraId="3660FFAB">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成品粮（大米、小麦粉或面粉）的食品安全指标应符合GB 2715（或最新标准）的规定。其中：大米的质量指标符合食品安全国家标准（GB 2715、GB2762、GB2763等）及产品标签明示执行标准的要求。除此之外，还应符合GB/T 1354普通大米二级（含）或优质大米二级（含）以上的要求，应提供含重金属指标（镉、铅）的产品检验合格证明；小麦粉（面粉）的质量指标符合食品安全国家标准（GB 2761、GB 2762等）及产品标签明示执行标准的要求，其中通用小麦粉质量等级应达到或超过国家标准GB/T 1355中质量等级为“特制二等”的要求（2023年1月1日起生产的小麦粉应达到GB/T 1355-2021“标准粉”及以上的要求）。</w:t>
            </w:r>
          </w:p>
          <w:p w14:paraId="7A9840F5">
            <w:pPr>
              <w:widowControl/>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成品食用油应为预包装食用植物油；需使用非转基因植物油；食用油的食品安全指标应符合GB 2716、GB 2761和GB 2762的规定。其中：大豆油应按GB/T 1535的要求选择一级或二级的大豆油；玉米油的质量指标不低于GB/T 19111的二级成品玉米油的技术要求；菜籽油的质量指标不低于GB/T 1536的二级压榨成品菜籽油的技术要求；花生油的质量指标不低于GB/T 1534的二级压榨成品花生油或二级浸出成品花生油的技术要求；米糠油质量不低于GB/T 19112二级的要求；调和油标签或附带说明书应明确列出调和油的原料或配比。</w:t>
            </w:r>
          </w:p>
          <w:p w14:paraId="3323136A">
            <w:pPr>
              <w:bidi w:val="0"/>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8.奶</w:t>
            </w:r>
            <w:r>
              <w:rPr>
                <w:rFonts w:hint="eastAsia" w:asciiTheme="minorEastAsia" w:hAnsiTheme="minorEastAsia" w:eastAsiaTheme="minorEastAsia" w:cstheme="minorEastAsia"/>
                <w:b/>
                <w:bCs/>
                <w:szCs w:val="21"/>
              </w:rPr>
              <w:t>制品</w:t>
            </w:r>
            <w:r>
              <w:rPr>
                <w:rFonts w:hint="eastAsia" w:asciiTheme="minorEastAsia" w:hAnsiTheme="minorEastAsia" w:eastAsiaTheme="minorEastAsia" w:cstheme="minorEastAsia"/>
                <w:b/>
                <w:bCs/>
                <w:szCs w:val="21"/>
                <w:lang w:val="en-US" w:eastAsia="zh-CN"/>
              </w:rPr>
              <w:t>类</w:t>
            </w:r>
          </w:p>
          <w:p w14:paraId="0B7D933B">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提供最近日期生产出品的鲜奶和酸奶；外包装完整无损，有详细的生产日期、保质期、生产厂家等信息。</w:t>
            </w:r>
          </w:p>
          <w:p w14:paraId="13D91A17">
            <w:pPr>
              <w:autoSpaceDE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lang w:val="en-US" w:eastAsia="zh-CN"/>
              </w:rPr>
              <w:t>1</w:t>
            </w: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rPr>
              <w:t>鲜奶要求：</w:t>
            </w:r>
          </w:p>
          <w:p w14:paraId="02B510E4">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1.1颜色：色泽为乳白色或稍带微黄色。</w:t>
            </w:r>
          </w:p>
          <w:p w14:paraId="2E91F576">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1.2组织状态：呈均匀的流体，无沉淀、凝块和机械杂质，无粘稠和浓厚现象。</w:t>
            </w:r>
          </w:p>
          <w:p w14:paraId="1491FE6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1.3气味: 具有乳特有的乳香味，无其他任何异味。不能发出显著的酸味、苦味、臭味、霉味、涩味、腥味等异常气味。</w:t>
            </w:r>
          </w:p>
          <w:p w14:paraId="717DC180">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1.4味道：具有鲜乳独具的纯香味，滋味可口而稍甜，无其他任何异常滋味。不能有有酸味、咸味、苦味等。</w:t>
            </w:r>
          </w:p>
          <w:p w14:paraId="3DF31D62">
            <w:pPr>
              <w:autoSpaceDE w:val="0"/>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lang w:val="en-US" w:eastAsia="zh-CN"/>
              </w:rPr>
              <w:t>2</w:t>
            </w:r>
            <w:r>
              <w:rPr>
                <w:rFonts w:hint="eastAsia" w:asciiTheme="minorEastAsia" w:hAnsiTheme="minorEastAsia" w:eastAsiaTheme="minorEastAsia" w:cstheme="minorEastAsia"/>
                <w:b/>
                <w:bCs/>
                <w:szCs w:val="21"/>
                <w:lang w:eastAsia="zh-CN"/>
              </w:rPr>
              <w:t>）</w:t>
            </w:r>
            <w:r>
              <w:rPr>
                <w:rFonts w:hint="eastAsia" w:asciiTheme="minorEastAsia" w:hAnsiTheme="minorEastAsia" w:eastAsiaTheme="minorEastAsia" w:cstheme="minorEastAsia"/>
                <w:b/>
                <w:bCs/>
                <w:szCs w:val="21"/>
              </w:rPr>
              <w:t>酸奶要求：</w:t>
            </w:r>
          </w:p>
          <w:p w14:paraId="28093643">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2.1颜色：色泽均匀一致，呈乳白色或稍带微黄色。不得出现色泽不匀、灰暗或出现其他异常颜色。</w:t>
            </w:r>
          </w:p>
          <w:p w14:paraId="0D32F1DF">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2.2组织状态：凝乳均匀细腻，无气泡，允许有少量黄色脂膜和少量乳清。不能出现气泡、霉斑或乳清析出严重、乳清分离等异常状态。</w:t>
            </w:r>
          </w:p>
          <w:p w14:paraId="1FA6FFB7">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2.3气味：有清香、纯正的酸奶味。不能有腐败味，霉变味、酒精发酵及其他不良气味。</w:t>
            </w:r>
          </w:p>
          <w:p w14:paraId="6C199D0D">
            <w:pPr>
              <w:autoSpaceDE w:val="0"/>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2.4味道：有纯正的酸牛奶味，酸甜适口。不能酸味过度、有苦味、涩味或其他不良滋味。</w:t>
            </w:r>
          </w:p>
          <w:p w14:paraId="7FE34990">
            <w:pPr>
              <w:autoSpaceDE w:val="0"/>
              <w:ind w:firstLine="420" w:firstLineChars="200"/>
              <w:rPr>
                <w:rFonts w:hint="eastAsia" w:asciiTheme="minorEastAsia" w:hAnsiTheme="minorEastAsia" w:eastAsiaTheme="minorEastAsia" w:cstheme="minorEastAsia"/>
                <w:b/>
                <w:bCs/>
                <w:szCs w:val="21"/>
                <w:lang w:val="en-US" w:eastAsia="zh-CN"/>
              </w:rPr>
            </w:pPr>
            <w:r>
              <w:rPr>
                <w:rFonts w:hint="eastAsia"/>
                <w:lang w:val="en-US" w:eastAsia="zh-CN"/>
              </w:rPr>
              <w:t>★</w:t>
            </w:r>
            <w:r>
              <w:rPr>
                <w:rFonts w:hint="eastAsia" w:asciiTheme="minorEastAsia" w:hAnsiTheme="minorEastAsia" w:eastAsiaTheme="minorEastAsia" w:cstheme="minorEastAsia"/>
                <w:b/>
                <w:bCs/>
                <w:szCs w:val="21"/>
                <w:lang w:val="en-US" w:eastAsia="zh-CN"/>
              </w:rPr>
              <w:t>验收技术要求：</w:t>
            </w:r>
          </w:p>
          <w:p w14:paraId="0FE2F224">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奶制品验收主要看感官、理化、微生物三大指标，确保安全优质。</w:t>
            </w:r>
          </w:p>
          <w:p w14:paraId="182CABE2">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‌感官验收‌是基础，看色泽是否乳白或微黄，闻气味应有乳香无异味，组织状态需均匀无凝块、沉淀或杂质。</w:t>
            </w:r>
            <w:r>
              <w:rPr>
                <w:rFonts w:hint="eastAsia" w:asciiTheme="minorEastAsia" w:hAnsiTheme="minorEastAsia" w:eastAsiaTheme="minorEastAsia" w:cstheme="minorEastAsia"/>
                <w:kern w:val="2"/>
                <w:szCs w:val="21"/>
                <w:lang w:eastAsia="zh-CN"/>
              </w:rPr>
              <w:t>正规厂家或其代理商，有商标牌号，注明生产日期、产地、保质期、包装规格。需冷藏保存的牛奶类，需至少保证还剩5/6的期限。</w:t>
            </w:r>
          </w:p>
          <w:p w14:paraId="531AD5DE">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‌理化指标‌是关键，包括：</w:t>
            </w:r>
          </w:p>
          <w:p w14:paraId="6DB8E665">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‌蛋白质‌：生牛乳一般≥2.9g/100g，含量越高越好。</w:t>
            </w:r>
          </w:p>
          <w:p w14:paraId="23C40588">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‌脂肪‌：全脂乳通常≥3.1g/100g，影响香浓口感。</w:t>
            </w:r>
          </w:p>
          <w:p w14:paraId="09CD41B0">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‌酸度‌：牛乳正常范围16-18°T，过高可能不新鲜。</w:t>
            </w:r>
          </w:p>
          <w:p w14:paraId="79AD233A">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‌杂质度‌：需极低，保证纯净度。</w:t>
            </w:r>
          </w:p>
          <w:p w14:paraId="1617F9B6">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‌微生物指标‌是安全底线，菌落总数等需符合国家标准，防止污染。</w:t>
            </w:r>
          </w:p>
          <w:p w14:paraId="4BA18524">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验收时还需注意原料来源、供应商资质，并定期检测抗菌素残留等。巴氏杀菌乳等产品还需符合其特定标准。</w:t>
            </w:r>
          </w:p>
          <w:p w14:paraId="3917D95F">
            <w:pPr>
              <w:pStyle w:val="59"/>
              <w:numPr>
                <w:ilvl w:val="-1"/>
                <w:numId w:val="0"/>
              </w:numPr>
              <w:spacing w:line="240" w:lineRule="auto"/>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en-US" w:eastAsia="zh-CN"/>
              </w:rPr>
              <w:t>9.</w:t>
            </w:r>
            <w:r>
              <w:rPr>
                <w:rFonts w:hint="eastAsia" w:asciiTheme="minorEastAsia" w:hAnsiTheme="minorEastAsia" w:eastAsiaTheme="minorEastAsia" w:cstheme="minorEastAsia"/>
                <w:b/>
                <w:bCs/>
                <w:szCs w:val="21"/>
              </w:rPr>
              <w:t>熟食类</w:t>
            </w:r>
          </w:p>
          <w:p w14:paraId="0FCCE1D5">
            <w:pPr>
              <w:pStyle w:val="59"/>
              <w:numPr>
                <w:ilvl w:val="255"/>
                <w:numId w:val="0"/>
              </w:numPr>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（1）对原料的外观、色泽、气味、口感等进行检查，确保符合要求。</w:t>
            </w:r>
          </w:p>
          <w:p w14:paraId="63D2804F">
            <w:pPr>
              <w:pStyle w:val="59"/>
              <w:numPr>
                <w:ilvl w:val="255"/>
                <w:numId w:val="0"/>
              </w:numPr>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（2）卤制品表面应呈现自然酱色，无异常斑点。切片观察横截面，肌肉纤维纹理清晰，脂肪层呈乳白色。使用标准比色卡对照，色差值ΔE≤3.0。</w:t>
            </w:r>
          </w:p>
          <w:p w14:paraId="084A5471">
            <w:pPr>
              <w:pStyle w:val="59"/>
              <w:numPr>
                <w:ilvl w:val="255"/>
                <w:numId w:val="0"/>
              </w:numPr>
              <w:spacing w:line="24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（3）拆包后静置3分钟，距鼻端20cm处嗅闻。合格品应具有原料固有香味，禁止出现哈喇味、酸腐味或消毒水残留气味。</w:t>
            </w:r>
          </w:p>
          <w:p w14:paraId="70BC5206">
            <w:pPr>
              <w:widowControl/>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（4）亚硝酸盐残留量：肉制品≤30mg/kg（GB 2760-2024） 过氧化值：速冻调理肉制品≤0.25g/100g（GB 19295-2021），菌落总数≤10^4 CFU/g ，大肠菌群≤10 MPN/g阳性样本需进行沙门氏菌、金黄色葡萄球菌等致病菌复检。</w:t>
            </w:r>
          </w:p>
          <w:p w14:paraId="07FBA899">
            <w:pPr>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10.其他</w:t>
            </w:r>
          </w:p>
          <w:p w14:paraId="135B133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《深圳市学校食堂食材采购验收参考标准》规定的其他条件。</w:t>
            </w:r>
          </w:p>
          <w:p w14:paraId="2349A9D4">
            <w:pPr>
              <w:widowControl/>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以上所有产品必须符合国家的相关标准与要求，在配送时按要求提供产品所涉及的《全国工业产品生产许可证》、《食品生产许可证》、《食品经营许可证》、《生猪定点屠宰证》和《动物防疫条件合格证》等国家强制规定材料，不得提供转基因食品或利用转基因食品原料加工的成品，国家有出台新的更高标准的，以新的更高标准为准。</w:t>
            </w:r>
          </w:p>
          <w:p w14:paraId="6821FF27">
            <w:pPr>
              <w:adjustRightInd w:val="0"/>
              <w:snapToGrid w:val="0"/>
              <w:ind w:firstLine="420" w:firstLineChars="200"/>
              <w:rPr>
                <w:rFonts w:hint="default" w:eastAsia="宋体"/>
                <w:bCs/>
                <w:szCs w:val="21"/>
                <w:lang w:val="en-US" w:eastAsia="zh-CN"/>
              </w:rPr>
            </w:pPr>
          </w:p>
        </w:tc>
        <w:tc>
          <w:tcPr>
            <w:tcW w:w="2667" w:type="dxa"/>
            <w:tcBorders>
              <w:top w:val="single" w:color="auto" w:sz="4" w:space="0"/>
              <w:left w:val="single" w:color="auto" w:sz="4" w:space="0"/>
              <w:bottom w:val="single" w:color="auto" w:sz="4" w:space="0"/>
              <w:right w:val="single" w:color="auto" w:sz="4" w:space="0"/>
            </w:tcBorders>
            <w:noWrap w:val="0"/>
            <w:vAlign w:val="center"/>
          </w:tcPr>
          <w:p w14:paraId="7B83803B">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3B181B4A">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5B37CF99">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442C677B">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72B8CFEF">
            <w:pPr>
              <w:numPr>
                <w:ilvl w:val="0"/>
                <w:numId w:val="0"/>
              </w:num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kern w:val="2"/>
                <w:sz w:val="21"/>
                <w:szCs w:val="21"/>
                <w:lang w:val="en-US" w:eastAsia="zh-CN" w:bidi="ar-SA"/>
              </w:rPr>
              <w:t>（五）</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sz w:val="21"/>
                <w:szCs w:val="21"/>
              </w:rPr>
              <w:t>本次食堂食材配送货物的监管要求：</w:t>
            </w:r>
          </w:p>
          <w:p w14:paraId="147811AF">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1.</w:t>
            </w:r>
            <w:r>
              <w:rPr>
                <w:rFonts w:hint="eastAsia" w:asciiTheme="minorEastAsia" w:hAnsiTheme="minorEastAsia" w:eastAsiaTheme="minorEastAsia" w:cstheme="minorEastAsia"/>
                <w:b w:val="0"/>
                <w:bCs w:val="0"/>
                <w:szCs w:val="21"/>
              </w:rPr>
              <w:t>资格审定。要求中标供应商按招标文件及合同要求，提供相关资质文件原件，审原件，留复印件。</w:t>
            </w:r>
          </w:p>
          <w:p w14:paraId="4CE29597">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2.</w:t>
            </w:r>
            <w:r>
              <w:rPr>
                <w:rFonts w:hint="eastAsia" w:asciiTheme="minorEastAsia" w:hAnsiTheme="minorEastAsia" w:eastAsiaTheme="minorEastAsia" w:cstheme="minorEastAsia"/>
                <w:b w:val="0"/>
                <w:bCs w:val="0"/>
                <w:szCs w:val="21"/>
              </w:rPr>
              <w:t>实地调研。组成调研小组，对中标供应商进行调研，包括</w:t>
            </w:r>
            <w:r>
              <w:rPr>
                <w:rFonts w:hint="eastAsia" w:asciiTheme="minorEastAsia" w:hAnsiTheme="minorEastAsia" w:eastAsiaTheme="minorEastAsia" w:cstheme="minorEastAsia"/>
                <w:b w:val="0"/>
                <w:bCs w:val="0"/>
                <w:szCs w:val="21"/>
                <w:lang w:val="en-US" w:eastAsia="zh-CN"/>
              </w:rPr>
              <w:t>但不限于</w:t>
            </w:r>
            <w:r>
              <w:rPr>
                <w:rFonts w:hint="eastAsia" w:asciiTheme="minorEastAsia" w:hAnsiTheme="minorEastAsia" w:eastAsiaTheme="minorEastAsia" w:cstheme="minorEastAsia"/>
                <w:b w:val="0"/>
                <w:bCs w:val="0"/>
                <w:szCs w:val="21"/>
              </w:rPr>
              <w:t>厂房情况、车辆情况、台账情况、历史合同情况等。</w:t>
            </w:r>
          </w:p>
          <w:p w14:paraId="3D4B6EBD">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3.</w:t>
            </w:r>
            <w:r>
              <w:rPr>
                <w:rFonts w:hint="eastAsia" w:asciiTheme="minorEastAsia" w:hAnsiTheme="minorEastAsia" w:eastAsiaTheme="minorEastAsia" w:cstheme="minorEastAsia"/>
                <w:b w:val="0"/>
                <w:bCs w:val="0"/>
                <w:szCs w:val="21"/>
              </w:rPr>
              <w:t>日常验收。每天组成验收组，对中标供应商送来的货物进行验收，包括数量、质量、品种等。</w:t>
            </w:r>
          </w:p>
          <w:p w14:paraId="48A61128">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4.</w:t>
            </w:r>
            <w:r>
              <w:rPr>
                <w:rFonts w:hint="eastAsia" w:asciiTheme="minorEastAsia" w:hAnsiTheme="minorEastAsia" w:eastAsiaTheme="minorEastAsia" w:cstheme="minorEastAsia"/>
                <w:b w:val="0"/>
                <w:bCs w:val="0"/>
                <w:szCs w:val="21"/>
              </w:rPr>
              <w:t>溯源。对每种商品的来源、检验报告、发票每月溯源一次。上述资料提供不齐的、拒收该商品。</w:t>
            </w:r>
          </w:p>
          <w:p w14:paraId="1EE30ABC">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5.</w:t>
            </w:r>
            <w:r>
              <w:rPr>
                <w:rFonts w:hint="eastAsia" w:asciiTheme="minorEastAsia" w:hAnsiTheme="minorEastAsia" w:eastAsiaTheme="minorEastAsia" w:cstheme="minorEastAsia"/>
                <w:b w:val="0"/>
                <w:bCs w:val="0"/>
                <w:szCs w:val="21"/>
              </w:rPr>
              <w:t>服务指导。对中标供应商安排的配送员工，进行精细服务方面的指导，要求所派人员随时能提供健康证、身份证。</w:t>
            </w:r>
          </w:p>
          <w:p w14:paraId="42B25C95">
            <w:pPr>
              <w:ind w:firstLine="420" w:firstLineChars="200"/>
              <w:rPr>
                <w:rFonts w:hint="eastAsia" w:asciiTheme="minorEastAsia" w:hAnsiTheme="minorEastAsia" w:eastAsiaTheme="minorEastAsia" w:cstheme="minorEastAsia"/>
                <w:b w:val="0"/>
                <w:bCs w:val="0"/>
                <w:color w:val="FF0000"/>
                <w:szCs w:val="21"/>
              </w:rPr>
            </w:pPr>
            <w:r>
              <w:rPr>
                <w:rFonts w:hint="eastAsia" w:asciiTheme="minorEastAsia" w:hAnsiTheme="minorEastAsia" w:eastAsiaTheme="minorEastAsia" w:cstheme="minorEastAsia"/>
                <w:b w:val="0"/>
                <w:bCs w:val="0"/>
                <w:szCs w:val="21"/>
                <w:lang w:val="en-US" w:eastAsia="zh-CN"/>
              </w:rPr>
              <w:t>6.</w:t>
            </w:r>
            <w:r>
              <w:rPr>
                <w:rFonts w:hint="eastAsia" w:asciiTheme="minorEastAsia" w:hAnsiTheme="minorEastAsia" w:eastAsiaTheme="minorEastAsia" w:cstheme="minorEastAsia"/>
                <w:b w:val="0"/>
                <w:bCs w:val="0"/>
                <w:szCs w:val="21"/>
              </w:rPr>
              <w:t>结账。对供应商所送商品进行比对，以合同约定的</w:t>
            </w:r>
            <w:r>
              <w:rPr>
                <w:rFonts w:hint="eastAsia" w:asciiTheme="minorEastAsia" w:hAnsiTheme="minorEastAsia" w:eastAsiaTheme="minorEastAsia" w:cstheme="minorEastAsia"/>
                <w:b w:val="0"/>
                <w:bCs w:val="0"/>
                <w:sz w:val="21"/>
                <w:szCs w:val="21"/>
                <w:lang w:eastAsia="zh-CN"/>
              </w:rPr>
              <w:t>深圳市中农数据有限公司（天天采</w:t>
            </w:r>
            <w:r>
              <w:rPr>
                <w:rFonts w:hint="eastAsia" w:asciiTheme="minorEastAsia" w:hAnsiTheme="minorEastAsia" w:eastAsiaTheme="minorEastAsia" w:cstheme="minorEastAsia"/>
                <w:b w:val="0"/>
                <w:bCs w:val="0"/>
                <w:sz w:val="21"/>
                <w:szCs w:val="21"/>
                <w:lang w:val="en-US" w:eastAsia="zh-CN"/>
              </w:rPr>
              <w:t>配</w:t>
            </w:r>
            <w:r>
              <w:rPr>
                <w:rFonts w:hint="eastAsia" w:asciiTheme="minorEastAsia" w:hAnsiTheme="minorEastAsia" w:eastAsiaTheme="minorEastAsia" w:cstheme="minorEastAsia"/>
                <w:b w:val="0"/>
                <w:bCs w:val="0"/>
                <w:sz w:val="21"/>
                <w:szCs w:val="21"/>
                <w:lang w:eastAsia="zh-CN"/>
              </w:rPr>
              <w:t>平台）每月</w:t>
            </w:r>
            <w:r>
              <w:rPr>
                <w:rFonts w:hint="eastAsia" w:asciiTheme="minorEastAsia" w:hAnsiTheme="minorEastAsia" w:eastAsiaTheme="minorEastAsia" w:cstheme="minorEastAsia"/>
                <w:b w:val="0"/>
                <w:bCs w:val="0"/>
                <w:sz w:val="21"/>
                <w:szCs w:val="21"/>
                <w:lang w:val="en-US" w:eastAsia="zh-CN"/>
              </w:rPr>
              <w:t>5、15、25日</w:t>
            </w:r>
            <w:r>
              <w:rPr>
                <w:rFonts w:hint="eastAsia" w:asciiTheme="minorEastAsia" w:hAnsiTheme="minorEastAsia" w:eastAsiaTheme="minorEastAsia" w:cstheme="minorEastAsia"/>
                <w:b w:val="0"/>
                <w:bCs w:val="0"/>
                <w:sz w:val="21"/>
                <w:szCs w:val="21"/>
                <w:lang w:eastAsia="zh-CN"/>
              </w:rPr>
              <w:t>公布的菜价的平均价作为基准价</w:t>
            </w:r>
            <w:r>
              <w:rPr>
                <w:rFonts w:hint="eastAsia" w:asciiTheme="minorEastAsia" w:hAnsiTheme="minorEastAsia" w:eastAsiaTheme="minorEastAsia" w:cstheme="minorEastAsia"/>
                <w:b w:val="0"/>
                <w:bCs w:val="0"/>
                <w:szCs w:val="21"/>
              </w:rPr>
              <w:t>，按照投标时承诺的折扣率进行结账。</w:t>
            </w:r>
          </w:p>
          <w:p w14:paraId="7E7EBD95">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val="en-US" w:eastAsia="zh-CN"/>
              </w:rPr>
              <w:t>7.</w:t>
            </w:r>
            <w:r>
              <w:rPr>
                <w:rFonts w:hint="eastAsia" w:asciiTheme="minorEastAsia" w:hAnsiTheme="minorEastAsia" w:eastAsiaTheme="minorEastAsia" w:cstheme="minorEastAsia"/>
                <w:b w:val="0"/>
                <w:bCs w:val="0"/>
                <w:szCs w:val="21"/>
              </w:rPr>
              <w:t>惩罚。供应商存在以下情况</w:t>
            </w:r>
            <w:r>
              <w:rPr>
                <w:rFonts w:hint="eastAsia" w:asciiTheme="minorEastAsia" w:hAnsiTheme="minorEastAsia" w:eastAsiaTheme="minorEastAsia" w:cstheme="minorEastAsia"/>
                <w:b w:val="0"/>
                <w:bCs w:val="0"/>
                <w:szCs w:val="21"/>
                <w:lang w:val="en-US" w:eastAsia="zh-CN"/>
              </w:rPr>
              <w:t>之一</w:t>
            </w:r>
            <w:r>
              <w:rPr>
                <w:rFonts w:hint="eastAsia" w:asciiTheme="minorEastAsia" w:hAnsiTheme="minorEastAsia" w:eastAsiaTheme="minorEastAsia" w:cstheme="minorEastAsia"/>
                <w:b w:val="0"/>
                <w:bCs w:val="0"/>
                <w:szCs w:val="21"/>
              </w:rPr>
              <w:t>的，经学校调查核实后，可以单方中止其配送合同；如果造成重大社会不良影响或师生人身、财产损失的，学校将追究其法律责任。同时向市、区教育领域食堂管理问题专项整治工作专班予以汇报、备案，根据情节对其实施包括深圳市教育食材配送行业准入限制在内的处罚。</w:t>
            </w:r>
          </w:p>
          <w:p w14:paraId="48BEB2A0">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1</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因食材质量引发食品安全事故；</w:t>
            </w:r>
          </w:p>
          <w:p w14:paraId="6B023FE7">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2</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存在严重安全隐患且整改不力；</w:t>
            </w:r>
          </w:p>
          <w:p w14:paraId="228556F1">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3</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学校膳食</w:t>
            </w:r>
            <w:r>
              <w:rPr>
                <w:rFonts w:hint="eastAsia" w:asciiTheme="minorEastAsia" w:hAnsiTheme="minorEastAsia" w:eastAsiaTheme="minorEastAsia" w:cstheme="minorEastAsia"/>
                <w:b w:val="0"/>
                <w:bCs w:val="0"/>
                <w:szCs w:val="21"/>
                <w:lang w:val="en-US" w:eastAsia="zh-CN"/>
              </w:rPr>
              <w:t>管理</w:t>
            </w:r>
            <w:r>
              <w:rPr>
                <w:rFonts w:hint="eastAsia" w:asciiTheme="minorEastAsia" w:hAnsiTheme="minorEastAsia" w:eastAsiaTheme="minorEastAsia" w:cstheme="minorEastAsia"/>
                <w:b w:val="0"/>
                <w:bCs w:val="0"/>
                <w:szCs w:val="21"/>
              </w:rPr>
              <w:t>委员会对</w:t>
            </w:r>
            <w:r>
              <w:rPr>
                <w:rFonts w:hint="eastAsia" w:asciiTheme="minorEastAsia" w:hAnsiTheme="minorEastAsia" w:eastAsiaTheme="minorEastAsia" w:cstheme="minorEastAsia"/>
                <w:b w:val="0"/>
                <w:bCs w:val="0"/>
                <w:szCs w:val="21"/>
                <w:lang w:val="en-US" w:eastAsia="zh-CN"/>
              </w:rPr>
              <w:t>中标</w:t>
            </w:r>
            <w:r>
              <w:rPr>
                <w:rFonts w:hint="eastAsia" w:asciiTheme="minorEastAsia" w:hAnsiTheme="minorEastAsia" w:eastAsiaTheme="minorEastAsia" w:cstheme="minorEastAsia"/>
                <w:b w:val="0"/>
                <w:bCs w:val="0"/>
                <w:szCs w:val="21"/>
              </w:rPr>
              <w:t>供应商</w:t>
            </w:r>
            <w:r>
              <w:rPr>
                <w:rFonts w:hint="eastAsia" w:asciiTheme="minorEastAsia" w:hAnsiTheme="minorEastAsia" w:eastAsiaTheme="minorEastAsia" w:cstheme="minorEastAsia"/>
                <w:b w:val="0"/>
                <w:bCs w:val="0"/>
                <w:szCs w:val="21"/>
                <w:lang w:val="en-US" w:eastAsia="zh-CN"/>
              </w:rPr>
              <w:t>存在</w:t>
            </w:r>
            <w:r>
              <w:rPr>
                <w:rFonts w:hint="eastAsia" w:asciiTheme="minorEastAsia" w:hAnsiTheme="minorEastAsia" w:eastAsiaTheme="minorEastAsia" w:cstheme="minorEastAsia"/>
                <w:b w:val="0"/>
                <w:bCs w:val="0"/>
                <w:szCs w:val="21"/>
              </w:rPr>
              <w:t>1次考核为不合格，且对供应商对</w:t>
            </w:r>
            <w:r>
              <w:rPr>
                <w:rFonts w:hint="eastAsia" w:asciiTheme="minorEastAsia" w:hAnsiTheme="minorEastAsia" w:eastAsiaTheme="minorEastAsia" w:cstheme="minorEastAsia"/>
                <w:b w:val="0"/>
                <w:bCs w:val="0"/>
                <w:szCs w:val="21"/>
                <w:lang w:val="en-US" w:eastAsia="zh-CN"/>
              </w:rPr>
              <w:t>本次</w:t>
            </w:r>
            <w:r>
              <w:rPr>
                <w:rFonts w:hint="eastAsia" w:asciiTheme="minorEastAsia" w:hAnsiTheme="minorEastAsia" w:eastAsiaTheme="minorEastAsia" w:cstheme="minorEastAsia"/>
                <w:b w:val="0"/>
                <w:bCs w:val="0"/>
                <w:szCs w:val="21"/>
              </w:rPr>
              <w:t>考核结果做出的解释不满意；</w:t>
            </w:r>
          </w:p>
          <w:p w14:paraId="70426EDD">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4</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学校膳食</w:t>
            </w:r>
            <w:r>
              <w:rPr>
                <w:rFonts w:hint="eastAsia" w:asciiTheme="minorEastAsia" w:hAnsiTheme="minorEastAsia" w:eastAsiaTheme="minorEastAsia" w:cstheme="minorEastAsia"/>
                <w:b w:val="0"/>
                <w:bCs w:val="0"/>
                <w:szCs w:val="21"/>
                <w:lang w:val="en-US" w:eastAsia="zh-CN"/>
              </w:rPr>
              <w:t>管理</w:t>
            </w:r>
            <w:r>
              <w:rPr>
                <w:rFonts w:hint="eastAsia" w:asciiTheme="minorEastAsia" w:hAnsiTheme="minorEastAsia" w:eastAsiaTheme="minorEastAsia" w:cstheme="minorEastAsia"/>
                <w:b w:val="0"/>
                <w:bCs w:val="0"/>
                <w:szCs w:val="21"/>
              </w:rPr>
              <w:t>委员会对</w:t>
            </w:r>
            <w:r>
              <w:rPr>
                <w:rFonts w:hint="eastAsia" w:asciiTheme="minorEastAsia" w:hAnsiTheme="minorEastAsia" w:eastAsiaTheme="minorEastAsia" w:cstheme="minorEastAsia"/>
                <w:b w:val="0"/>
                <w:bCs w:val="0"/>
                <w:szCs w:val="21"/>
                <w:lang w:val="en-US" w:eastAsia="zh-CN"/>
              </w:rPr>
              <w:t>中标</w:t>
            </w:r>
            <w:r>
              <w:rPr>
                <w:rFonts w:hint="eastAsia" w:asciiTheme="minorEastAsia" w:hAnsiTheme="minorEastAsia" w:eastAsiaTheme="minorEastAsia" w:cstheme="minorEastAsia"/>
                <w:b w:val="0"/>
                <w:bCs w:val="0"/>
                <w:szCs w:val="21"/>
              </w:rPr>
              <w:t>供应商</w:t>
            </w:r>
            <w:r>
              <w:rPr>
                <w:rFonts w:hint="eastAsia" w:asciiTheme="minorEastAsia" w:hAnsiTheme="minorEastAsia" w:eastAsiaTheme="minorEastAsia" w:cstheme="minorEastAsia"/>
                <w:b w:val="0"/>
                <w:bCs w:val="0"/>
                <w:szCs w:val="21"/>
                <w:lang w:val="en-US" w:eastAsia="zh-CN"/>
              </w:rPr>
              <w:t>存在</w:t>
            </w:r>
            <w:r>
              <w:rPr>
                <w:rFonts w:hint="eastAsia" w:asciiTheme="minorEastAsia" w:hAnsiTheme="minorEastAsia" w:eastAsiaTheme="minorEastAsia" w:cstheme="minorEastAsia"/>
                <w:b w:val="0"/>
                <w:bCs w:val="0"/>
                <w:szCs w:val="21"/>
              </w:rPr>
              <w:t>2次考核为不合格；</w:t>
            </w:r>
          </w:p>
          <w:p w14:paraId="2F1C47AC">
            <w:pPr>
              <w:ind w:firstLine="420" w:firstLineChars="200"/>
              <w:rPr>
                <w:rFonts w:hint="eastAsia" w:asciiTheme="minorEastAsia" w:hAnsiTheme="minorEastAsia" w:eastAsiaTheme="minorEastAsia" w:cstheme="minorEastAsia"/>
                <w:b w:val="0"/>
                <w:bCs w:val="0"/>
                <w:szCs w:val="21"/>
              </w:rPr>
            </w:pP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lang w:val="en-US" w:eastAsia="zh-CN"/>
              </w:rPr>
              <w:t>5</w:t>
            </w:r>
            <w:r>
              <w:rPr>
                <w:rFonts w:hint="eastAsia" w:asciiTheme="minorEastAsia" w:hAnsiTheme="minorEastAsia" w:eastAsiaTheme="minorEastAsia" w:cstheme="minorEastAsia"/>
                <w:b w:val="0"/>
                <w:bCs w:val="0"/>
                <w:szCs w:val="21"/>
                <w:lang w:eastAsia="zh-CN"/>
              </w:rPr>
              <w:t>）</w:t>
            </w:r>
            <w:r>
              <w:rPr>
                <w:rFonts w:hint="eastAsia" w:asciiTheme="minorEastAsia" w:hAnsiTheme="minorEastAsia" w:eastAsiaTheme="minorEastAsia" w:cstheme="minorEastAsia"/>
                <w:b w:val="0"/>
                <w:bCs w:val="0"/>
                <w:szCs w:val="21"/>
              </w:rPr>
              <w:t>学校三分之一及以上家长或师生对学校食堂食材品质存在较大意见，强烈要求更换的（满意度调查可由学校自行通过网络问卷调查等多种方式、在服务期内任何时段进行）。</w:t>
            </w:r>
          </w:p>
          <w:p w14:paraId="2A49E5D7">
            <w:pPr>
              <w:ind w:firstLine="420" w:firstLineChars="200"/>
              <w:rPr>
                <w:rFonts w:hint="default" w:eastAsia="宋体"/>
                <w:bCs/>
                <w:szCs w:val="21"/>
                <w:lang w:val="en-US" w:eastAsia="zh-CN"/>
              </w:rPr>
            </w:pPr>
            <w:r>
              <w:rPr>
                <w:rFonts w:hint="eastAsia" w:asciiTheme="minorEastAsia" w:hAnsiTheme="minorEastAsia" w:eastAsiaTheme="minorEastAsia" w:cstheme="minorEastAsia"/>
                <w:b w:val="0"/>
                <w:bCs w:val="0"/>
                <w:szCs w:val="21"/>
                <w:lang w:val="en-US" w:eastAsia="zh-CN"/>
              </w:rPr>
              <w:t>8.学校</w:t>
            </w:r>
            <w:r>
              <w:rPr>
                <w:rFonts w:hint="eastAsia" w:asciiTheme="minorEastAsia" w:hAnsiTheme="minorEastAsia" w:eastAsiaTheme="minorEastAsia" w:cstheme="minorEastAsia"/>
                <w:b w:val="0"/>
                <w:bCs w:val="0"/>
                <w:szCs w:val="21"/>
              </w:rPr>
              <w:t>可引进有资质的食品安全第三方监管单位对供应商配送的所有物资进行现场取样并进行相关项目检测，投标人必须无条件接受第三方监管单位的取样、检测等监管并认可第三方的检测结果。</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1071602A">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3C920D79">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3F7C8855">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3D82E905">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7836D1C2">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sz w:val="21"/>
                <w:szCs w:val="21"/>
              </w:rPr>
              <w:t>本次食堂食材配送货物对供应商的</w:t>
            </w:r>
            <w:r>
              <w:rPr>
                <w:rFonts w:hint="eastAsia" w:asciiTheme="minorEastAsia" w:hAnsiTheme="minorEastAsia" w:eastAsiaTheme="minorEastAsia" w:cstheme="minorEastAsia"/>
                <w:b/>
                <w:bCs/>
                <w:sz w:val="21"/>
                <w:szCs w:val="21"/>
                <w:lang w:val="en-US" w:eastAsia="zh-CN"/>
              </w:rPr>
              <w:t>配送服务及</w:t>
            </w:r>
            <w:r>
              <w:rPr>
                <w:rFonts w:hint="eastAsia" w:asciiTheme="minorEastAsia" w:hAnsiTheme="minorEastAsia" w:eastAsiaTheme="minorEastAsia" w:cstheme="minorEastAsia"/>
                <w:b/>
                <w:bCs/>
                <w:sz w:val="21"/>
                <w:szCs w:val="21"/>
              </w:rPr>
              <w:t>要求。</w:t>
            </w:r>
          </w:p>
          <w:p w14:paraId="6EC486CE">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时间地点要求：</w:t>
            </w:r>
            <w:r>
              <w:rPr>
                <w:rFonts w:hint="eastAsia" w:asciiTheme="minorEastAsia" w:hAnsiTheme="minorEastAsia" w:eastAsiaTheme="minorEastAsia" w:cstheme="minorEastAsia"/>
                <w:color w:val="auto"/>
                <w:szCs w:val="21"/>
                <w:highlight w:val="none"/>
                <w:lang w:val="en-US" w:eastAsia="zh-CN"/>
              </w:rPr>
              <w:t>应当</w:t>
            </w:r>
            <w:r>
              <w:rPr>
                <w:rFonts w:hint="eastAsia" w:asciiTheme="minorEastAsia" w:hAnsiTheme="minorEastAsia" w:eastAsiaTheme="minorEastAsia" w:cstheme="minorEastAsia"/>
                <w:color w:val="auto"/>
                <w:szCs w:val="21"/>
                <w:highlight w:val="none"/>
              </w:rPr>
              <w:t>于当天</w:t>
            </w:r>
            <w:r>
              <w:rPr>
                <w:rFonts w:hint="eastAsia" w:asciiTheme="minorEastAsia" w:hAnsiTheme="minorEastAsia" w:eastAsiaTheme="minorEastAsia" w:cstheme="minorEastAsia"/>
                <w:color w:val="auto"/>
                <w:szCs w:val="21"/>
                <w:highlight w:val="none"/>
                <w:lang w:val="en-US" w:eastAsia="zh-CN"/>
              </w:rPr>
              <w:t>早上5时</w:t>
            </w:r>
            <w:r>
              <w:rPr>
                <w:rFonts w:hint="eastAsia" w:asciiTheme="minorEastAsia" w:hAnsiTheme="minorEastAsia" w:eastAsiaTheme="minorEastAsia" w:cstheme="minorEastAsia"/>
                <w:color w:val="auto"/>
                <w:szCs w:val="21"/>
                <w:highlight w:val="none"/>
              </w:rPr>
              <w:t>前将学校所订的货物送至指定地点（如遇特殊情况，学校可以改变送货时间，但应提前通知中标供应商），具体配送时间和地点以学校的实际需求为准。学校在合同履行过程中有权变更送货地点，中标供应商对此无条件配合。食材送达后，按照学校的要求进行分类清点，待食堂工作人员验收核对后送达学校指定位置。</w:t>
            </w:r>
          </w:p>
          <w:p w14:paraId="72390BE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具备符合食品安全要求及满足配送需要的仓储（自有或租赁深圳本地的配送场所、冷库及储存空间）、交通运输等设施设备，确保食材的安全储存和安全运输。</w:t>
            </w:r>
          </w:p>
          <w:p w14:paraId="365226C3">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★提供的食材原料须为符合国家或行业最新食品质量安全标准的食材。</w:t>
            </w:r>
          </w:p>
          <w:p w14:paraId="6B748C5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★车辆要求：</w:t>
            </w:r>
          </w:p>
          <w:p w14:paraId="11D563A3">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中标人应根据食材的特点及具体运输要求，使用符合卫生要求的运输工具和容器运送食材，运输过程中应注意防尘、防雨、防晒、防污染，保证配送过程中所有的货品不致破损、不受污染以及不发生变质。凡需冷藏储存的食材，从储存环境到配送环节均需保持冷链完整性，配送时必须使用符合温度标准的冷藏车</w:t>
            </w:r>
            <w:r>
              <w:rPr>
                <w:rFonts w:hint="eastAsia" w:asciiTheme="minorEastAsia" w:hAnsiTheme="minorEastAsia" w:eastAsiaTheme="minorEastAsia" w:cstheme="minorEastAsia"/>
                <w:color w:val="auto"/>
                <w:szCs w:val="21"/>
                <w:highlight w:val="none"/>
              </w:rPr>
              <w:t>，冷藏车须为专用封闭式，车辆内部结构应平整、便于清洁，有温度控制设备，具备冷藏功能。</w:t>
            </w:r>
          </w:p>
          <w:p w14:paraId="2599C31B">
            <w:pPr>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运输配送容器和车辆需安全、无害，应保持清洁卫生，无泥沙、灰尘、铁锈、水渍和油渍等，车厢的卫生条件能满足承运食品要求，车厢内无异物、无异味、无虫害。</w:t>
            </w:r>
            <w:r>
              <w:rPr>
                <w:rFonts w:hint="eastAsia" w:asciiTheme="minorEastAsia" w:hAnsiTheme="minorEastAsia" w:eastAsiaTheme="minorEastAsia" w:cstheme="minorEastAsia"/>
                <w:color w:val="auto"/>
                <w:szCs w:val="21"/>
                <w:highlight w:val="none"/>
              </w:rPr>
              <w:t>运输中防虫害、有害物质等的污染，不得靠近或接触有腐蚀性物质，不得与气味浓郁的物品混运。</w:t>
            </w:r>
          </w:p>
          <w:p w14:paraId="23742F2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应根据食品的类型、特性、季节、运输距离等选择不同的运输车辆和运输路线，同一运输车辆运输不同食品及多点装卸食品时，应根据食品特性，做好分装、分离或分隔，并存放在符合食品贮存温度要求的区域。</w:t>
            </w:r>
          </w:p>
          <w:p w14:paraId="35503B00">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在签订合同后需将投标文件中响应的“拟投入本项目车辆情况”备案至学校，使用备案车辆服务本项目，如有特殊情况需提前报备至配送学校。每日配送时需向学校提交配送车辆登记台账（含车牌号等信息），并经学校签字确认。同时通过信息化平台记录车辆配送轨迹信息，供学校查验。</w:t>
            </w:r>
          </w:p>
          <w:p w14:paraId="6199253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凭专用通行证进出学校。</w:t>
            </w:r>
          </w:p>
          <w:p w14:paraId="3B21D0B1">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为保障食材的新鲜程度、食品安全，中标供应商不得使用第三方公司配送，一经学校发现并查证，第一次从当月应支付的配送服务费中扣除5000元作为违约金，第二次从当月应支付的配送服务费中扣除10000元作为违约金，第三次</w:t>
            </w:r>
            <w:r>
              <w:rPr>
                <w:rFonts w:hint="eastAsia" w:asciiTheme="minorEastAsia" w:hAnsiTheme="minorEastAsia" w:eastAsiaTheme="minorEastAsia" w:cstheme="minorEastAsia"/>
                <w:color w:val="auto"/>
                <w:szCs w:val="21"/>
                <w:highlight w:val="none"/>
                <w:lang w:val="en-US" w:eastAsia="zh-CN"/>
              </w:rPr>
              <w:t>学校</w:t>
            </w:r>
            <w:r>
              <w:rPr>
                <w:rFonts w:hint="eastAsia" w:asciiTheme="minorEastAsia" w:hAnsiTheme="minorEastAsia" w:eastAsiaTheme="minorEastAsia" w:cstheme="minorEastAsia"/>
                <w:color w:val="auto"/>
                <w:szCs w:val="21"/>
                <w:highlight w:val="none"/>
              </w:rPr>
              <w:t>有权</w:t>
            </w:r>
            <w:r>
              <w:rPr>
                <w:rFonts w:hint="eastAsia" w:asciiTheme="minorEastAsia" w:hAnsiTheme="minorEastAsia" w:eastAsiaTheme="minorEastAsia" w:cstheme="minorEastAsia"/>
                <w:color w:val="auto"/>
                <w:szCs w:val="21"/>
                <w:highlight w:val="none"/>
                <w:lang w:val="en-US" w:eastAsia="zh-CN"/>
              </w:rPr>
              <w:t>单方面</w:t>
            </w:r>
            <w:r>
              <w:rPr>
                <w:rFonts w:hint="eastAsia" w:asciiTheme="minorEastAsia" w:hAnsiTheme="minorEastAsia" w:eastAsiaTheme="minorEastAsia" w:cstheme="minorEastAsia"/>
                <w:color w:val="auto"/>
                <w:szCs w:val="21"/>
                <w:highlight w:val="none"/>
              </w:rPr>
              <w:t>解除合同，供应商</w:t>
            </w:r>
            <w:r>
              <w:rPr>
                <w:rFonts w:hint="eastAsia" w:asciiTheme="minorEastAsia" w:hAnsiTheme="minorEastAsia" w:eastAsiaTheme="minorEastAsia" w:cstheme="minorEastAsia"/>
                <w:color w:val="auto"/>
                <w:szCs w:val="21"/>
                <w:highlight w:val="none"/>
                <w:lang w:val="en-US" w:eastAsia="zh-CN"/>
              </w:rPr>
              <w:t>承担由此</w:t>
            </w:r>
            <w:r>
              <w:rPr>
                <w:rFonts w:hint="eastAsia" w:asciiTheme="minorEastAsia" w:hAnsiTheme="minorEastAsia" w:eastAsiaTheme="minorEastAsia" w:cstheme="minorEastAsia"/>
                <w:color w:val="auto"/>
                <w:szCs w:val="21"/>
                <w:highlight w:val="none"/>
              </w:rPr>
              <w:t>带来的</w:t>
            </w:r>
            <w:r>
              <w:rPr>
                <w:rFonts w:hint="eastAsia" w:asciiTheme="minorEastAsia" w:hAnsiTheme="minorEastAsia" w:eastAsiaTheme="minorEastAsia" w:cstheme="minorEastAsia"/>
                <w:color w:val="auto"/>
                <w:szCs w:val="21"/>
                <w:highlight w:val="none"/>
                <w:lang w:val="en-US" w:eastAsia="zh-CN"/>
              </w:rPr>
              <w:t>所有</w:t>
            </w:r>
            <w:r>
              <w:rPr>
                <w:rFonts w:hint="eastAsia" w:asciiTheme="minorEastAsia" w:hAnsiTheme="minorEastAsia" w:eastAsiaTheme="minorEastAsia" w:cstheme="minorEastAsia"/>
                <w:color w:val="auto"/>
                <w:szCs w:val="21"/>
                <w:highlight w:val="none"/>
              </w:rPr>
              <w:t>后果。</w:t>
            </w:r>
          </w:p>
          <w:p w14:paraId="3EE1F942">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中标供应商提供配送服务的车辆需符合合法上路的要求，签订合同前需提供服务车辆的</w:t>
            </w:r>
            <w:r>
              <w:rPr>
                <w:rFonts w:hint="eastAsia" w:asciiTheme="minorEastAsia" w:hAnsiTheme="minorEastAsia" w:eastAsiaTheme="minorEastAsia" w:cstheme="minorEastAsia"/>
                <w:color w:val="auto"/>
                <w:szCs w:val="21"/>
                <w:highlight w:val="none"/>
                <w:lang w:val="en-US" w:eastAsia="zh-CN"/>
              </w:rPr>
              <w:t>车辆行驶证以及相关的</w:t>
            </w:r>
            <w:r>
              <w:rPr>
                <w:rFonts w:hint="eastAsia" w:asciiTheme="minorEastAsia" w:hAnsiTheme="minorEastAsia" w:eastAsiaTheme="minorEastAsia" w:cstheme="minorEastAsia"/>
                <w:color w:val="auto"/>
                <w:szCs w:val="21"/>
                <w:highlight w:val="none"/>
              </w:rPr>
              <w:t>道路运输证或道路运输经营许可证作为证明材料。</w:t>
            </w:r>
          </w:p>
          <w:p w14:paraId="7AC3B3D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鲜肉温度要求：全程冷链运输，配送过程中车厢温度为小于或等于8℃，到货后需提供温度监测记录。</w:t>
            </w:r>
          </w:p>
          <w:p w14:paraId="57B240C5">
            <w:pPr>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分车配送要求：鲜肉与鸡蛋必须使用完全独立的运输车辆分开配送，严禁同车混装，避免交叉污染及异味影响。</w:t>
            </w:r>
          </w:p>
          <w:p w14:paraId="535514B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10</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运输工具应清洁卫生无污染，食品运输必须采用符合卫生标准的外包装和运载工具，并且要保持清洁和定期消毒。所有散装食品，应分类包装并好做好密封措施，不能直接外露，防止交叉污染及环境污染。盛装工具（如萝筐等）必须保持洁净，无泥渍、污渍；盛装原材料的胶袋必须使用食品胶袋。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p>
          <w:p w14:paraId="031C13FF">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中标供应商需针对本项目提供“</w:t>
            </w:r>
            <w:r>
              <w:rPr>
                <w:rFonts w:hint="eastAsia" w:asciiTheme="minorEastAsia" w:hAnsiTheme="minorEastAsia" w:eastAsiaTheme="minorEastAsia" w:cstheme="minorEastAsia"/>
                <w:color w:val="auto"/>
                <w:szCs w:val="21"/>
                <w:highlight w:val="none"/>
                <w:lang w:val="en-US" w:eastAsia="zh-CN"/>
              </w:rPr>
              <w:t>项目</w:t>
            </w:r>
            <w:r>
              <w:rPr>
                <w:rFonts w:hint="eastAsia" w:asciiTheme="minorEastAsia" w:hAnsiTheme="minorEastAsia" w:eastAsiaTheme="minorEastAsia" w:cstheme="minorEastAsia"/>
                <w:color w:val="auto"/>
                <w:szCs w:val="21"/>
                <w:highlight w:val="none"/>
              </w:rPr>
              <w:t>配送方案”，包括但不限于：①</w:t>
            </w:r>
            <w:r>
              <w:rPr>
                <w:rFonts w:hint="eastAsia" w:asciiTheme="minorEastAsia" w:hAnsiTheme="minorEastAsia" w:eastAsiaTheme="minorEastAsia" w:cstheme="minorEastAsia"/>
                <w:color w:val="auto"/>
                <w:szCs w:val="21"/>
                <w:highlight w:val="none"/>
                <w:lang w:val="en-US" w:eastAsia="zh-CN"/>
              </w:rPr>
              <w:t>供货时间安排</w:t>
            </w:r>
            <w:r>
              <w:rPr>
                <w:rFonts w:hint="eastAsia" w:asciiTheme="minorEastAsia" w:hAnsiTheme="minorEastAsia" w:eastAsiaTheme="minorEastAsia" w:cstheme="minorEastAsia"/>
                <w:color w:val="auto"/>
                <w:szCs w:val="21"/>
                <w:highlight w:val="none"/>
              </w:rPr>
              <w:t>；②</w:t>
            </w:r>
            <w:r>
              <w:rPr>
                <w:rFonts w:hint="eastAsia" w:asciiTheme="minorEastAsia" w:hAnsiTheme="minorEastAsia" w:eastAsiaTheme="minorEastAsia" w:cstheme="minorEastAsia"/>
                <w:color w:val="auto"/>
                <w:szCs w:val="21"/>
                <w:highlight w:val="none"/>
                <w:lang w:val="en-US" w:eastAsia="zh-CN"/>
              </w:rPr>
              <w:t>人员安排</w:t>
            </w:r>
            <w:r>
              <w:rPr>
                <w:rFonts w:hint="eastAsia" w:asciiTheme="minorEastAsia" w:hAnsiTheme="minorEastAsia" w:eastAsiaTheme="minorEastAsia" w:cstheme="minorEastAsia"/>
                <w:color w:val="auto"/>
                <w:szCs w:val="21"/>
                <w:highlight w:val="none"/>
              </w:rPr>
              <w:t>；③</w:t>
            </w:r>
            <w:r>
              <w:rPr>
                <w:rFonts w:hint="eastAsia" w:asciiTheme="minorEastAsia" w:hAnsiTheme="minorEastAsia" w:eastAsiaTheme="minorEastAsia" w:cstheme="minorEastAsia"/>
                <w:color w:val="auto"/>
                <w:szCs w:val="21"/>
                <w:highlight w:val="none"/>
                <w:lang w:val="en-US" w:eastAsia="zh-CN"/>
              </w:rPr>
              <w:t>设备配备</w:t>
            </w:r>
            <w:r>
              <w:rPr>
                <w:rFonts w:hint="eastAsia" w:asciiTheme="minorEastAsia" w:hAnsiTheme="minorEastAsia" w:eastAsiaTheme="minorEastAsia" w:cstheme="minorEastAsia"/>
                <w:color w:val="auto"/>
                <w:szCs w:val="21"/>
                <w:highlight w:val="none"/>
              </w:rPr>
              <w:t>；④</w:t>
            </w:r>
            <w:r>
              <w:rPr>
                <w:rFonts w:hint="eastAsia" w:asciiTheme="minorEastAsia" w:hAnsiTheme="minorEastAsia" w:eastAsiaTheme="minorEastAsia" w:cstheme="minorEastAsia"/>
                <w:color w:val="auto"/>
                <w:szCs w:val="21"/>
                <w:highlight w:val="none"/>
                <w:lang w:val="en-US" w:eastAsia="zh-CN"/>
              </w:rPr>
              <w:t>换货、调货安排</w:t>
            </w:r>
            <w:r>
              <w:rPr>
                <w:rFonts w:hint="eastAsia" w:asciiTheme="minorEastAsia" w:hAnsiTheme="minorEastAsia" w:eastAsiaTheme="minorEastAsia" w:cstheme="minorEastAsia"/>
                <w:color w:val="auto"/>
                <w:szCs w:val="21"/>
                <w:highlight w:val="none"/>
              </w:rPr>
              <w:t>。并在服务过程中严格按照方案执行。</w:t>
            </w:r>
          </w:p>
          <w:p w14:paraId="682ED561">
            <w:pPr>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6</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中标供应商需针对本项目提供“</w:t>
            </w:r>
            <w:r>
              <w:rPr>
                <w:rFonts w:hint="eastAsia" w:asciiTheme="minorEastAsia" w:hAnsiTheme="minorEastAsia" w:eastAsiaTheme="minorEastAsia" w:cstheme="minorEastAsia"/>
                <w:color w:val="auto"/>
                <w:szCs w:val="21"/>
                <w:highlight w:val="none"/>
                <w:lang w:val="en-US" w:eastAsia="zh-CN"/>
              </w:rPr>
              <w:t>项目管理</w:t>
            </w:r>
            <w:r>
              <w:rPr>
                <w:rFonts w:hint="eastAsia" w:asciiTheme="minorEastAsia" w:hAnsiTheme="minorEastAsia" w:eastAsiaTheme="minorEastAsia" w:cstheme="minorEastAsia"/>
                <w:color w:val="auto"/>
                <w:szCs w:val="21"/>
                <w:highlight w:val="none"/>
              </w:rPr>
              <w:t>方案”，包括但不限于：①货源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采购渠道管理</w:t>
            </w:r>
            <w:r>
              <w:rPr>
                <w:rFonts w:hint="eastAsia" w:asciiTheme="minorEastAsia" w:hAnsiTheme="minorEastAsia" w:eastAsiaTheme="minorEastAsia" w:cstheme="minorEastAsia"/>
                <w:color w:val="auto"/>
                <w:szCs w:val="21"/>
                <w:highlight w:val="none"/>
              </w:rPr>
              <w:t>；②</w:t>
            </w:r>
            <w:r>
              <w:rPr>
                <w:rFonts w:hint="eastAsia" w:asciiTheme="minorEastAsia" w:hAnsiTheme="minorEastAsia" w:eastAsiaTheme="minorEastAsia" w:cstheme="minorEastAsia"/>
                <w:color w:val="auto"/>
                <w:szCs w:val="21"/>
                <w:highlight w:val="none"/>
                <w:lang w:val="en-US" w:eastAsia="zh-CN"/>
              </w:rPr>
              <w:t>仓储管理</w:t>
            </w:r>
            <w:r>
              <w:rPr>
                <w:rFonts w:hint="eastAsia" w:asciiTheme="minorEastAsia" w:hAnsiTheme="minorEastAsia" w:eastAsiaTheme="minorEastAsia" w:cstheme="minorEastAsia"/>
                <w:color w:val="auto"/>
                <w:szCs w:val="21"/>
                <w:highlight w:val="none"/>
              </w:rPr>
              <w:t>；③</w:t>
            </w:r>
            <w:r>
              <w:rPr>
                <w:rFonts w:hint="eastAsia" w:asciiTheme="minorEastAsia" w:hAnsiTheme="minorEastAsia" w:eastAsiaTheme="minorEastAsia" w:cstheme="minorEastAsia"/>
                <w:color w:val="auto"/>
                <w:szCs w:val="21"/>
                <w:highlight w:val="none"/>
                <w:lang w:val="en-US" w:eastAsia="zh-CN"/>
              </w:rPr>
              <w:t>品质监控</w:t>
            </w:r>
            <w:r>
              <w:rPr>
                <w:rFonts w:hint="eastAsia" w:asciiTheme="minorEastAsia" w:hAnsiTheme="minorEastAsia" w:eastAsiaTheme="minorEastAsia" w:cstheme="minorEastAsia"/>
                <w:color w:val="auto"/>
                <w:szCs w:val="21"/>
                <w:highlight w:val="none"/>
              </w:rPr>
              <w:t>；④</w:t>
            </w:r>
            <w:r>
              <w:rPr>
                <w:rFonts w:hint="eastAsia" w:asciiTheme="minorEastAsia" w:hAnsiTheme="minorEastAsia" w:eastAsiaTheme="minorEastAsia" w:cstheme="minorEastAsia"/>
                <w:color w:val="auto"/>
                <w:szCs w:val="21"/>
                <w:highlight w:val="none"/>
                <w:lang w:val="en-US" w:eastAsia="zh-CN"/>
              </w:rPr>
              <w:t>运输管理</w:t>
            </w:r>
            <w:r>
              <w:rPr>
                <w:rFonts w:hint="eastAsia" w:asciiTheme="minorEastAsia" w:hAnsiTheme="minorEastAsia" w:eastAsiaTheme="minorEastAsia" w:cstheme="minorEastAsia"/>
                <w:color w:val="auto"/>
                <w:szCs w:val="21"/>
                <w:highlight w:val="none"/>
              </w:rPr>
              <w:t>。并在服务过程中严格按照方案执行。中标供应商需针对本项目提供</w:t>
            </w:r>
            <w:r>
              <w:rPr>
                <w:rFonts w:hint="eastAsia" w:asciiTheme="minorEastAsia" w:hAnsiTheme="minorEastAsia" w:eastAsiaTheme="minorEastAsia" w:cstheme="minorEastAsia"/>
                <w:color w:val="auto"/>
                <w:szCs w:val="21"/>
                <w:highlight w:val="none"/>
                <w:lang w:eastAsia="zh-CN"/>
              </w:rPr>
              <w:t>“</w:t>
            </w:r>
            <w:r>
              <w:rPr>
                <w:rFonts w:hint="eastAsia" w:ascii="宋体" w:hAnsi="宋体" w:eastAsia="宋体" w:cs="宋体"/>
                <w:kern w:val="2"/>
                <w:sz w:val="21"/>
                <w:szCs w:val="21"/>
                <w:lang w:eastAsia="zh-CN"/>
              </w:rPr>
              <w:t>规章管理制度</w:t>
            </w:r>
            <w:r>
              <w:rPr>
                <w:rFonts w:hint="default"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包括但不限于：</w:t>
            </w:r>
            <w:r>
              <w:rPr>
                <w:rFonts w:hint="eastAsia" w:ascii="宋体" w:hAnsi="宋体" w:eastAsia="宋体" w:cs="宋体"/>
                <w:kern w:val="2"/>
                <w:sz w:val="21"/>
                <w:szCs w:val="21"/>
                <w:lang w:eastAsia="zh-CN"/>
              </w:rPr>
              <w:t>①</w:t>
            </w:r>
            <w:r>
              <w:rPr>
                <w:rFonts w:hint="eastAsia" w:ascii="宋体" w:hAnsi="宋体" w:eastAsia="宋体" w:cs="宋体"/>
                <w:b w:val="0"/>
                <w:bCs w:val="0"/>
                <w:kern w:val="2"/>
                <w:sz w:val="21"/>
                <w:szCs w:val="21"/>
                <w:lang w:eastAsia="zh-CN"/>
              </w:rPr>
              <w:t>食品安全保障制度；</w:t>
            </w:r>
            <w:r>
              <w:rPr>
                <w:rFonts w:hint="eastAsia" w:ascii="宋体" w:hAnsi="宋体" w:eastAsia="宋体" w:cs="宋体"/>
                <w:kern w:val="2"/>
                <w:sz w:val="21"/>
                <w:szCs w:val="21"/>
                <w:lang w:eastAsia="zh-CN"/>
              </w:rPr>
              <w:t>②</w:t>
            </w:r>
            <w:r>
              <w:rPr>
                <w:rFonts w:hint="eastAsia" w:ascii="宋体" w:hAnsi="宋体" w:eastAsia="宋体" w:cs="宋体"/>
                <w:b w:val="0"/>
                <w:bCs w:val="0"/>
                <w:kern w:val="2"/>
                <w:sz w:val="21"/>
                <w:szCs w:val="21"/>
                <w:lang w:eastAsia="zh-CN"/>
              </w:rPr>
              <w:t>人员岗位职责；</w:t>
            </w:r>
            <w:r>
              <w:rPr>
                <w:rFonts w:hint="eastAsia" w:ascii="宋体" w:hAnsi="宋体" w:eastAsia="宋体" w:cs="宋体"/>
                <w:kern w:val="2"/>
                <w:sz w:val="21"/>
                <w:szCs w:val="21"/>
                <w:lang w:eastAsia="zh-CN"/>
              </w:rPr>
              <w:t>③</w:t>
            </w:r>
            <w:r>
              <w:rPr>
                <w:rFonts w:hint="eastAsia" w:ascii="宋体" w:hAnsi="宋体" w:eastAsia="宋体" w:cs="宋体"/>
                <w:b w:val="0"/>
                <w:bCs w:val="0"/>
                <w:kern w:val="2"/>
                <w:sz w:val="21"/>
                <w:szCs w:val="21"/>
                <w:lang w:eastAsia="zh-CN"/>
              </w:rPr>
              <w:t>操作规程；</w:t>
            </w:r>
            <w:r>
              <w:rPr>
                <w:rFonts w:hint="eastAsia" w:ascii="宋体" w:hAnsi="宋体" w:eastAsia="宋体" w:cs="宋体"/>
                <w:kern w:val="2"/>
                <w:sz w:val="21"/>
                <w:szCs w:val="21"/>
                <w:lang w:eastAsia="zh-CN"/>
              </w:rPr>
              <w:t>④</w:t>
            </w:r>
            <w:r>
              <w:rPr>
                <w:rFonts w:hint="eastAsia" w:ascii="宋体" w:hAnsi="宋体" w:eastAsia="宋体" w:cs="宋体"/>
                <w:b w:val="0"/>
                <w:bCs w:val="0"/>
                <w:kern w:val="2"/>
                <w:sz w:val="21"/>
                <w:szCs w:val="21"/>
                <w:lang w:eastAsia="zh-CN"/>
              </w:rPr>
              <w:t>劳动纪律和奖惩办法；</w:t>
            </w:r>
            <w:r>
              <w:rPr>
                <w:rFonts w:hint="eastAsia" w:ascii="宋体" w:hAnsi="宋体" w:eastAsia="宋体" w:cs="宋体"/>
                <w:kern w:val="2"/>
                <w:sz w:val="21"/>
                <w:szCs w:val="21"/>
                <w:lang w:eastAsia="zh-CN"/>
              </w:rPr>
              <w:t>⑤</w:t>
            </w:r>
            <w:r>
              <w:rPr>
                <w:rFonts w:hint="eastAsia" w:ascii="宋体" w:hAnsi="宋体" w:eastAsia="宋体" w:cs="宋体"/>
                <w:b w:val="0"/>
                <w:bCs w:val="0"/>
                <w:kern w:val="2"/>
                <w:sz w:val="21"/>
                <w:szCs w:val="21"/>
                <w:lang w:eastAsia="zh-CN"/>
              </w:rPr>
              <w:t>客户投诉反馈管理制度。</w:t>
            </w:r>
            <w:r>
              <w:rPr>
                <w:rFonts w:hint="eastAsia" w:asciiTheme="minorEastAsia" w:hAnsiTheme="minorEastAsia" w:eastAsiaTheme="minorEastAsia" w:cstheme="minorEastAsia"/>
                <w:color w:val="auto"/>
                <w:szCs w:val="21"/>
                <w:highlight w:val="none"/>
              </w:rPr>
              <w:t>并在服务过程中严格按照方案执行。</w:t>
            </w:r>
          </w:p>
          <w:p w14:paraId="7C4ABBD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中标供应商需针对本项目提供“应急方案”，包括但不限于：①</w:t>
            </w:r>
            <w:r>
              <w:rPr>
                <w:rFonts w:hint="eastAsia" w:asciiTheme="minorEastAsia" w:hAnsiTheme="minorEastAsia" w:eastAsiaTheme="minorEastAsia" w:cstheme="minorEastAsia"/>
                <w:color w:val="auto"/>
                <w:szCs w:val="21"/>
                <w:highlight w:val="none"/>
                <w:lang w:val="en-US" w:eastAsia="zh-CN"/>
              </w:rPr>
              <w:t>就餐人数浮动</w:t>
            </w:r>
            <w:r>
              <w:rPr>
                <w:rFonts w:hint="eastAsia" w:ascii="宋体" w:hAnsi="宋体" w:eastAsia="宋体" w:cs="宋体"/>
                <w:kern w:val="2"/>
                <w:sz w:val="21"/>
                <w:szCs w:val="21"/>
                <w:lang w:eastAsia="zh-CN"/>
              </w:rPr>
              <w:t>需增加配送份额或者临时配送需求、响应时间及配送时效解决方案</w:t>
            </w:r>
            <w:r>
              <w:rPr>
                <w:rFonts w:hint="eastAsia" w:asciiTheme="minorEastAsia" w:hAnsiTheme="minorEastAsia" w:eastAsiaTheme="minorEastAsia" w:cstheme="minorEastAsia"/>
                <w:color w:val="auto"/>
                <w:szCs w:val="21"/>
                <w:highlight w:val="none"/>
              </w:rPr>
              <w:t>；②</w:t>
            </w:r>
            <w:r>
              <w:rPr>
                <w:rFonts w:hint="eastAsia" w:ascii="宋体" w:hAnsi="宋体" w:eastAsia="宋体" w:cs="宋体"/>
                <w:kern w:val="2"/>
                <w:sz w:val="21"/>
                <w:szCs w:val="21"/>
                <w:lang w:eastAsia="zh-CN"/>
              </w:rPr>
              <w:t>遇台风、暴雨恶劣天气配送解决方案</w:t>
            </w:r>
            <w:r>
              <w:rPr>
                <w:rFonts w:hint="eastAsia" w:asciiTheme="minorEastAsia" w:hAnsiTheme="minorEastAsia" w:eastAsiaTheme="minorEastAsia" w:cstheme="minorEastAsia"/>
                <w:color w:val="auto"/>
                <w:szCs w:val="21"/>
                <w:highlight w:val="none"/>
              </w:rPr>
              <w:t>；③</w:t>
            </w:r>
            <w:r>
              <w:rPr>
                <w:rFonts w:hint="eastAsia" w:ascii="宋体" w:hAnsi="宋体" w:eastAsia="宋体" w:cs="宋体"/>
                <w:kern w:val="2"/>
                <w:sz w:val="21"/>
                <w:szCs w:val="21"/>
                <w:lang w:eastAsia="zh-CN"/>
              </w:rPr>
              <w:t>中标人所提供的肉菜质量不符合要求，需要更换问题菜品的解决方案</w:t>
            </w:r>
            <w:r>
              <w:rPr>
                <w:rFonts w:hint="eastAsia" w:asciiTheme="minorEastAsia" w:hAnsiTheme="minorEastAsia" w:eastAsiaTheme="minorEastAsia" w:cstheme="minorEastAsia"/>
                <w:color w:val="auto"/>
                <w:szCs w:val="21"/>
                <w:highlight w:val="none"/>
              </w:rPr>
              <w:t>；④</w:t>
            </w:r>
            <w:r>
              <w:rPr>
                <w:rFonts w:hint="eastAsia" w:ascii="宋体" w:hAnsi="宋体" w:eastAsia="宋体" w:cs="宋体"/>
                <w:kern w:val="2"/>
                <w:sz w:val="21"/>
                <w:szCs w:val="21"/>
                <w:lang w:eastAsia="zh-CN"/>
              </w:rPr>
              <w:t>采购单位食堂出现食品安全事故，供应商内部自检及善后处理问题解决方案</w:t>
            </w:r>
            <w:r>
              <w:rPr>
                <w:rFonts w:hint="eastAsia" w:asciiTheme="minorEastAsia" w:hAnsiTheme="minorEastAsia" w:eastAsiaTheme="minorEastAsia" w:cstheme="minorEastAsia"/>
                <w:color w:val="auto"/>
                <w:szCs w:val="21"/>
                <w:highlight w:val="none"/>
              </w:rPr>
              <w:t>；⑤</w:t>
            </w:r>
            <w:r>
              <w:rPr>
                <w:rFonts w:hint="eastAsia" w:ascii="宋体" w:hAnsi="宋体" w:eastAsia="宋体" w:cs="宋体"/>
                <w:kern w:val="2"/>
                <w:sz w:val="21"/>
                <w:szCs w:val="21"/>
                <w:lang w:eastAsia="zh-CN"/>
              </w:rPr>
              <w:t>认为其他应急事件解决方案</w:t>
            </w:r>
            <w:r>
              <w:rPr>
                <w:rFonts w:hint="eastAsia" w:asciiTheme="minorEastAsia" w:hAnsiTheme="minorEastAsia" w:eastAsiaTheme="minorEastAsia" w:cstheme="minorEastAsia"/>
                <w:color w:val="auto"/>
                <w:szCs w:val="21"/>
                <w:highlight w:val="none"/>
              </w:rPr>
              <w:t>。并在服务过程中严格按照方案执行。</w:t>
            </w:r>
          </w:p>
          <w:p w14:paraId="46C76E7C">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中标供应商提供应急供（换）货服务，迟到30分钟以内的，从当月货款中扣5000元；迟到30分钟以上的，从当月货款中扣10000元。因暴雨、台风、交通管制等不可抗力</w:t>
            </w:r>
            <w:r>
              <w:rPr>
                <w:rFonts w:hint="eastAsia" w:asciiTheme="minorEastAsia" w:hAnsiTheme="minorEastAsia" w:eastAsiaTheme="minorEastAsia" w:cstheme="minorEastAsia"/>
                <w:color w:val="auto"/>
                <w:szCs w:val="21"/>
                <w:highlight w:val="none"/>
                <w:lang w:val="en-US" w:eastAsia="zh-CN"/>
              </w:rPr>
              <w:t>因素</w:t>
            </w:r>
            <w:r>
              <w:rPr>
                <w:rFonts w:hint="eastAsia" w:asciiTheme="minorEastAsia" w:hAnsiTheme="minorEastAsia" w:eastAsiaTheme="minorEastAsia" w:cstheme="minorEastAsia"/>
                <w:color w:val="auto"/>
                <w:szCs w:val="21"/>
                <w:highlight w:val="none"/>
              </w:rPr>
              <w:t>除外。</w:t>
            </w:r>
          </w:p>
          <w:p w14:paraId="085CFBF0">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★人员要求：</w:t>
            </w:r>
          </w:p>
          <w:p w14:paraId="4DFA353F">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中标供应商须为本项目配备不少于</w:t>
            </w:r>
            <w:r>
              <w:rPr>
                <w:rFonts w:hint="eastAsia" w:asciiTheme="minorEastAsia" w:hAnsiTheme="minorEastAsia" w:eastAsiaTheme="minorEastAsia" w:cstheme="minorEastAsia"/>
                <w:color w:val="auto"/>
                <w:szCs w:val="21"/>
                <w:highlight w:val="none"/>
                <w:lang w:val="en-US" w:eastAsia="zh-CN"/>
              </w:rPr>
              <w:t>7人</w:t>
            </w:r>
            <w:r>
              <w:rPr>
                <w:rFonts w:hint="eastAsia" w:asciiTheme="minorEastAsia" w:hAnsiTheme="minorEastAsia" w:eastAsiaTheme="minorEastAsia" w:cstheme="minorEastAsia"/>
                <w:color w:val="auto"/>
                <w:szCs w:val="21"/>
                <w:highlight w:val="none"/>
              </w:rPr>
              <w:t>团队，团队成员均为在职员工。其中：</w:t>
            </w:r>
          </w:p>
          <w:p w14:paraId="66B8956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1.1</w:t>
            </w:r>
            <w:r>
              <w:rPr>
                <w:rFonts w:hint="eastAsia" w:asciiTheme="minorEastAsia" w:hAnsiTheme="minorEastAsia" w:eastAsiaTheme="minorEastAsia" w:cstheme="minorEastAsia"/>
                <w:color w:val="auto"/>
                <w:szCs w:val="21"/>
                <w:highlight w:val="none"/>
              </w:rPr>
              <w:t>项目负责人1</w:t>
            </w:r>
            <w:r>
              <w:rPr>
                <w:rFonts w:hint="eastAsia" w:asciiTheme="minorEastAsia" w:hAnsiTheme="minorEastAsia" w:eastAsiaTheme="minorEastAsia" w:cstheme="minorEastAsia"/>
                <w:color w:val="auto"/>
                <w:szCs w:val="21"/>
                <w:highlight w:val="none"/>
                <w:lang w:val="en-US" w:eastAsia="zh-CN"/>
              </w:rPr>
              <w:t>人</w:t>
            </w:r>
            <w:r>
              <w:rPr>
                <w:rFonts w:hint="eastAsia" w:asciiTheme="minorEastAsia" w:hAnsiTheme="minorEastAsia" w:eastAsiaTheme="minorEastAsia" w:cstheme="minorEastAsia"/>
                <w:color w:val="auto"/>
                <w:szCs w:val="21"/>
                <w:highlight w:val="none"/>
              </w:rPr>
              <w:t>；</w:t>
            </w:r>
          </w:p>
          <w:p w14:paraId="6BE04DE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1.2</w:t>
            </w:r>
            <w:r>
              <w:rPr>
                <w:rFonts w:hint="eastAsia" w:asciiTheme="minorEastAsia" w:hAnsiTheme="minorEastAsia" w:eastAsiaTheme="minorEastAsia" w:cstheme="minorEastAsia"/>
                <w:color w:val="auto"/>
                <w:szCs w:val="21"/>
                <w:highlight w:val="none"/>
              </w:rPr>
              <w:t>食品安全员</w:t>
            </w:r>
            <w:r>
              <w:rPr>
                <w:rFonts w:hint="eastAsia" w:asciiTheme="minorEastAsia" w:hAnsiTheme="minorEastAsia" w:eastAsiaTheme="minorEastAsia" w:cstheme="minorEastAsia"/>
                <w:color w:val="auto"/>
                <w:szCs w:val="21"/>
                <w:highlight w:val="none"/>
                <w:lang w:val="en-US" w:eastAsia="zh-CN"/>
              </w:rPr>
              <w:t>不少于1人</w:t>
            </w:r>
            <w:r>
              <w:rPr>
                <w:rFonts w:hint="eastAsia" w:asciiTheme="minorEastAsia" w:hAnsiTheme="minorEastAsia" w:eastAsiaTheme="minorEastAsia" w:cstheme="minorEastAsia"/>
                <w:color w:val="auto"/>
                <w:szCs w:val="21"/>
                <w:highlight w:val="none"/>
              </w:rPr>
              <w:t>；</w:t>
            </w:r>
          </w:p>
          <w:p w14:paraId="0B661F41">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1.3</w:t>
            </w:r>
            <w:r>
              <w:rPr>
                <w:rFonts w:hint="eastAsia" w:asciiTheme="minorEastAsia" w:hAnsiTheme="minorEastAsia" w:eastAsiaTheme="minorEastAsia" w:cstheme="minorEastAsia"/>
                <w:color w:val="auto"/>
                <w:szCs w:val="21"/>
                <w:highlight w:val="none"/>
              </w:rPr>
              <w:t>食品检验检测员</w:t>
            </w:r>
            <w:r>
              <w:rPr>
                <w:rFonts w:hint="eastAsia" w:asciiTheme="minorEastAsia" w:hAnsiTheme="minorEastAsia" w:eastAsiaTheme="minorEastAsia" w:cstheme="minorEastAsia"/>
                <w:color w:val="auto"/>
                <w:szCs w:val="21"/>
                <w:highlight w:val="none"/>
                <w:lang w:val="en-US" w:eastAsia="zh-CN"/>
              </w:rPr>
              <w:t>不少于1人</w:t>
            </w:r>
            <w:r>
              <w:rPr>
                <w:rFonts w:hint="eastAsia" w:asciiTheme="minorEastAsia" w:hAnsiTheme="minorEastAsia" w:eastAsiaTheme="minorEastAsia" w:cstheme="minorEastAsia"/>
                <w:color w:val="auto"/>
                <w:szCs w:val="21"/>
                <w:highlight w:val="none"/>
              </w:rPr>
              <w:t>；</w:t>
            </w:r>
          </w:p>
          <w:p w14:paraId="4B2E6720">
            <w:pPr>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1.4配送员不少于3人；</w:t>
            </w:r>
          </w:p>
          <w:p w14:paraId="699DF29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1.5</w:t>
            </w:r>
            <w:r>
              <w:rPr>
                <w:rFonts w:hint="eastAsia" w:asciiTheme="minorEastAsia" w:hAnsiTheme="minorEastAsia" w:eastAsiaTheme="minorEastAsia" w:cstheme="minorEastAsia"/>
                <w:color w:val="auto"/>
                <w:szCs w:val="21"/>
                <w:highlight w:val="none"/>
              </w:rPr>
              <w:t>指定1名员工专门负责学校下单食材对接配送事务，按食堂每天制订的采购单进行配送，该员工应相对固定，如更换，需提前三日通知学校并获得认可。</w:t>
            </w:r>
          </w:p>
          <w:p w14:paraId="71730BA4">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）合同服务期限内，中标供应商应依据学校实际需求提供食材初加工驻点服务。</w:t>
            </w:r>
            <w:r>
              <w:rPr>
                <w:rFonts w:hint="eastAsia" w:asciiTheme="minorEastAsia" w:hAnsiTheme="minorEastAsia" w:eastAsiaTheme="minorEastAsia" w:cstheme="minorEastAsia"/>
                <w:color w:val="auto"/>
                <w:szCs w:val="21"/>
                <w:highlight w:val="none"/>
                <w:lang w:val="en-US" w:eastAsia="zh-CN"/>
              </w:rPr>
              <w:t>配送员交完货后协助学校将所送货物归整摆放到指定位置，</w:t>
            </w:r>
            <w:r>
              <w:rPr>
                <w:rFonts w:hint="eastAsia" w:asciiTheme="minorEastAsia" w:hAnsiTheme="minorEastAsia" w:eastAsiaTheme="minorEastAsia" w:cstheme="minorEastAsia"/>
                <w:color w:val="auto"/>
                <w:szCs w:val="21"/>
                <w:highlight w:val="none"/>
              </w:rPr>
              <w:t>初加工岗位人员应于每日食材送达后，完成当日配送食材的初加工工作，完成当日工作任务后方可离岗。因食材初加工不当导致的质量、安全等问题，由中标供应商承担全部责任。学校可提供初加工操作场地。</w:t>
            </w:r>
          </w:p>
          <w:p w14:paraId="625E8609">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配送人员应为中标供应商的正式在职员工，持有食品从业人员健康证明，服从学校的食堂管理和工作调配。如食堂用餐人数和每日订菜数量发生变化，学校有权对配送员人数提出增减需求，中标供应商应对配送人员安排人数进行增减调配。但中标供应商应服从学校的管理，严格遵守国家的有关法律法规。</w:t>
            </w:r>
          </w:p>
          <w:p w14:paraId="2034D6CB">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中标供应商所有员工凭广东省食品从业人员健康证明上岗，遵守纪律、服从安排，确保能按时完成工作任务。</w:t>
            </w:r>
          </w:p>
          <w:p w14:paraId="1E3A0F4E">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）中标供应商应做好本单位工作人员的教育工作，遵守配送区域入门岗和物品携带等各项规定。</w:t>
            </w:r>
          </w:p>
          <w:p w14:paraId="4E560C73">
            <w:pPr>
              <w:numPr>
                <w:ilvl w:val="-1"/>
                <w:numId w:val="0"/>
              </w:num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10.</w:t>
            </w:r>
            <w:r>
              <w:rPr>
                <w:rFonts w:hint="eastAsia" w:asciiTheme="minorEastAsia" w:hAnsiTheme="minorEastAsia" w:eastAsiaTheme="minorEastAsia" w:cstheme="minorEastAsia"/>
                <w:color w:val="auto"/>
                <w:szCs w:val="21"/>
                <w:highlight w:val="none"/>
              </w:rPr>
              <w:t>★食品安全保障要求：</w:t>
            </w:r>
          </w:p>
          <w:p w14:paraId="2E83ABB5">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中标供应商每次配送时，须同时提供本批次产品的食品出厂检验合格证明或者其他相关证明文件供</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查验。</w:t>
            </w:r>
          </w:p>
          <w:p w14:paraId="553B166D">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中标供应商送货时需按照相关政策要求提供生鲜类产品的快检筛查检测，检测报告交</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查验。若不按要求送检和提交，将处以10000元罚款并由</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自行送检第三方，相关检测费用由中标供应商承担。为</w:t>
            </w:r>
            <w:r>
              <w:rPr>
                <w:rFonts w:hint="eastAsia" w:asciiTheme="minorEastAsia" w:hAnsiTheme="minorEastAsia" w:eastAsiaTheme="minorEastAsia" w:cstheme="minorEastAsia"/>
                <w:color w:val="auto"/>
                <w:szCs w:val="21"/>
                <w:highlight w:val="none"/>
                <w:lang w:eastAsia="zh-CN"/>
              </w:rPr>
              <w:t>方便学校管理</w:t>
            </w:r>
            <w:r>
              <w:rPr>
                <w:rFonts w:hint="eastAsia" w:asciiTheme="minorEastAsia" w:hAnsiTheme="minorEastAsia" w:eastAsiaTheme="minorEastAsia" w:cstheme="minorEastAsia"/>
                <w:color w:val="auto"/>
                <w:szCs w:val="21"/>
                <w:highlight w:val="none"/>
              </w:rPr>
              <w:t>，检测报告需做好品类索引。</w:t>
            </w:r>
          </w:p>
          <w:p w14:paraId="33F78D18">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★信息化管理要求：</w:t>
            </w:r>
          </w:p>
          <w:p w14:paraId="6D805321">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中标供应商须根据投标文件中响应的“信息化</w:t>
            </w:r>
            <w:r>
              <w:rPr>
                <w:rFonts w:hint="eastAsia" w:asciiTheme="minorEastAsia" w:hAnsiTheme="minorEastAsia" w:eastAsiaTheme="minorEastAsia" w:cstheme="minorEastAsia"/>
                <w:color w:val="auto"/>
                <w:szCs w:val="21"/>
                <w:highlight w:val="none"/>
                <w:lang w:val="en-US" w:eastAsia="zh-CN"/>
              </w:rPr>
              <w:t>能力</w:t>
            </w:r>
            <w:r>
              <w:rPr>
                <w:rFonts w:hint="eastAsia" w:asciiTheme="minorEastAsia" w:hAnsiTheme="minorEastAsia" w:eastAsiaTheme="minorEastAsia" w:cstheme="minorEastAsia"/>
                <w:color w:val="auto"/>
                <w:szCs w:val="21"/>
                <w:highlight w:val="none"/>
              </w:rPr>
              <w:t>”提供相关信息化服务，供</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查验。投标人应保证</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在使用该信息化管理服务平台或其任何一部分时，免受第三方提出的侵犯其专利权、商标权、著作权或其它知识产权的起诉。投标人保证所提供软件的合法性，所发生的任何知识产权纠纷与</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无关。若因为知识产权纠纷造成的一切损害赔偿及损失由投标人承担，包括但不限于实际损失、预期损失和对方要求赔偿损失及支出的律师费、交通费和差旅费等。</w:t>
            </w:r>
          </w:p>
          <w:p w14:paraId="09E64A07">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若经</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核实，中标供应商无法提供相应“信息化</w:t>
            </w:r>
            <w:r>
              <w:rPr>
                <w:rFonts w:hint="eastAsia" w:asciiTheme="minorEastAsia" w:hAnsiTheme="minorEastAsia" w:eastAsiaTheme="minorEastAsia" w:cstheme="minorEastAsia"/>
                <w:color w:val="auto"/>
                <w:szCs w:val="21"/>
                <w:highlight w:val="none"/>
                <w:lang w:val="en-US" w:eastAsia="zh-CN"/>
              </w:rPr>
              <w:t>能力</w:t>
            </w:r>
            <w:r>
              <w:rPr>
                <w:rFonts w:hint="eastAsia" w:asciiTheme="minorEastAsia" w:hAnsiTheme="minorEastAsia" w:eastAsiaTheme="minorEastAsia" w:cstheme="minorEastAsia"/>
                <w:color w:val="auto"/>
                <w:szCs w:val="21"/>
                <w:highlight w:val="none"/>
              </w:rPr>
              <w:t>”平台服务的，</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将从具体服务合同的当月配送服务费中扣除10000元作为违约金。当月应支付的配送服务费不足以支付违约金的，扣除对应具体服务合同当月全部配送服务费；</w:t>
            </w:r>
          </w:p>
          <w:p w14:paraId="0C74940A">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配送食材可通过“深圳市食品安全追溯信用管理系统”全面、及时、准确上传追溯信息，确保相关品名、规格、批次等数据真实完整，确保配送食材来源可溯、质量可控。</w:t>
            </w:r>
          </w:p>
          <w:p w14:paraId="45FE1A50">
            <w:pPr>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sz w:val="21"/>
                <w:szCs w:val="21"/>
              </w:rPr>
              <w:t>中标供应商须开通“深圳市学校食堂智慧管理平台”账号，实现学校采购管理所需的货品查询、价格比对、商品下单、货品统计、送货清单及报账清单打印等业务；并按照其要求，上传食品安全台账等有关数据。</w:t>
            </w:r>
          </w:p>
          <w:p w14:paraId="39D9DE28">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食材可视学校实际需求酌情配送，但须确保学校食材优质、安全可靠。</w:t>
            </w:r>
          </w:p>
          <w:p w14:paraId="54399846">
            <w:pPr>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★因配送运输中出现人身安全事故，中标供应商独立承担一切刑事、民事责任，与</w:t>
            </w:r>
            <w:r>
              <w:rPr>
                <w:rFonts w:hint="eastAsia" w:asciiTheme="minorEastAsia" w:hAnsiTheme="minorEastAsia" w:eastAsiaTheme="minorEastAsia" w:cstheme="minorEastAsia"/>
                <w:color w:val="auto"/>
                <w:szCs w:val="21"/>
                <w:highlight w:val="none"/>
                <w:lang w:eastAsia="zh-CN"/>
              </w:rPr>
              <w:t>学校</w:t>
            </w:r>
            <w:r>
              <w:rPr>
                <w:rFonts w:hint="eastAsia" w:asciiTheme="minorEastAsia" w:hAnsiTheme="minorEastAsia" w:eastAsiaTheme="minorEastAsia" w:cstheme="minorEastAsia"/>
                <w:color w:val="auto"/>
                <w:szCs w:val="21"/>
                <w:highlight w:val="none"/>
              </w:rPr>
              <w:t>无关。</w:t>
            </w:r>
          </w:p>
          <w:p w14:paraId="5F3FB76B">
            <w:pPr>
              <w:ind w:left="0" w:leftChars="0" w:firstLine="422" w:firstLineChars="20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rPr>
              <w:t>1</w:t>
            </w:r>
            <w:r>
              <w:rPr>
                <w:rFonts w:hint="eastAsia" w:asciiTheme="minorEastAsia" w:hAnsiTheme="minorEastAsia" w:eastAsiaTheme="minorEastAsia" w:cstheme="minorEastAsia"/>
                <w:b/>
                <w:bCs/>
                <w:color w:val="FF0000"/>
                <w:szCs w:val="21"/>
                <w:highlight w:val="none"/>
                <w:lang w:val="en-US" w:eastAsia="zh-CN"/>
              </w:rPr>
              <w:t>4</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★供应商承诺包括但不限于：</w:t>
            </w:r>
          </w:p>
          <w:p w14:paraId="3EA1B2C0">
            <w:pPr>
              <w:ind w:firstLine="422" w:firstLineChars="200"/>
              <w:rPr>
                <w:rFonts w:hint="eastAsia" w:asciiTheme="minorEastAsia" w:hAnsiTheme="minorEastAsia" w:eastAsiaTheme="minorEastAsia" w:cstheme="minorEastAsia"/>
                <w:b/>
                <w:bCs/>
                <w:color w:val="FF0000"/>
                <w:szCs w:val="21"/>
                <w:highlight w:val="none"/>
              </w:rPr>
            </w:pP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1</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我单位承诺：如我单位中标，保证中标后10个工作日内提供评分细则中所有证明文件原件，供</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审核。</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2</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我单位承诺：如我单位中标，</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随时对我单位的场所及我单位服务的其他食材配送项目进行实地考察，如发现我单位有存在提供虚假证明材料、重大食品安全问题、严重违反合同约定或其他违法违规情形的，我单位将无条件放弃中标资格，并承担由此产生的一切法律责任及赔偿责任。同时，</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有权终止合同，并按照相关规定追究我单位责任。</w:t>
            </w:r>
            <w:r>
              <w:rPr>
                <w:rFonts w:hint="eastAsia" w:asciiTheme="minorEastAsia" w:hAnsiTheme="minorEastAsia" w:eastAsiaTheme="minorEastAsia" w:cstheme="minorEastAsia"/>
                <w:b/>
                <w:bCs/>
                <w:color w:val="FF0000"/>
                <w:szCs w:val="21"/>
                <w:highlight w:val="none"/>
              </w:rPr>
              <w:br w:type="textWrapping"/>
            </w:r>
            <w:r>
              <w:rPr>
                <w:rFonts w:hint="eastAsia" w:asciiTheme="minorEastAsia" w:hAnsiTheme="minorEastAsia" w:eastAsiaTheme="minorEastAsia" w:cstheme="minorEastAsia"/>
                <w:b/>
                <w:bCs/>
                <w:color w:val="FF0000"/>
                <w:szCs w:val="21"/>
                <w:highlight w:val="none"/>
              </w:rPr>
              <w:t xml:space="preserve">    </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lang w:val="en-US" w:eastAsia="zh-CN"/>
              </w:rPr>
              <w:t>3</w:t>
            </w:r>
            <w:r>
              <w:rPr>
                <w:rFonts w:hint="eastAsia" w:asciiTheme="minorEastAsia" w:hAnsiTheme="minorEastAsia" w:eastAsiaTheme="minorEastAsia" w:cstheme="minorEastAsia"/>
                <w:b/>
                <w:bCs/>
                <w:color w:val="FF0000"/>
                <w:szCs w:val="21"/>
                <w:highlight w:val="none"/>
                <w:lang w:eastAsia="zh-CN"/>
              </w:rPr>
              <w:t>）</w:t>
            </w:r>
            <w:r>
              <w:rPr>
                <w:rFonts w:hint="eastAsia" w:asciiTheme="minorEastAsia" w:hAnsiTheme="minorEastAsia" w:eastAsiaTheme="minorEastAsia" w:cstheme="minorEastAsia"/>
                <w:b/>
                <w:bCs/>
                <w:color w:val="FF0000"/>
                <w:szCs w:val="21"/>
                <w:highlight w:val="none"/>
              </w:rPr>
              <w:t>我单位承诺：我单位已充分知悉项目的服务内容、范围等要求，并合理预估自身的服务能力参与本项目投标。中标后不得出现因服务能力不足、非不可抗力等因素提出放弃中标资格或向</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主动提出解除合同的。</w:t>
            </w:r>
          </w:p>
          <w:p w14:paraId="16FF9DF6">
            <w:pPr>
              <w:ind w:firstLine="422" w:firstLineChars="200"/>
              <w:rPr>
                <w:rFonts w:hint="eastAsia" w:asciiTheme="minorEastAsia" w:hAnsiTheme="minorEastAsia" w:eastAsiaTheme="minorEastAsia" w:cstheme="minorEastAsia"/>
                <w:b/>
                <w:bCs/>
                <w:color w:val="FF0000"/>
                <w:szCs w:val="21"/>
              </w:rPr>
            </w:pPr>
            <w:r>
              <w:rPr>
                <w:rFonts w:hint="eastAsia" w:asciiTheme="minorEastAsia" w:hAnsiTheme="minorEastAsia" w:eastAsiaTheme="minorEastAsia" w:cstheme="minorEastAsia"/>
                <w:b/>
                <w:bCs/>
                <w:color w:val="FF0000"/>
                <w:szCs w:val="21"/>
                <w:highlight w:val="none"/>
              </w:rPr>
              <w:t>供应商如违反上述承诺，</w:t>
            </w:r>
            <w:r>
              <w:rPr>
                <w:rFonts w:hint="eastAsia" w:asciiTheme="minorEastAsia" w:hAnsiTheme="minorEastAsia" w:eastAsiaTheme="minorEastAsia" w:cstheme="minorEastAsia"/>
                <w:b/>
                <w:bCs/>
                <w:color w:val="FF0000"/>
                <w:szCs w:val="21"/>
                <w:highlight w:val="none"/>
                <w:lang w:eastAsia="zh-CN"/>
              </w:rPr>
              <w:t>学校</w:t>
            </w:r>
            <w:r>
              <w:rPr>
                <w:rFonts w:hint="eastAsia" w:asciiTheme="minorEastAsia" w:hAnsiTheme="minorEastAsia" w:eastAsiaTheme="minorEastAsia" w:cstheme="minorEastAsia"/>
                <w:b/>
                <w:bCs/>
                <w:color w:val="FF0000"/>
                <w:szCs w:val="21"/>
                <w:highlight w:val="none"/>
              </w:rPr>
              <w:t>将有权报主管部门进行处罚。</w:t>
            </w:r>
          </w:p>
          <w:p w14:paraId="23A2BD48">
            <w:pPr>
              <w:ind w:firstLine="422" w:firstLineChars="200"/>
              <w:rPr>
                <w:rFonts w:hint="eastAsia" w:asciiTheme="minorEastAsia" w:hAnsiTheme="minorEastAsia" w:eastAsiaTheme="minorEastAsia" w:cstheme="minorEastAsia"/>
                <w:b/>
                <w:bCs/>
                <w:color w:val="FF0000"/>
                <w:sz w:val="21"/>
                <w:szCs w:val="21"/>
                <w:lang w:val="en-US" w:eastAsia="zh-CN"/>
              </w:rPr>
            </w:pPr>
            <w:r>
              <w:rPr>
                <w:rFonts w:hint="eastAsia" w:asciiTheme="minorEastAsia" w:hAnsiTheme="minorEastAsia" w:eastAsiaTheme="minorEastAsia" w:cstheme="minorEastAsia"/>
                <w:b/>
                <w:bCs/>
                <w:color w:val="FF0000"/>
                <w:sz w:val="21"/>
                <w:szCs w:val="21"/>
                <w:lang w:val="en-US" w:eastAsia="zh-CN"/>
              </w:rPr>
              <w:t>（投标人提供承诺函，格式自拟）</w:t>
            </w:r>
          </w:p>
          <w:p w14:paraId="3D78B0A1">
            <w:pPr>
              <w:adjustRightInd w:val="0"/>
              <w:snapToGrid w:val="0"/>
              <w:ind w:firstLine="420" w:firstLineChars="200"/>
              <w:rPr>
                <w:rFonts w:hint="default" w:eastAsia="宋体"/>
                <w:bCs/>
                <w:szCs w:val="21"/>
                <w:lang w:val="en-US" w:eastAsia="zh-CN"/>
              </w:rPr>
            </w:pPr>
          </w:p>
        </w:tc>
        <w:tc>
          <w:tcPr>
            <w:tcW w:w="2667" w:type="dxa"/>
            <w:tcBorders>
              <w:top w:val="single" w:color="auto" w:sz="4" w:space="0"/>
              <w:left w:val="single" w:color="auto" w:sz="4" w:space="0"/>
              <w:bottom w:val="single" w:color="auto" w:sz="4" w:space="0"/>
              <w:right w:val="single" w:color="auto" w:sz="4" w:space="0"/>
            </w:tcBorders>
            <w:noWrap w:val="0"/>
            <w:vAlign w:val="center"/>
          </w:tcPr>
          <w:p w14:paraId="7FCE45C8">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66744B77">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30422A65">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5F53C022">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3F785921">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（七）</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sz w:val="21"/>
                <w:szCs w:val="21"/>
                <w:lang w:val="en-US" w:eastAsia="zh-CN"/>
              </w:rPr>
              <w:t>供应商</w:t>
            </w:r>
            <w:r>
              <w:rPr>
                <w:rFonts w:hint="eastAsia" w:asciiTheme="minorEastAsia" w:hAnsiTheme="minorEastAsia" w:eastAsiaTheme="minorEastAsia" w:cstheme="minorEastAsia"/>
                <w:b/>
                <w:bCs/>
                <w:sz w:val="21"/>
                <w:szCs w:val="21"/>
              </w:rPr>
              <w:t>管理要求</w:t>
            </w:r>
          </w:p>
          <w:p w14:paraId="7DC4F4C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供应商使用方式及考核制度</w:t>
            </w:r>
          </w:p>
          <w:p w14:paraId="37D249F7">
            <w:pPr>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val="en-US" w:eastAsia="zh-CN"/>
              </w:rPr>
              <w:t>学校</w:t>
            </w:r>
            <w:r>
              <w:rPr>
                <w:rFonts w:hint="eastAsia" w:asciiTheme="minorEastAsia" w:hAnsiTheme="minorEastAsia" w:eastAsiaTheme="minorEastAsia" w:cstheme="minorEastAsia"/>
                <w:color w:val="auto"/>
                <w:szCs w:val="21"/>
              </w:rPr>
              <w:t>与本项目中标供应商签订配送服务合同。</w:t>
            </w:r>
          </w:p>
          <w:p w14:paraId="79BAA69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（2）实施月度考评、</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度考评的考核机制，考核办法详见“（</w:t>
            </w:r>
            <w:r>
              <w:rPr>
                <w:rFonts w:hint="eastAsia" w:asciiTheme="minorEastAsia" w:hAnsiTheme="minorEastAsia" w:eastAsiaTheme="minorEastAsia" w:cstheme="minorEastAsia"/>
                <w:szCs w:val="21"/>
                <w:lang w:val="en-US" w:eastAsia="zh-CN"/>
              </w:rPr>
              <w:t>十</w:t>
            </w:r>
            <w:r>
              <w:rPr>
                <w:rFonts w:hint="eastAsia" w:asciiTheme="minorEastAsia" w:hAnsiTheme="minorEastAsia" w:eastAsiaTheme="minorEastAsia" w:cstheme="minorEastAsia"/>
                <w:szCs w:val="21"/>
              </w:rPr>
              <w:t>）供应商服务综合评议制度”。</w:t>
            </w:r>
          </w:p>
          <w:p w14:paraId="6C3D2303">
            <w:pPr>
              <w:ind w:firstLine="420" w:firstLineChars="200"/>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（3）学校设立供应商评议考核小组，具体负责供应商的评议考核工作。</w:t>
            </w:r>
            <w:r>
              <w:rPr>
                <w:rFonts w:hint="eastAsia" w:asciiTheme="minorEastAsia" w:hAnsiTheme="minorEastAsia" w:eastAsiaTheme="minorEastAsia" w:cstheme="minorEastAsia"/>
                <w:szCs w:val="21"/>
                <w:lang w:val="en-US" w:eastAsia="zh-CN"/>
              </w:rPr>
              <w:t xml:space="preserve">            </w:t>
            </w:r>
          </w:p>
          <w:p w14:paraId="4363B39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对供应商的其他相关要求</w:t>
            </w:r>
          </w:p>
          <w:p w14:paraId="6CC5874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（1）必须依据国家有关法律法规要求建立健全各项管理制度，保证食品安全，有明确的食品安全责任人。因所供货物质量原因导致发生食品安全事故，除终止采购供应合同外，中标供应商还需赔偿</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救治经费及误工损失。</w:t>
            </w:r>
          </w:p>
          <w:p w14:paraId="37CDA7F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（2）按合同约定的标的供货，中标供应商不得转包、分包，否则</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有权终止合同，中标供应商承担由此造成的</w:t>
            </w:r>
            <w:r>
              <w:rPr>
                <w:rFonts w:hint="eastAsia" w:asciiTheme="minorEastAsia" w:hAnsiTheme="minorEastAsia" w:eastAsiaTheme="minorEastAsia" w:cstheme="minorEastAsia"/>
                <w:szCs w:val="21"/>
                <w:lang w:val="en-US" w:eastAsia="zh-CN"/>
              </w:rPr>
              <w:t>所有</w:t>
            </w:r>
            <w:r>
              <w:rPr>
                <w:rFonts w:hint="eastAsia" w:asciiTheme="minorEastAsia" w:hAnsiTheme="minorEastAsia" w:eastAsiaTheme="minorEastAsia" w:cstheme="minorEastAsia"/>
                <w:szCs w:val="21"/>
              </w:rPr>
              <w:t>损失。</w:t>
            </w:r>
          </w:p>
          <w:p w14:paraId="266D763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中标供应商应严格按招标要求（含品种、质量等）供应，不得变更供应商品，否则，学校有权退货。应严格按学校要求（含名称、产地、规格和重量等）供应，否则，学校有权拒收。如学校对货物验收不合格导致退货的，中标供应商必须于当日内安排重新送货上门。若因特殊情况（如商家停产或天气因素等）确实需要变更的个别商品，经学校同意，必须以质量较高的同类商品代替，不得未经学校同意私自更改供货单。</w:t>
            </w:r>
          </w:p>
          <w:p w14:paraId="449509B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中标供应商除不可抗力，不得因其他任何理由延迟送货。学校如遇特殊情况需推迟送货，应提前通知中标供应商。因中标供应商原因延误交货日期的（学校要求推迟的除外），由中标供应商承担由此产生的一切损失和费用。</w:t>
            </w:r>
          </w:p>
          <w:p w14:paraId="3F57BCE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（5）学校对货物进行认真验收，对不符合规格要求的商品，中标供应商必须无条件退货。中标供应商未能履行招标文件和合同所定事项, 或供应不合格的、假冒伪劣、以次充好的商品，学校退货后将记录在案，并对中标供应商予以处罚，除要承担因此产生的一切损失和费用外，情节严重的可终止其采购供应合同。</w:t>
            </w:r>
          </w:p>
          <w:p w14:paraId="751C685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（6）中标供应商每次随货送上一式四份的送货清单,供双方验货后签字确认，中标供应商一份，学校持三份，作为送、收货的凭证。</w:t>
            </w:r>
          </w:p>
          <w:p w14:paraId="2092E69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（7）结算货款时，中标供应商须提供送货清单和国家正规的电子发票，应由学校财务人员严格审核送货清单。</w:t>
            </w:r>
          </w:p>
          <w:p w14:paraId="77D100D8">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szCs w:val="21"/>
              </w:rPr>
              <w:t>食品溯源要求：对食品供应链进行明确，所有食品的来源必须清晰，尽量使用。生产食品的源头与供应商要有固定的合法的供应关系，严禁收购非标准产品供应。验收须按国家标准。供应商应保存以下资料：</w:t>
            </w:r>
          </w:p>
          <w:p w14:paraId="3E0D268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8.1</w:t>
            </w:r>
            <w:r>
              <w:rPr>
                <w:rFonts w:hint="eastAsia" w:asciiTheme="minorEastAsia" w:hAnsiTheme="minorEastAsia" w:eastAsiaTheme="minorEastAsia" w:cstheme="minorEastAsia"/>
                <w:szCs w:val="21"/>
              </w:rPr>
              <w:t>供应商与生产企业的销售合同；</w:t>
            </w:r>
          </w:p>
          <w:p w14:paraId="485E41F5">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lang w:val="en-US" w:eastAsia="zh-CN"/>
              </w:rPr>
              <w:t>8.2</w:t>
            </w:r>
            <w:r>
              <w:rPr>
                <w:rFonts w:hint="eastAsia" w:asciiTheme="minorEastAsia" w:hAnsiTheme="minorEastAsia" w:eastAsiaTheme="minorEastAsia" w:cstheme="minorEastAsia"/>
                <w:szCs w:val="21"/>
              </w:rPr>
              <w:t>生产企业的送货单和销售发票；</w:t>
            </w:r>
          </w:p>
          <w:p w14:paraId="7B94411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lang w:val="en-US" w:eastAsia="zh-CN"/>
              </w:rPr>
              <w:t>8.3</w:t>
            </w:r>
            <w:r>
              <w:rPr>
                <w:rFonts w:hint="eastAsia" w:asciiTheme="minorEastAsia" w:hAnsiTheme="minorEastAsia" w:eastAsiaTheme="minorEastAsia" w:cstheme="minorEastAsia"/>
                <w:szCs w:val="21"/>
              </w:rPr>
              <w:t>供应商与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的采购合同及送货单据、销售发票。</w:t>
            </w:r>
          </w:p>
          <w:p w14:paraId="150DD7D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（9）交货要求：</w:t>
            </w:r>
          </w:p>
          <w:p w14:paraId="0F04621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提供的食材必须为新鲜、经检验合格的产品。</w:t>
            </w:r>
          </w:p>
          <w:p w14:paraId="227F3C7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（10）中标单位应随时按</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要求提供各类货物清晰准确的原产地以及检测报告。</w:t>
            </w:r>
          </w:p>
          <w:p w14:paraId="30591F6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（11）临时加货处理：</w:t>
            </w:r>
          </w:p>
          <w:p w14:paraId="4EBF1FC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对于学校临时有接待餐任务或临时增加员工用餐时，中标供应商需快速将货物送到学校的指定地点，派专人负责跟踪服务，保证用餐正常。</w:t>
            </w:r>
          </w:p>
          <w:p w14:paraId="7166F5B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在配送过程中，学校对所供食材有任何意见，可随时向中标供应商反映，中标供应商应及时改进，否则，</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有权终止其采购供应合同。</w:t>
            </w:r>
          </w:p>
          <w:p w14:paraId="31AF59C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（12）因配送运输中出现人身安全事故，中标供应商独立承担一切刑事、民事责任，与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无关。</w:t>
            </w:r>
          </w:p>
          <w:p w14:paraId="78F302D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如果因供应商所供货的食品造成学校就餐人员食物中毒的，经卫生防疫部门鉴定，属于供应商责任，供应商须承担全部法律责任并作出全部的经济赔偿。供应商的粗加工人员和配送人员在服务过程中如遇到人员安全事故由供应商负全部责任，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无关。</w:t>
            </w:r>
          </w:p>
          <w:p w14:paraId="51DEC399">
            <w:pPr>
              <w:ind w:firstLine="420" w:firstLineChars="200"/>
              <w:rPr>
                <w:rFonts w:hint="default" w:eastAsia="宋体"/>
                <w:bCs/>
                <w:szCs w:val="21"/>
                <w:lang w:val="en-US" w:eastAsia="zh-CN"/>
              </w:rPr>
            </w:pPr>
            <w:r>
              <w:rPr>
                <w:rFonts w:hint="eastAsia" w:asciiTheme="minorEastAsia" w:hAnsiTheme="minorEastAsia" w:eastAsiaTheme="minorEastAsia" w:cstheme="minorEastAsia"/>
                <w:szCs w:val="21"/>
              </w:rPr>
              <w:t>（14）若因中标单位没有</w:t>
            </w:r>
            <w:r>
              <w:rPr>
                <w:rFonts w:hint="eastAsia" w:asciiTheme="minorEastAsia" w:hAnsiTheme="minorEastAsia" w:eastAsiaTheme="minorEastAsia" w:cstheme="minorEastAsia"/>
                <w:szCs w:val="21"/>
                <w:lang w:val="en-US" w:eastAsia="zh-CN"/>
              </w:rPr>
              <w:t>及时</w:t>
            </w:r>
            <w:r>
              <w:rPr>
                <w:rFonts w:hint="eastAsia" w:asciiTheme="minorEastAsia" w:hAnsiTheme="minorEastAsia" w:eastAsiaTheme="minorEastAsia" w:cstheme="minorEastAsia"/>
                <w:szCs w:val="21"/>
              </w:rPr>
              <w:t>送</w:t>
            </w:r>
            <w:r>
              <w:rPr>
                <w:rFonts w:hint="eastAsia" w:asciiTheme="minorEastAsia" w:hAnsiTheme="minorEastAsia" w:eastAsiaTheme="minorEastAsia" w:cstheme="minorEastAsia"/>
                <w:szCs w:val="21"/>
                <w:lang w:val="en-US" w:eastAsia="zh-CN"/>
              </w:rPr>
              <w:t>食材</w:t>
            </w:r>
            <w:r>
              <w:rPr>
                <w:rFonts w:hint="eastAsia" w:asciiTheme="minorEastAsia" w:hAnsiTheme="minorEastAsia" w:eastAsiaTheme="minorEastAsia" w:cstheme="minorEastAsia"/>
                <w:szCs w:val="21"/>
              </w:rPr>
              <w:t>导致</w:t>
            </w:r>
            <w:r>
              <w:rPr>
                <w:rFonts w:hint="eastAsia" w:asciiTheme="minorEastAsia" w:hAnsiTheme="minorEastAsia" w:eastAsiaTheme="minorEastAsia" w:cstheme="minorEastAsia"/>
                <w:szCs w:val="21"/>
                <w:lang w:val="en-US" w:eastAsia="zh-CN"/>
              </w:rPr>
              <w:t>开</w:t>
            </w:r>
            <w:r>
              <w:rPr>
                <w:rFonts w:hint="eastAsia" w:asciiTheme="minorEastAsia" w:hAnsiTheme="minorEastAsia" w:eastAsiaTheme="minorEastAsia" w:cstheme="minorEastAsia"/>
                <w:szCs w:val="21"/>
              </w:rPr>
              <w:t>餐点无法正常开餐，中标单位应承担</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误餐的全部责任。</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2658E6AB">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2AA713C1">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3479DDAA">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721E5046">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19F73B93">
            <w:pPr>
              <w:ind w:firstLine="422" w:firstLineChars="200"/>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 w:val="21"/>
                <w:szCs w:val="21"/>
                <w:lang w:val="en-US" w:eastAsia="zh-CN"/>
              </w:rPr>
              <w:t>（八）</w:t>
            </w:r>
            <w:r>
              <w:rPr>
                <w:rFonts w:hint="eastAsia" w:asciiTheme="minorEastAsia" w:hAnsiTheme="minorEastAsia" w:eastAsiaTheme="minorEastAsia" w:cstheme="minorEastAsia"/>
                <w:b/>
                <w:bCs/>
                <w:sz w:val="21"/>
                <w:szCs w:val="21"/>
              </w:rPr>
              <w:t>供应商退出机制</w:t>
            </w:r>
          </w:p>
          <w:p w14:paraId="64862DA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1.中标供应商有下列行为之一的，经查实，</w:t>
            </w:r>
            <w:r>
              <w:rPr>
                <w:rFonts w:hint="eastAsia"/>
                <w:lang w:val="en-US" w:eastAsia="zh-CN"/>
              </w:rPr>
              <w:t>上报主管部门处理</w:t>
            </w:r>
            <w:r>
              <w:rPr>
                <w:rFonts w:hint="eastAsia" w:asciiTheme="minorEastAsia" w:hAnsiTheme="minorEastAsia" w:eastAsiaTheme="minorEastAsia" w:cstheme="minorEastAsia"/>
                <w:szCs w:val="21"/>
              </w:rPr>
              <w:t>：</w:t>
            </w:r>
          </w:p>
          <w:p w14:paraId="2AE7F91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（1）弄虚作假、隐瞒真实情况骗取中标的；</w:t>
            </w:r>
          </w:p>
          <w:p w14:paraId="2EFEA36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（2）向采购项目相关人行贿或者提供其他不正当利益、受贿、串通投标、转包、挂靠的；</w:t>
            </w:r>
          </w:p>
          <w:p w14:paraId="075D105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（3）恶意投诉的；</w:t>
            </w:r>
          </w:p>
          <w:p w14:paraId="178CFFF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（4）因其公司资质降低达不到入围供应商资质条件的，或被行业主管部门责令停业或取消资质的；</w:t>
            </w:r>
          </w:p>
          <w:p w14:paraId="5057DE0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（5）造成严重后果或恶劣影响的行为；</w:t>
            </w:r>
          </w:p>
          <w:p w14:paraId="0531B45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（6）有商业贿赂行为的；</w:t>
            </w:r>
          </w:p>
          <w:p w14:paraId="76C97E2C">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（7）其他违反法律、法规和协议规定的行为。</w:t>
            </w:r>
          </w:p>
          <w:p w14:paraId="55F0F3C7">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2.供应商在合同执行期间，出现以下行为情况之一者，经查属实的，</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将有权终止其学校</w:t>
            </w:r>
            <w:r>
              <w:rPr>
                <w:rFonts w:hint="eastAsia" w:asciiTheme="minorEastAsia" w:hAnsiTheme="minorEastAsia" w:eastAsiaTheme="minorEastAsia" w:cstheme="minorEastAsia"/>
                <w:szCs w:val="21"/>
                <w:lang w:val="en-US" w:eastAsia="zh-CN"/>
              </w:rPr>
              <w:t>食堂</w:t>
            </w:r>
            <w:r>
              <w:rPr>
                <w:rFonts w:hint="eastAsia" w:asciiTheme="minorEastAsia" w:hAnsiTheme="minorEastAsia" w:eastAsiaTheme="minorEastAsia" w:cstheme="minorEastAsia"/>
                <w:szCs w:val="21"/>
              </w:rPr>
              <w:t>食材采购配送</w:t>
            </w:r>
            <w:r>
              <w:rPr>
                <w:rFonts w:hint="eastAsia" w:asciiTheme="minorEastAsia" w:hAnsiTheme="minorEastAsia" w:eastAsiaTheme="minorEastAsia" w:cstheme="minorEastAsia"/>
                <w:szCs w:val="21"/>
                <w:lang w:val="en-US" w:eastAsia="zh-CN"/>
              </w:rPr>
              <w:t>服务</w:t>
            </w:r>
            <w:r>
              <w:rPr>
                <w:rFonts w:hint="eastAsia" w:asciiTheme="minorEastAsia" w:hAnsiTheme="minorEastAsia" w:eastAsiaTheme="minorEastAsia" w:cstheme="minorEastAsia"/>
                <w:szCs w:val="21"/>
              </w:rPr>
              <w:t>合同，启动候补机制预案：</w:t>
            </w:r>
          </w:p>
          <w:p w14:paraId="03369BDA">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（1）中标后无正当理由，不按照规定与</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签订合同的；</w:t>
            </w:r>
          </w:p>
          <w:p w14:paraId="1A0A8BE6">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（2）擅自变更或者中止采购服务合同的；</w:t>
            </w:r>
          </w:p>
          <w:p w14:paraId="5AB59A5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（3）不按采购需求、投标文件以及采购服务合同要求全面履约，履约情况评价不合格的；</w:t>
            </w:r>
          </w:p>
          <w:p w14:paraId="29609CA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（4）未按规定出具检测报告或违背招标承诺书等情况达到二次的；</w:t>
            </w:r>
          </w:p>
          <w:p w14:paraId="34B17BA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（5）不按招标文件等要求规定，发现 3 次以上虚假报价的；</w:t>
            </w:r>
          </w:p>
          <w:p w14:paraId="37FAA96D">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（6）物资或服务以次充好，存在严重质量问题的；</w:t>
            </w:r>
          </w:p>
          <w:p w14:paraId="7AF404E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（7）因供应的货物质量达不到国家有关食品安全标准而造成食物中毒或其它后果，属于供货方（配送单位）责任的；</w:t>
            </w:r>
          </w:p>
          <w:p w14:paraId="5AE818C2">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（8）经2次以上（含2次）的有效投诉处理仍不纠正的，有效投诉指的是供应商被投诉内容经查实确定为违反服务合同或其他协议规定的事实；</w:t>
            </w:r>
          </w:p>
          <w:p w14:paraId="23067D5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（9）因货品质量或其他原因而造成严重后果或恶劣影响的行为；</w:t>
            </w:r>
          </w:p>
          <w:p w14:paraId="5AF5D001">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r>
              <w:rPr>
                <w:rFonts w:hint="eastAsia" w:asciiTheme="minorEastAsia" w:hAnsiTheme="minorEastAsia" w:eastAsiaTheme="minorEastAsia" w:cstheme="minorEastAsia"/>
                <w:szCs w:val="21"/>
                <w:lang w:val="en-US" w:eastAsia="zh-CN"/>
              </w:rPr>
              <w:t>在每月考评中，达到</w:t>
            </w:r>
            <w:r>
              <w:rPr>
                <w:rFonts w:hint="eastAsia" w:asciiTheme="minorEastAsia" w:hAnsiTheme="minorEastAsia" w:eastAsiaTheme="minorEastAsia" w:cstheme="minorEastAsia"/>
                <w:szCs w:val="21"/>
              </w:rPr>
              <w:t>两次</w:t>
            </w:r>
            <w:r>
              <w:rPr>
                <w:rFonts w:hint="eastAsia" w:asciiTheme="minorEastAsia" w:hAnsiTheme="minorEastAsia" w:eastAsiaTheme="minorEastAsia" w:cstheme="minorEastAsia"/>
                <w:szCs w:val="21"/>
                <w:lang w:val="en-US" w:eastAsia="zh-CN"/>
              </w:rPr>
              <w:t>及以上</w:t>
            </w:r>
            <w:r>
              <w:rPr>
                <w:rFonts w:hint="eastAsia" w:asciiTheme="minorEastAsia" w:hAnsiTheme="minorEastAsia" w:eastAsiaTheme="minorEastAsia" w:cstheme="minorEastAsia"/>
                <w:szCs w:val="21"/>
              </w:rPr>
              <w:t>综合评议结果为不满意的；</w:t>
            </w:r>
          </w:p>
          <w:p w14:paraId="6D017615">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（11）非法手段排斥其他供应商参与竞争的；</w:t>
            </w:r>
          </w:p>
          <w:p w14:paraId="6C1DC56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（12）拖欠工人工资、经劳动或其他政府部门催告或通报仍不清偿的；</w:t>
            </w:r>
          </w:p>
          <w:p w14:paraId="718FCB6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（13）拒绝有关部门检查或者不如实反映情况，提供材料的；</w:t>
            </w:r>
          </w:p>
          <w:p w14:paraId="4121F15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（14）无正当理由，不接受或拒绝</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订货、供货要求的；</w:t>
            </w:r>
          </w:p>
          <w:p w14:paraId="175E0C95">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（15）在合同期内有三次以上被抽检不合格的；</w:t>
            </w:r>
          </w:p>
          <w:p w14:paraId="0EBB932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w:t>
            </w:r>
            <w:r>
              <w:rPr>
                <w:rFonts w:hint="eastAsia" w:asciiTheme="minorEastAsia" w:hAnsiTheme="minorEastAsia" w:eastAsiaTheme="minorEastAsia" w:cstheme="minorEastAsia"/>
                <w:szCs w:val="21"/>
                <w:lang w:val="en-US" w:eastAsia="zh-CN"/>
              </w:rPr>
              <w:t>中标</w:t>
            </w:r>
            <w:r>
              <w:rPr>
                <w:rFonts w:hint="eastAsia" w:asciiTheme="minorEastAsia" w:hAnsiTheme="minorEastAsia" w:eastAsiaTheme="minorEastAsia" w:cstheme="minorEastAsia"/>
                <w:szCs w:val="21"/>
              </w:rPr>
              <w:t>供应商公司所属员工在配送过程中与学校工作人员产生矛盾，发生严重肢体冲突，升级为刑事案件，主要责任在</w:t>
            </w:r>
            <w:r>
              <w:rPr>
                <w:rFonts w:hint="eastAsia" w:asciiTheme="minorEastAsia" w:hAnsiTheme="minorEastAsia" w:eastAsiaTheme="minorEastAsia" w:cstheme="minorEastAsia"/>
                <w:szCs w:val="21"/>
                <w:lang w:val="en-US" w:eastAsia="zh-CN"/>
              </w:rPr>
              <w:t>中标</w:t>
            </w:r>
            <w:r>
              <w:rPr>
                <w:rFonts w:hint="eastAsia" w:asciiTheme="minorEastAsia" w:hAnsiTheme="minorEastAsia" w:eastAsiaTheme="minorEastAsia" w:cstheme="minorEastAsia"/>
                <w:szCs w:val="21"/>
              </w:rPr>
              <w:t>供应商一方的；</w:t>
            </w:r>
          </w:p>
          <w:p w14:paraId="63193FCB">
            <w:pPr>
              <w:ind w:firstLine="420" w:firstLineChars="200"/>
              <w:rPr>
                <w:rFonts w:hint="default" w:eastAsia="宋体"/>
                <w:bCs/>
                <w:szCs w:val="21"/>
                <w:lang w:val="en-US" w:eastAsia="zh-CN"/>
              </w:rPr>
            </w:pPr>
            <w:r>
              <w:rPr>
                <w:rFonts w:hint="eastAsia" w:asciiTheme="minorEastAsia" w:hAnsiTheme="minorEastAsia" w:eastAsiaTheme="minorEastAsia" w:cstheme="minorEastAsia"/>
                <w:szCs w:val="21"/>
              </w:rPr>
              <w:t>（17）其他违反法律、法规和协议规定的行为。</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618BB241">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3CE950B4">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4737A112">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378B21C1">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61A8B1F0">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（九）</w:t>
            </w:r>
            <w:r>
              <w:rPr>
                <w:rFonts w:hint="eastAsia" w:asciiTheme="minorEastAsia" w:hAnsiTheme="minorEastAsia" w:eastAsiaTheme="minorEastAsia" w:cstheme="minorEastAsia"/>
                <w:b/>
                <w:bCs/>
                <w:sz w:val="21"/>
                <w:szCs w:val="21"/>
              </w:rPr>
              <w:t>应急处理制度</w:t>
            </w:r>
          </w:p>
          <w:p w14:paraId="042258BD">
            <w:pPr>
              <w:ind w:firstLine="420" w:firstLineChars="200"/>
              <w:rPr>
                <w:rFonts w:hint="default" w:eastAsia="宋体"/>
                <w:bCs/>
                <w:szCs w:val="21"/>
                <w:lang w:val="en-US" w:eastAsia="zh-CN"/>
              </w:rPr>
            </w:pPr>
            <w:r>
              <w:rPr>
                <w:rFonts w:hint="eastAsia" w:asciiTheme="minorEastAsia" w:hAnsiTheme="minorEastAsia" w:eastAsiaTheme="minorEastAsia" w:cstheme="minorEastAsia"/>
                <w:szCs w:val="21"/>
                <w:highlight w:val="none"/>
              </w:rPr>
              <w:t>合同执行期间中标供应商因食材质量、配送、服务及管理等引发食品安全事故、两次</w:t>
            </w:r>
            <w:r>
              <w:rPr>
                <w:rFonts w:hint="eastAsia" w:asciiTheme="minorEastAsia" w:hAnsiTheme="minorEastAsia" w:eastAsiaTheme="minorEastAsia" w:cstheme="minorEastAsia"/>
                <w:szCs w:val="21"/>
                <w:highlight w:val="none"/>
                <w:lang w:val="en-US" w:eastAsia="zh-CN"/>
              </w:rPr>
              <w:t>月</w:t>
            </w:r>
            <w:r>
              <w:rPr>
                <w:rFonts w:hint="eastAsia" w:asciiTheme="minorEastAsia" w:hAnsiTheme="minorEastAsia" w:eastAsiaTheme="minorEastAsia" w:cstheme="minorEastAsia"/>
                <w:szCs w:val="21"/>
                <w:highlight w:val="none"/>
              </w:rPr>
              <w:t>度考核结果为不满意等触发退出机制需要终止采购供应合同情形的。在新服务供应商签订合同前的过渡期间，中标供应商需配合</w:t>
            </w:r>
            <w:r>
              <w:rPr>
                <w:rFonts w:hint="eastAsia" w:asciiTheme="minorEastAsia" w:hAnsiTheme="minorEastAsia" w:eastAsiaTheme="minorEastAsia" w:cstheme="minorEastAsia"/>
                <w:szCs w:val="21"/>
                <w:highlight w:val="none"/>
                <w:lang w:eastAsia="zh-CN"/>
              </w:rPr>
              <w:t>学校</w:t>
            </w:r>
            <w:r>
              <w:rPr>
                <w:rFonts w:hint="eastAsia" w:asciiTheme="minorEastAsia" w:hAnsiTheme="minorEastAsia" w:eastAsiaTheme="minorEastAsia" w:cstheme="minorEastAsia"/>
                <w:szCs w:val="21"/>
                <w:highlight w:val="none"/>
              </w:rPr>
              <w:t>做好服务过渡工作，在过渡期间或出现短期供应不足等紧急问题时，向</w:t>
            </w:r>
            <w:r>
              <w:rPr>
                <w:rFonts w:hint="eastAsia" w:asciiTheme="minorEastAsia" w:hAnsiTheme="minorEastAsia" w:eastAsiaTheme="minorEastAsia" w:cstheme="minorEastAsia"/>
                <w:szCs w:val="21"/>
                <w:highlight w:val="none"/>
                <w:lang w:eastAsia="zh-CN"/>
              </w:rPr>
              <w:t>学校</w:t>
            </w:r>
            <w:r>
              <w:rPr>
                <w:rFonts w:hint="eastAsia" w:asciiTheme="minorEastAsia" w:hAnsiTheme="minorEastAsia" w:eastAsiaTheme="minorEastAsia" w:cstheme="minorEastAsia"/>
                <w:szCs w:val="21"/>
                <w:highlight w:val="none"/>
              </w:rPr>
              <w:t>提供在大型商超采购的优于其现供应标准的食材（需提供采购清单及规格标准），同时结算价格需</w:t>
            </w:r>
            <w:r>
              <w:rPr>
                <w:rFonts w:hint="eastAsia" w:asciiTheme="minorEastAsia" w:hAnsiTheme="minorEastAsia" w:eastAsiaTheme="minorEastAsia" w:cstheme="minorEastAsia"/>
                <w:color w:val="auto"/>
                <w:szCs w:val="21"/>
                <w:highlight w:val="none"/>
              </w:rPr>
              <w:t>按基准价*中标折扣率*实际供货数</w:t>
            </w:r>
            <w:r>
              <w:rPr>
                <w:rFonts w:hint="eastAsia" w:asciiTheme="minorEastAsia" w:hAnsiTheme="minorEastAsia" w:eastAsiaTheme="minorEastAsia" w:cstheme="minorEastAsia"/>
                <w:szCs w:val="21"/>
                <w:highlight w:val="none"/>
              </w:rPr>
              <w:t>量进行结算，直至</w:t>
            </w:r>
            <w:r>
              <w:rPr>
                <w:rFonts w:hint="eastAsia" w:asciiTheme="minorEastAsia" w:hAnsiTheme="minorEastAsia" w:eastAsiaTheme="minorEastAsia" w:cstheme="minorEastAsia"/>
                <w:szCs w:val="21"/>
                <w:highlight w:val="none"/>
                <w:lang w:eastAsia="zh-CN"/>
              </w:rPr>
              <w:t>学校</w:t>
            </w:r>
            <w:r>
              <w:rPr>
                <w:rFonts w:hint="eastAsia" w:asciiTheme="minorEastAsia" w:hAnsiTheme="minorEastAsia" w:eastAsiaTheme="minorEastAsia" w:cstheme="minorEastAsia"/>
                <w:szCs w:val="21"/>
                <w:highlight w:val="none"/>
              </w:rPr>
              <w:t>重新采购到新的服务供应商或恢复正常供应。</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64C0D7B5">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7B07CF6A">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62E0F47B">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4E525487">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2F391EE7">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w:t>
            </w:r>
            <w:r>
              <w:rPr>
                <w:rFonts w:hint="eastAsia" w:asciiTheme="minorEastAsia" w:hAnsiTheme="minorEastAsia" w:eastAsiaTheme="minorEastAsia" w:cstheme="minorEastAsia"/>
                <w:b/>
                <w:bCs/>
                <w:sz w:val="21"/>
                <w:szCs w:val="21"/>
              </w:rPr>
              <w:t>供应商服务综合评议制度</w:t>
            </w:r>
          </w:p>
          <w:p w14:paraId="59B82FE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进一步建立健全食材批量集中采购项目供应商管理机制，规范食材批量集中采购配送行为，加强对供应商供货品质、服务质量的监督管理，从而优化供应商结构，提高配送水平，有效防控风险，依据《中华人民共和国政府采购法》、《深圳经济特区政府采购条例》等有关规定，特制定本制度。</w:t>
            </w:r>
          </w:p>
          <w:p w14:paraId="6C475F9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工作领导小组是本制度制定、修订和实施的归口管理机构，并对本制度实施监督检查。</w:t>
            </w:r>
          </w:p>
          <w:p w14:paraId="24317CF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负责供应商</w:t>
            </w:r>
            <w:r>
              <w:rPr>
                <w:rFonts w:hint="eastAsia" w:asciiTheme="minorEastAsia" w:hAnsiTheme="minorEastAsia" w:eastAsiaTheme="minorEastAsia" w:cstheme="minorEastAsia"/>
                <w:szCs w:val="21"/>
                <w:lang w:val="en-US" w:eastAsia="zh-CN"/>
              </w:rPr>
              <w:t>月度</w:t>
            </w:r>
            <w:r>
              <w:rPr>
                <w:rFonts w:hint="eastAsia" w:asciiTheme="minorEastAsia" w:hAnsiTheme="minorEastAsia" w:eastAsiaTheme="minorEastAsia" w:cstheme="minorEastAsia"/>
                <w:szCs w:val="21"/>
              </w:rPr>
              <w:t>考评结果的收集、汇总、计算，并根据评价标准确定供应商</w:t>
            </w:r>
            <w:r>
              <w:rPr>
                <w:rFonts w:hint="eastAsia" w:asciiTheme="minorEastAsia" w:hAnsiTheme="minorEastAsia" w:eastAsiaTheme="minorEastAsia" w:cstheme="minorEastAsia"/>
                <w:szCs w:val="21"/>
                <w:lang w:val="en-US" w:eastAsia="zh-CN"/>
              </w:rPr>
              <w:t>月</w:t>
            </w:r>
            <w:r>
              <w:rPr>
                <w:rFonts w:hint="eastAsia" w:asciiTheme="minorEastAsia" w:hAnsiTheme="minorEastAsia" w:eastAsiaTheme="minorEastAsia" w:cstheme="minorEastAsia"/>
                <w:szCs w:val="21"/>
              </w:rPr>
              <w:t>度综合工作评议考核结果。</w:t>
            </w:r>
          </w:p>
          <w:p w14:paraId="442090E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评价标准：供应商</w:t>
            </w:r>
            <w:r>
              <w:rPr>
                <w:rFonts w:hint="eastAsia" w:asciiTheme="minorEastAsia" w:hAnsiTheme="minorEastAsia" w:eastAsiaTheme="minorEastAsia" w:cstheme="minorEastAsia"/>
                <w:szCs w:val="21"/>
                <w:lang w:val="en-US" w:eastAsia="zh-CN"/>
              </w:rPr>
              <w:t>月</w:t>
            </w:r>
            <w:r>
              <w:rPr>
                <w:rFonts w:hint="eastAsia" w:asciiTheme="minorEastAsia" w:hAnsiTheme="minorEastAsia" w:eastAsiaTheme="minorEastAsia" w:cstheme="minorEastAsia"/>
                <w:szCs w:val="21"/>
              </w:rPr>
              <w:t>度综合工作评议考核得分80分（不含）以下评价为不满意，80分（含）以上评价为满意。</w:t>
            </w:r>
          </w:p>
          <w:p w14:paraId="6F7A1F6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学校评议考核分值均为百分制，对供应商实行日常考评、月度考评、</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度考评的动态考核评价机制。</w:t>
            </w:r>
          </w:p>
          <w:p w14:paraId="782F7E72">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度综合评议考核为百分制，得分为供应商负责配送服务的所在学校</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度考核得分的平均值。</w:t>
            </w:r>
          </w:p>
          <w:p w14:paraId="3ED73D1B">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学校设立</w:t>
            </w:r>
            <w:r>
              <w:rPr>
                <w:rFonts w:hint="eastAsia" w:asciiTheme="minorEastAsia" w:hAnsiTheme="minorEastAsia" w:eastAsiaTheme="minorEastAsia" w:cstheme="minorEastAsia"/>
                <w:szCs w:val="21"/>
                <w:lang w:val="en-US" w:eastAsia="zh-CN"/>
              </w:rPr>
              <w:t>食堂食材配送服务</w:t>
            </w:r>
            <w:r>
              <w:rPr>
                <w:rFonts w:hint="eastAsia" w:asciiTheme="minorEastAsia" w:hAnsiTheme="minorEastAsia" w:eastAsiaTheme="minorEastAsia" w:cstheme="minorEastAsia"/>
                <w:szCs w:val="21"/>
              </w:rPr>
              <w:t>项目供应商评议考核小组（以下简称考评小组），具体负责供应商的评议考核工作。</w:t>
            </w:r>
          </w:p>
          <w:p w14:paraId="38B59FE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考评小组职责:</w:t>
            </w:r>
          </w:p>
          <w:p w14:paraId="7C854830">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（1）监督供应商的食材配送行为；</w:t>
            </w:r>
          </w:p>
          <w:p w14:paraId="6F57BE9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（2）建立供应商考评档案台账；</w:t>
            </w:r>
          </w:p>
          <w:p w14:paraId="7E396A4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（3）每月召开考评小组会议，商讨日常考评中遇到的问题，商定当月的考评结果；</w:t>
            </w:r>
          </w:p>
          <w:p w14:paraId="1CA9833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（4）每</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度</w:t>
            </w:r>
            <w:r>
              <w:rPr>
                <w:rFonts w:hint="eastAsia" w:asciiTheme="minorEastAsia" w:hAnsiTheme="minorEastAsia" w:eastAsiaTheme="minorEastAsia" w:cstheme="minorEastAsia"/>
                <w:szCs w:val="21"/>
              </w:rPr>
              <w:t>进行供应商</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度</w:t>
            </w:r>
            <w:r>
              <w:rPr>
                <w:rFonts w:hint="eastAsia" w:asciiTheme="minorEastAsia" w:hAnsiTheme="minorEastAsia" w:eastAsiaTheme="minorEastAsia" w:cstheme="minorEastAsia"/>
                <w:szCs w:val="21"/>
              </w:rPr>
              <w:t>考评，考评结果报送</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w:t>
            </w:r>
          </w:p>
          <w:p w14:paraId="552051F9">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月度考评：</w:t>
            </w:r>
            <w:r>
              <w:rPr>
                <w:rFonts w:hint="eastAsia" w:asciiTheme="minorEastAsia" w:hAnsiTheme="minorEastAsia" w:eastAsiaTheme="minorEastAsia" w:cstheme="minorEastAsia"/>
                <w:szCs w:val="21"/>
                <w:lang w:val="en-US" w:eastAsia="zh-CN"/>
              </w:rPr>
              <w:t>学校每天对所收货物的异常情况进行登记（登记表见附件一），每月进行</w:t>
            </w:r>
            <w:r>
              <w:rPr>
                <w:rFonts w:hint="eastAsia" w:asciiTheme="minorEastAsia" w:hAnsiTheme="minorEastAsia" w:eastAsiaTheme="minorEastAsia" w:cstheme="minorEastAsia"/>
                <w:szCs w:val="21"/>
              </w:rPr>
              <w:t>月度量化</w:t>
            </w:r>
            <w:r>
              <w:rPr>
                <w:rFonts w:hint="eastAsia" w:asciiTheme="minorEastAsia" w:hAnsiTheme="minorEastAsia" w:eastAsiaTheme="minorEastAsia" w:cstheme="minorEastAsia"/>
                <w:szCs w:val="21"/>
                <w:lang w:val="en-US" w:eastAsia="zh-CN"/>
              </w:rPr>
              <w:t>考核</w:t>
            </w:r>
            <w:r>
              <w:rPr>
                <w:rFonts w:hint="eastAsia" w:asciiTheme="minorEastAsia" w:hAnsiTheme="minorEastAsia" w:eastAsiaTheme="minorEastAsia" w:cstheme="minorEastAsia"/>
                <w:szCs w:val="21"/>
              </w:rPr>
              <w:t>。根据上月的日常</w:t>
            </w:r>
            <w:r>
              <w:rPr>
                <w:rFonts w:hint="eastAsia" w:asciiTheme="minorEastAsia" w:hAnsiTheme="minorEastAsia" w:eastAsiaTheme="minorEastAsia" w:cstheme="minorEastAsia"/>
                <w:szCs w:val="21"/>
                <w:lang w:val="en-US" w:eastAsia="zh-CN"/>
              </w:rPr>
              <w:t>登记</w:t>
            </w:r>
            <w:r>
              <w:rPr>
                <w:rFonts w:hint="eastAsia" w:asciiTheme="minorEastAsia" w:hAnsiTheme="minorEastAsia" w:eastAsiaTheme="minorEastAsia" w:cstheme="minorEastAsia"/>
                <w:szCs w:val="21"/>
              </w:rPr>
              <w:t>结果进行汇总，</w:t>
            </w:r>
            <w:r>
              <w:rPr>
                <w:rFonts w:hint="eastAsia" w:asciiTheme="minorEastAsia" w:hAnsiTheme="minorEastAsia" w:eastAsiaTheme="minorEastAsia" w:cstheme="minorEastAsia"/>
                <w:szCs w:val="21"/>
                <w:lang w:val="en-US" w:eastAsia="zh-CN"/>
              </w:rPr>
              <w:t>参考</w:t>
            </w:r>
            <w:r>
              <w:rPr>
                <w:rFonts w:hint="eastAsia" w:asciiTheme="minorEastAsia" w:hAnsiTheme="minorEastAsia" w:eastAsiaTheme="minorEastAsia" w:cstheme="minorEastAsia"/>
                <w:szCs w:val="21"/>
              </w:rPr>
              <w:t>按照</w:t>
            </w:r>
            <w:r>
              <w:rPr>
                <w:rFonts w:hint="eastAsia" w:asciiTheme="minorEastAsia" w:hAnsiTheme="minorEastAsia" w:eastAsiaTheme="minorEastAsia" w:cstheme="minorEastAsia"/>
                <w:b/>
                <w:bCs/>
                <w:szCs w:val="21"/>
              </w:rPr>
              <w:t>《服务供应商月度考核评分表》（附件</w:t>
            </w:r>
            <w:r>
              <w:rPr>
                <w:rFonts w:hint="eastAsia" w:asciiTheme="minorEastAsia" w:hAnsiTheme="minorEastAsia" w:eastAsiaTheme="minorEastAsia" w:cstheme="minorEastAsia"/>
                <w:b/>
                <w:bCs/>
                <w:szCs w:val="21"/>
                <w:lang w:val="en-US" w:eastAsia="zh-CN"/>
              </w:rPr>
              <w:t>二</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对供应商进行月度考评。</w:t>
            </w:r>
          </w:p>
          <w:p w14:paraId="5A5946EF">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考评：</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考评以月度考核结果为依据，</w:t>
            </w:r>
            <w:r>
              <w:rPr>
                <w:rFonts w:hint="eastAsia" w:asciiTheme="minorEastAsia" w:hAnsiTheme="minorEastAsia" w:eastAsiaTheme="minorEastAsia" w:cstheme="minorEastAsia"/>
                <w:szCs w:val="21"/>
                <w:lang w:val="en-US" w:eastAsia="zh-CN"/>
              </w:rPr>
              <w:t>参考</w:t>
            </w:r>
            <w:r>
              <w:rPr>
                <w:rFonts w:hint="eastAsia" w:asciiTheme="minorEastAsia" w:hAnsiTheme="minorEastAsia" w:eastAsiaTheme="minorEastAsia" w:cstheme="minorEastAsia"/>
                <w:szCs w:val="21"/>
              </w:rPr>
              <w:t>按照</w:t>
            </w:r>
            <w:r>
              <w:rPr>
                <w:rFonts w:hint="eastAsia" w:asciiTheme="minorEastAsia" w:hAnsiTheme="minorEastAsia" w:eastAsiaTheme="minorEastAsia" w:cstheme="minorEastAsia"/>
                <w:b/>
                <w:bCs/>
                <w:szCs w:val="21"/>
              </w:rPr>
              <w:t>《供应商年度综合评议考核表》（附件</w:t>
            </w:r>
            <w:r>
              <w:rPr>
                <w:rFonts w:hint="eastAsia" w:asciiTheme="minorEastAsia" w:hAnsiTheme="minorEastAsia" w:eastAsiaTheme="minorEastAsia" w:cstheme="minorEastAsia"/>
                <w:b/>
                <w:bCs/>
                <w:szCs w:val="21"/>
                <w:lang w:val="en-US" w:eastAsia="zh-CN"/>
              </w:rPr>
              <w:t>三</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对每月综合评分数据进行汇总统计，依据每月综合得分的算术平均值作为供应商</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考评得分。</w:t>
            </w:r>
          </w:p>
          <w:p w14:paraId="7129772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szCs w:val="21"/>
                <w:lang w:eastAsia="zh-CN"/>
              </w:rPr>
              <w:t>年度</w:t>
            </w:r>
            <w:r>
              <w:rPr>
                <w:rFonts w:hint="eastAsia" w:asciiTheme="minorEastAsia" w:hAnsiTheme="minorEastAsia" w:eastAsiaTheme="minorEastAsia" w:cstheme="minorEastAsia"/>
                <w:szCs w:val="21"/>
              </w:rPr>
              <w:t>综合工作评议结果为不满意的，</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及时将问题反馈给供应商，并允许供应商在规定期限内提交纸质申辩材料。</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组织专题会，根据学校提交的考评材料及供应商提交的申辩材料，对评议结果进行讨论及投票表决。</w:t>
            </w:r>
          </w:p>
          <w:p w14:paraId="3904ADEE">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供应商</w:t>
            </w:r>
            <w:r>
              <w:rPr>
                <w:rFonts w:hint="eastAsia" w:asciiTheme="minorEastAsia" w:hAnsiTheme="minorEastAsia" w:eastAsiaTheme="minorEastAsia" w:cstheme="minorEastAsia"/>
                <w:szCs w:val="21"/>
                <w:lang w:val="en-US" w:eastAsia="zh-CN"/>
              </w:rPr>
              <w:t>年</w:t>
            </w:r>
            <w:r>
              <w:rPr>
                <w:rFonts w:hint="eastAsia" w:asciiTheme="minorEastAsia" w:hAnsiTheme="minorEastAsia" w:eastAsiaTheme="minorEastAsia" w:cstheme="minorEastAsia"/>
                <w:szCs w:val="21"/>
              </w:rPr>
              <w:t>度综合工作评议为不满意的，</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审核同意后，可启动供应商退出及候补机制。</w:t>
            </w:r>
          </w:p>
          <w:p w14:paraId="3181BAE3">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考评完成后，由</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对供应商档案（包括基础资料、交易记录和考核资料等）进行建立、收集、整理和归档，以备日后查阅。</w:t>
            </w:r>
          </w:p>
          <w:p w14:paraId="3AB1D938">
            <w:pPr>
              <w:ind w:firstLine="420" w:firstLineChars="200"/>
              <w:rPr>
                <w:rFonts w:hint="default" w:eastAsia="宋体"/>
                <w:bCs/>
                <w:szCs w:val="21"/>
                <w:lang w:val="en-US" w:eastAsia="zh-CN"/>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本项目供应商服务综合评议制度及其附件相关条款的解释权归</w:t>
            </w:r>
            <w:r>
              <w:rPr>
                <w:rFonts w:hint="eastAsia" w:asciiTheme="minorEastAsia" w:hAnsiTheme="minorEastAsia" w:eastAsiaTheme="minorEastAsia" w:cstheme="minorEastAsia"/>
                <w:szCs w:val="21"/>
                <w:lang w:val="en-US" w:eastAsia="zh-CN"/>
              </w:rPr>
              <w:t>深圳市第七高级中学</w:t>
            </w:r>
            <w:r>
              <w:rPr>
                <w:rFonts w:hint="eastAsia" w:asciiTheme="minorEastAsia" w:hAnsiTheme="minorEastAsia" w:eastAsiaTheme="minorEastAsia" w:cstheme="minorEastAsia"/>
                <w:szCs w:val="21"/>
              </w:rPr>
              <w:t>所有。服务合同履约过程中，因国家相关政策、法规、标准变化调整需要、上级文件要求以及教育局的工作需要，</w:t>
            </w:r>
            <w:r>
              <w:rPr>
                <w:rFonts w:hint="eastAsia" w:asciiTheme="minorEastAsia" w:hAnsiTheme="minorEastAsia" w:eastAsiaTheme="minorEastAsia" w:cstheme="minorEastAsia"/>
                <w:szCs w:val="21"/>
                <w:lang w:val="en-US" w:eastAsia="zh-CN"/>
              </w:rPr>
              <w:t>学校</w:t>
            </w:r>
            <w:r>
              <w:rPr>
                <w:rFonts w:hint="eastAsia" w:asciiTheme="minorEastAsia" w:hAnsiTheme="minorEastAsia" w:eastAsiaTheme="minorEastAsia" w:cstheme="minorEastAsia"/>
                <w:szCs w:val="21"/>
              </w:rPr>
              <w:t>有权对供应商服务综合评议制度和相关附件进行调整和更新,中标供应商需无条件接受。</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79304320">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56AB0165">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603280F7">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r w14:paraId="22E239CC">
        <w:tblPrEx>
          <w:tblCellMar>
            <w:top w:w="0" w:type="dxa"/>
            <w:left w:w="108" w:type="dxa"/>
            <w:bottom w:w="0" w:type="dxa"/>
            <w:right w:w="108" w:type="dxa"/>
          </w:tblCellMar>
        </w:tblPrEx>
        <w:trPr>
          <w:trHeight w:val="23" w:hRule="atLeast"/>
        </w:trPr>
        <w:tc>
          <w:tcPr>
            <w:tcW w:w="3825" w:type="dxa"/>
            <w:tcBorders>
              <w:top w:val="single" w:color="auto" w:sz="4" w:space="0"/>
              <w:left w:val="single" w:color="auto" w:sz="4" w:space="0"/>
              <w:bottom w:val="single" w:color="auto" w:sz="4" w:space="0"/>
              <w:right w:val="single" w:color="auto" w:sz="4" w:space="0"/>
            </w:tcBorders>
            <w:noWrap w:val="0"/>
            <w:vAlign w:val="center"/>
          </w:tcPr>
          <w:p w14:paraId="288D6E64">
            <w:pPr>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（十一）</w:t>
            </w:r>
            <w:r>
              <w:rPr>
                <w:rFonts w:hint="eastAsia" w:asciiTheme="minorEastAsia" w:hAnsiTheme="minorEastAsia" w:eastAsiaTheme="minorEastAsia" w:cstheme="minorEastAsia"/>
                <w:b/>
                <w:bCs/>
                <w:sz w:val="21"/>
                <w:szCs w:val="21"/>
              </w:rPr>
              <w:t>注意事项</w:t>
            </w:r>
          </w:p>
          <w:p w14:paraId="53846CD4">
            <w:pPr>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本次招标结果仅代表中标供应商可获得的最高采购份额，</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无法预计实际采购量及落实政府政策（如扶贫任务）等不可抗因素，同时无法保证中标供应商可以获得全部份额。</w:t>
            </w:r>
          </w:p>
          <w:p w14:paraId="35F40031">
            <w:pPr>
              <w:ind w:firstLine="420" w:firstLineChars="200"/>
              <w:rPr>
                <w:rFonts w:hint="default" w:eastAsia="宋体"/>
                <w:bCs/>
                <w:szCs w:val="21"/>
                <w:lang w:val="en-US" w:eastAsia="zh-CN"/>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中标供应商不得将项目非法分包或转包给任何单位和个人。否则，</w:t>
            </w:r>
            <w:r>
              <w:rPr>
                <w:rFonts w:hint="eastAsia" w:asciiTheme="minorEastAsia" w:hAnsiTheme="minorEastAsia" w:eastAsiaTheme="minorEastAsia" w:cstheme="minorEastAsia"/>
                <w:szCs w:val="21"/>
                <w:lang w:eastAsia="zh-CN"/>
              </w:rPr>
              <w:t>学校</w:t>
            </w:r>
            <w:r>
              <w:rPr>
                <w:rFonts w:hint="eastAsia" w:asciiTheme="minorEastAsia" w:hAnsiTheme="minorEastAsia" w:eastAsiaTheme="minorEastAsia" w:cstheme="minorEastAsia"/>
                <w:szCs w:val="21"/>
              </w:rPr>
              <w:t>有权即刻终止合同，并要求中标供应商赔偿相应损失。</w:t>
            </w:r>
          </w:p>
        </w:tc>
        <w:tc>
          <w:tcPr>
            <w:tcW w:w="2667" w:type="dxa"/>
            <w:tcBorders>
              <w:top w:val="single" w:color="auto" w:sz="4" w:space="0"/>
              <w:left w:val="single" w:color="auto" w:sz="4" w:space="0"/>
              <w:bottom w:val="single" w:color="auto" w:sz="4" w:space="0"/>
              <w:right w:val="single" w:color="auto" w:sz="4" w:space="0"/>
            </w:tcBorders>
            <w:noWrap w:val="0"/>
            <w:vAlign w:val="center"/>
          </w:tcPr>
          <w:p w14:paraId="28FF60C8">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7DBC1AF6">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7EB3450B">
            <w:pPr>
              <w:keepNext w:val="0"/>
              <w:keepLines w:val="0"/>
              <w:widowControl/>
              <w:suppressLineNumbers w:val="0"/>
              <w:spacing w:before="0" w:beforeAutospacing="0" w:after="0" w:afterAutospacing="0" w:line="360" w:lineRule="auto"/>
              <w:ind w:left="0" w:right="0"/>
              <w:jc w:val="left"/>
              <w:rPr>
                <w:rFonts w:hint="default" w:ascii="宋体" w:hAnsi="宋体" w:cs="宋体"/>
                <w:color w:val="000000"/>
                <w:kern w:val="0"/>
                <w:szCs w:val="21"/>
              </w:rPr>
            </w:pPr>
          </w:p>
        </w:tc>
      </w:tr>
    </w:tbl>
    <w:p w14:paraId="360DF182">
      <w:pPr>
        <w:rPr>
          <w:szCs w:val="21"/>
        </w:rPr>
      </w:pPr>
      <w:r>
        <w:rPr>
          <w:rFonts w:hint="eastAsia"/>
          <w:szCs w:val="21"/>
        </w:rPr>
        <w:t>证明资料【如有的话，提供的证明资料应统一编号（排序），格式自定】</w:t>
      </w:r>
      <w:bookmarkEnd w:id="44"/>
      <w:r>
        <w:rPr>
          <w:rFonts w:hint="eastAsia"/>
          <w:szCs w:val="21"/>
        </w:rPr>
        <w:t>：</w:t>
      </w:r>
    </w:p>
    <w:p w14:paraId="5C49F15B">
      <w:pPr>
        <w:ind w:firstLine="422" w:firstLineChars="200"/>
        <w:rPr>
          <w:b/>
          <w:szCs w:val="21"/>
        </w:rPr>
      </w:pPr>
    </w:p>
    <w:p w14:paraId="4DF15265">
      <w:pPr>
        <w:ind w:firstLine="420" w:firstLineChars="200"/>
        <w:rPr>
          <w:bCs/>
          <w:szCs w:val="21"/>
        </w:rPr>
      </w:pPr>
      <w:r>
        <w:rPr>
          <w:rFonts w:hint="eastAsia"/>
          <w:bCs/>
          <w:szCs w:val="21"/>
        </w:rPr>
        <w:t>《技术要求偏离表》编制指引：</w:t>
      </w:r>
    </w:p>
    <w:p w14:paraId="70D85B1E">
      <w:pPr>
        <w:ind w:firstLine="420" w:firstLineChars="200"/>
        <w:rPr>
          <w:bCs/>
          <w:szCs w:val="21"/>
        </w:rPr>
      </w:pPr>
      <w:r>
        <w:rPr>
          <w:rFonts w:hint="eastAsia"/>
          <w:bCs/>
          <w:szCs w:val="21"/>
        </w:rPr>
        <w:t>1、技术要求偏离表的招标技术要求等栏目</w:t>
      </w:r>
      <w:bookmarkStart w:id="45" w:name="_Hlk72094407"/>
      <w:r>
        <w:rPr>
          <w:rFonts w:hint="eastAsia"/>
          <w:bCs/>
          <w:szCs w:val="21"/>
        </w:rPr>
        <w:t>对应“用户需求书”中的“技术要求”章节</w:t>
      </w:r>
      <w:bookmarkEnd w:id="45"/>
      <w:r>
        <w:rPr>
          <w:rFonts w:hint="eastAsia"/>
          <w:bCs/>
          <w:szCs w:val="21"/>
        </w:rPr>
        <w:t>相关内容。</w:t>
      </w:r>
    </w:p>
    <w:p w14:paraId="260527FD">
      <w:pPr>
        <w:pStyle w:val="37"/>
        <w:widowControl/>
        <w:spacing w:beforeAutospacing="0" w:afterAutospacing="0"/>
        <w:ind w:firstLine="420" w:firstLineChars="200"/>
        <w:jc w:val="both"/>
        <w:outlineLvl w:val="1"/>
        <w:rPr>
          <w:bCs/>
          <w:color w:val="FF0000"/>
          <w:kern w:val="2"/>
          <w:sz w:val="21"/>
          <w:szCs w:val="21"/>
        </w:rPr>
      </w:pPr>
      <w:r>
        <w:rPr>
          <w:bCs/>
          <w:sz w:val="21"/>
          <w:szCs w:val="21"/>
        </w:rPr>
        <w:t>2</w:t>
      </w:r>
      <w:r>
        <w:rPr>
          <w:rFonts w:hint="eastAsia"/>
          <w:bCs/>
          <w:sz w:val="21"/>
          <w:szCs w:val="21"/>
        </w:rPr>
        <w:t>、“投标技术响应”一栏</w:t>
      </w:r>
      <w:r>
        <w:rPr>
          <w:rFonts w:hint="eastAsia"/>
          <w:bCs/>
          <w:sz w:val="21"/>
          <w:szCs w:val="21"/>
          <w:lang w:val="en-US" w:eastAsia="zh-CN"/>
        </w:rPr>
        <w:t>必须</w:t>
      </w:r>
      <w:r>
        <w:rPr>
          <w:rFonts w:hint="eastAsia"/>
          <w:bCs/>
          <w:sz w:val="21"/>
          <w:szCs w:val="21"/>
        </w:rPr>
        <w:t>一一对照“招标技术要求”，详细填写投标人自身投标的具体参数，而不能不合理照搬照抄招标文件的技术要求，以体现具体响应情况。</w:t>
      </w:r>
      <w:r>
        <w:rPr>
          <w:rFonts w:hint="eastAsia"/>
          <w:bCs/>
          <w:color w:val="FF0000"/>
          <w:kern w:val="2"/>
          <w:sz w:val="21"/>
          <w:szCs w:val="21"/>
        </w:rPr>
        <w:t>“投标技术响应”</w:t>
      </w:r>
      <w:r>
        <w:rPr>
          <w:rFonts w:hint="eastAsia"/>
          <w:bCs/>
          <w:color w:val="FF0000"/>
          <w:kern w:val="2"/>
          <w:sz w:val="21"/>
          <w:szCs w:val="21"/>
          <w:lang w:val="en-US" w:eastAsia="zh-CN"/>
        </w:rPr>
        <w:t>必须</w:t>
      </w:r>
      <w:r>
        <w:rPr>
          <w:rFonts w:hint="eastAsia"/>
          <w:bCs/>
          <w:color w:val="FF0000"/>
          <w:kern w:val="2"/>
          <w:sz w:val="21"/>
          <w:szCs w:val="21"/>
        </w:rPr>
        <w:t>与所投产品客观实际保持一致，响应不实且情节严重的，经查实，将依法记入供应商诚信档案或受到行政处罚。</w:t>
      </w:r>
    </w:p>
    <w:p w14:paraId="6485D020">
      <w:pPr>
        <w:ind w:firstLine="420" w:firstLineChars="200"/>
        <w:rPr>
          <w:bCs/>
          <w:color w:val="FF0000"/>
          <w:szCs w:val="21"/>
        </w:rPr>
      </w:pPr>
      <w:r>
        <w:rPr>
          <w:bCs/>
          <w:szCs w:val="21"/>
        </w:rPr>
        <w:t>3</w:t>
      </w:r>
      <w:r>
        <w:rPr>
          <w:rFonts w:hint="eastAsia"/>
          <w:bCs/>
          <w:szCs w:val="21"/>
        </w:rPr>
        <w:t>、</w:t>
      </w:r>
      <w:bookmarkStart w:id="46" w:name="_Hlk72158270"/>
      <w:r>
        <w:rPr>
          <w:rFonts w:hint="eastAsia"/>
          <w:bCs/>
          <w:szCs w:val="21"/>
        </w:rPr>
        <w:t>“偏离情况”</w:t>
      </w:r>
      <w:bookmarkEnd w:id="46"/>
      <w:r>
        <w:rPr>
          <w:rFonts w:hint="eastAsia"/>
          <w:bCs/>
          <w:szCs w:val="21"/>
        </w:rPr>
        <w:t>一栏填写如实填写“正偏离”、“负偏离”或“无偏离”，其中：</w:t>
      </w:r>
      <w:bookmarkStart w:id="47" w:name="_Hlk72093866"/>
      <w:r>
        <w:rPr>
          <w:rFonts w:hint="eastAsia"/>
          <w:bCs/>
          <w:szCs w:val="21"/>
        </w:rPr>
        <w:t>“正偏离”表示“投标响应优于招标技术要求”，“负偏离”表示“投标响应不满足招标技术要求”，“无偏离”表示“投标响应与招标技术要求一致”</w:t>
      </w:r>
      <w:bookmarkEnd w:id="47"/>
      <w:r>
        <w:rPr>
          <w:rFonts w:hint="eastAsia"/>
          <w:bCs/>
          <w:szCs w:val="21"/>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bCs/>
          <w:color w:val="FF0000"/>
          <w:szCs w:val="21"/>
        </w:rPr>
        <w:t>“偏离情况”</w:t>
      </w:r>
      <w:r>
        <w:rPr>
          <w:rFonts w:hint="eastAsia"/>
          <w:bCs/>
          <w:color w:val="FF0000"/>
          <w:szCs w:val="21"/>
          <w:lang w:val="en-US" w:eastAsia="zh-CN"/>
        </w:rPr>
        <w:t>必须</w:t>
      </w:r>
      <w:r>
        <w:rPr>
          <w:rFonts w:hint="eastAsia"/>
          <w:bCs/>
          <w:color w:val="FF0000"/>
          <w:szCs w:val="21"/>
        </w:rPr>
        <w:t>与所投产品客观实际保持一致，响应不实且情节严重的，经查实，将依法记入供应商诚信档案或受到行政处罚。</w:t>
      </w:r>
    </w:p>
    <w:p w14:paraId="50C125B1">
      <w:pPr>
        <w:ind w:firstLine="420" w:firstLineChars="200"/>
        <w:rPr>
          <w:bCs/>
          <w:szCs w:val="21"/>
        </w:rPr>
      </w:pPr>
      <w:r>
        <w:rPr>
          <w:bCs/>
          <w:szCs w:val="21"/>
        </w:rPr>
        <w:t>4</w:t>
      </w:r>
      <w:r>
        <w:rPr>
          <w:rFonts w:hint="eastAsia"/>
          <w:bCs/>
          <w:szCs w:val="21"/>
        </w:rPr>
        <w:t>、未要求提供证明资料的招标技术要求，可以不提供证明资料（如实响应即可）。</w:t>
      </w:r>
    </w:p>
    <w:p w14:paraId="74E4A7FC">
      <w:pPr>
        <w:ind w:firstLine="420" w:firstLineChars="200"/>
        <w:rPr>
          <w:bCs/>
          <w:szCs w:val="21"/>
        </w:rPr>
      </w:pPr>
      <w:r>
        <w:rPr>
          <w:rFonts w:hint="eastAsia"/>
          <w:bCs/>
          <w:szCs w:val="21"/>
        </w:rPr>
        <w:t>5、</w:t>
      </w:r>
      <w:bookmarkStart w:id="48" w:name="_Hlk72096106"/>
      <w:r>
        <w:rPr>
          <w:rFonts w:hint="eastAsia"/>
          <w:bCs/>
          <w:szCs w:val="21"/>
        </w:rPr>
        <w:t>证明资料条款响应要求</w:t>
      </w:r>
      <w:bookmarkEnd w:id="48"/>
      <w:r>
        <w:rPr>
          <w:rFonts w:hint="eastAsia"/>
          <w:bCs/>
          <w:szCs w:val="21"/>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49" w:name="_Hlk73558782"/>
      <w:r>
        <w:rPr>
          <w:rFonts w:hint="eastAsia"/>
          <w:bCs/>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50" w:name="_Hlk73558164"/>
      <w:r>
        <w:rPr>
          <w:rFonts w:hint="eastAsia"/>
          <w:bCs/>
          <w:szCs w:val="21"/>
        </w:rPr>
        <w:t>且投标人在“偏离情况”一栏响应为“正偏离”或“无偏离”的，经评审委员会认定，将判定为负偏离。</w:t>
      </w:r>
      <w:bookmarkEnd w:id="49"/>
      <w:bookmarkEnd w:id="50"/>
    </w:p>
    <w:p w14:paraId="3243F211">
      <w:pPr>
        <w:ind w:firstLine="420" w:firstLineChars="200"/>
        <w:rPr>
          <w:bCs/>
          <w:szCs w:val="21"/>
        </w:rPr>
      </w:pPr>
      <w:r>
        <w:rPr>
          <w:rFonts w:hint="eastAsia"/>
          <w:bCs/>
          <w:szCs w:val="21"/>
        </w:rPr>
        <w:t>6、</w:t>
      </w:r>
      <w:bookmarkStart w:id="51" w:name="_Hlk72096137"/>
      <w:r>
        <w:rPr>
          <w:rFonts w:hint="eastAsia"/>
          <w:bCs/>
          <w:szCs w:val="21"/>
        </w:rPr>
        <w:t>表后“证明资料”部分内容的编制</w:t>
      </w:r>
      <w:bookmarkEnd w:id="51"/>
      <w:r>
        <w:rPr>
          <w:rFonts w:hint="eastAsia"/>
          <w:bCs/>
          <w:szCs w:val="21"/>
        </w:rPr>
        <w:t>：提供的所有证明资料应当统一编号（排序），且证明资料的编号（顺序）、数量和名称（形式）均应与“说明”一栏所填内容保持一致（一一对应），以便评审委员会查看。</w:t>
      </w:r>
      <w:bookmarkStart w:id="52" w:name="_Hlk73558180"/>
      <w:r>
        <w:rPr>
          <w:rFonts w:hint="eastAsia"/>
          <w:bCs/>
          <w:szCs w:val="21"/>
        </w:rPr>
        <w:t>未按照招标文件要求在表后放置证明材料的供应商将承担不利后果，经评审委员会认定，相关技术要求将判定为负偏离。</w:t>
      </w:r>
      <w:bookmarkEnd w:id="52"/>
    </w:p>
    <w:p w14:paraId="16F933EB">
      <w:pPr>
        <w:ind w:firstLine="420" w:firstLineChars="200"/>
        <w:rPr>
          <w:bCs/>
          <w:szCs w:val="21"/>
        </w:rPr>
      </w:pPr>
      <w:r>
        <w:rPr>
          <w:rFonts w:hint="eastAsia"/>
          <w:bCs/>
          <w:szCs w:val="21"/>
        </w:rPr>
        <w:t>7、</w:t>
      </w:r>
      <w:bookmarkStart w:id="53" w:name="_Hlk72096176"/>
      <w:r>
        <w:rPr>
          <w:rFonts w:hint="eastAsia"/>
          <w:bCs/>
          <w:szCs w:val="21"/>
        </w:rPr>
        <w:t>证明资料的形式及其它具体要求</w:t>
      </w:r>
      <w:bookmarkEnd w:id="53"/>
      <w:r>
        <w:rPr>
          <w:rFonts w:hint="eastAsia"/>
          <w:bCs/>
          <w:szCs w:val="21"/>
        </w:rPr>
        <w:t>：</w:t>
      </w:r>
    </w:p>
    <w:p w14:paraId="18155034">
      <w:pPr>
        <w:ind w:firstLine="420" w:firstLineChars="200"/>
        <w:rPr>
          <w:bCs/>
          <w:szCs w:val="21"/>
        </w:rPr>
      </w:pPr>
      <w:r>
        <w:rPr>
          <w:rFonts w:hint="eastAsia"/>
          <w:bCs/>
          <w:szCs w:val="21"/>
        </w:rPr>
        <w:t>（1）除照片、图片（截图）及不需加盖公章的文字说明（技术说明）外，其它证明资料均要求为原件扫描件；</w:t>
      </w:r>
    </w:p>
    <w:p w14:paraId="246661DB">
      <w:pPr>
        <w:ind w:firstLine="420" w:firstLineChars="200"/>
        <w:rPr>
          <w:bCs/>
          <w:szCs w:val="21"/>
        </w:rPr>
      </w:pPr>
      <w:r>
        <w:rPr>
          <w:rFonts w:hint="eastAsia"/>
          <w:bCs/>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w:t>
      </w:r>
      <w:r>
        <w:rPr>
          <w:rFonts w:hint="eastAsia"/>
          <w:bCs/>
          <w:szCs w:val="21"/>
          <w:lang w:val="en-US" w:eastAsia="zh-CN"/>
        </w:rPr>
        <w:t>必须</w:t>
      </w:r>
      <w:r>
        <w:rPr>
          <w:rFonts w:hint="eastAsia"/>
          <w:bCs/>
          <w:szCs w:val="21"/>
        </w:rPr>
        <w:t>严格按要求的形式、内容提供证明资料；</w:t>
      </w:r>
    </w:p>
    <w:p w14:paraId="076AD224">
      <w:pPr>
        <w:ind w:firstLine="420" w:firstLineChars="200"/>
        <w:rPr>
          <w:bCs/>
          <w:szCs w:val="21"/>
        </w:rPr>
      </w:pPr>
      <w:r>
        <w:rPr>
          <w:rFonts w:hint="eastAsia"/>
          <w:bCs/>
          <w:szCs w:val="21"/>
        </w:rPr>
        <w:t>（3）产品说明书或彩页应为制造商公布（出具）的中文产品说明书或彩页；提供外文说明书或彩页的，</w:t>
      </w:r>
      <w:r>
        <w:rPr>
          <w:rFonts w:hint="eastAsia"/>
          <w:bCs/>
          <w:szCs w:val="21"/>
          <w:lang w:val="en-US" w:eastAsia="zh-CN"/>
        </w:rPr>
        <w:t>必须</w:t>
      </w:r>
      <w:r>
        <w:rPr>
          <w:rFonts w:hint="eastAsia"/>
          <w:bCs/>
          <w:szCs w:val="21"/>
        </w:rPr>
        <w:t>同时提供加盖制造商公章的对应中文翻译说明，评标依据以中文翻译内容为准，外文说明书或彩页仅供参考；产品说明书或彩页的尺寸和清晰度应该能够在电脑上被阅读、识别和判断；</w:t>
      </w:r>
    </w:p>
    <w:p w14:paraId="3C72FEDB">
      <w:pPr>
        <w:ind w:firstLine="420" w:firstLineChars="200"/>
        <w:rPr>
          <w:bCs/>
          <w:szCs w:val="21"/>
        </w:rPr>
      </w:pPr>
      <w:r>
        <w:rPr>
          <w:rFonts w:hint="eastAsia"/>
          <w:bCs/>
          <w:szCs w:val="21"/>
        </w:rPr>
        <w:t>我国政府机构出具的产品检验和核准证件应为证件正面、背面和附件标注的全部具体内容；产品检验和核准证件的尺寸和清晰度应该能够在电脑上被阅读、识别和判断；</w:t>
      </w:r>
    </w:p>
    <w:p w14:paraId="781065B9">
      <w:pPr>
        <w:ind w:firstLine="420" w:firstLineChars="200"/>
        <w:rPr>
          <w:bCs/>
          <w:szCs w:val="21"/>
        </w:rPr>
      </w:pPr>
      <w:r>
        <w:rPr>
          <w:rFonts w:hint="eastAsia"/>
          <w:bCs/>
          <w:szCs w:val="21"/>
        </w:rPr>
        <w:t>第三方机构出具的检测（检验、测试）报告、认证（证明）证书应为中文报告或证书；提供外文报告或证书的，</w:t>
      </w:r>
      <w:r>
        <w:rPr>
          <w:rFonts w:hint="eastAsia"/>
          <w:bCs/>
          <w:szCs w:val="21"/>
          <w:lang w:val="en-US" w:eastAsia="zh-CN"/>
        </w:rPr>
        <w:t>必须</w:t>
      </w:r>
      <w:r>
        <w:rPr>
          <w:rFonts w:hint="eastAsia"/>
          <w:bCs/>
          <w:szCs w:val="21"/>
        </w:rPr>
        <w:t>同时提供对应的中文翻译文字说明，评标依据以中文翻译文字说明内容为准，外文报告或证书仅供参考；报告或证书的尺寸和清晰度应该能够在电脑上被阅读、识别和判断；</w:t>
      </w:r>
    </w:p>
    <w:p w14:paraId="4103406E">
      <w:pPr>
        <w:ind w:firstLine="420" w:firstLineChars="200"/>
        <w:rPr>
          <w:bCs/>
          <w:szCs w:val="21"/>
        </w:rPr>
      </w:pPr>
      <w:r>
        <w:rPr>
          <w:rFonts w:hint="eastAsia"/>
          <w:bCs/>
          <w:szCs w:val="21"/>
        </w:rPr>
        <w:t>其它证明资料的形式要求参照以上要求执行；</w:t>
      </w:r>
    </w:p>
    <w:p w14:paraId="01E8D0F1">
      <w:pPr>
        <w:ind w:firstLine="420" w:firstLineChars="200"/>
        <w:rPr>
          <w:bCs/>
          <w:szCs w:val="21"/>
        </w:rPr>
      </w:pPr>
      <w:r>
        <w:rPr>
          <w:rFonts w:hint="eastAsia"/>
          <w:bCs/>
          <w:szCs w:val="21"/>
        </w:rPr>
        <w:t>8、其它注意事项：</w:t>
      </w:r>
    </w:p>
    <w:p w14:paraId="0B0451E6">
      <w:pPr>
        <w:ind w:firstLine="420" w:firstLineChars="200"/>
        <w:rPr>
          <w:bCs/>
          <w:szCs w:val="21"/>
        </w:rPr>
      </w:pPr>
      <w:r>
        <w:rPr>
          <w:rFonts w:hint="eastAsia"/>
          <w:bCs/>
          <w:szCs w:val="21"/>
        </w:rPr>
        <w:t>（1）评审委员会有权对投标人的响应情况作出判断（评审结论）；</w:t>
      </w:r>
    </w:p>
    <w:p w14:paraId="0E0FACA9">
      <w:pPr>
        <w:ind w:firstLine="420" w:firstLineChars="200"/>
        <w:rPr>
          <w:rFonts w:hint="eastAsia" w:ascii="黑体" w:eastAsia="黑体"/>
          <w:b w:val="0"/>
          <w:bCs w:val="0"/>
          <w:sz w:val="24"/>
          <w:szCs w:val="20"/>
        </w:rPr>
      </w:pPr>
      <w:r>
        <w:rPr>
          <w:rFonts w:hint="eastAsia"/>
          <w:bCs/>
          <w:szCs w:val="21"/>
        </w:rPr>
        <w:t>（2）</w:t>
      </w:r>
      <w:bookmarkStart w:id="54" w:name="_Hlk72158213"/>
      <w:r>
        <w:rPr>
          <w:rFonts w:hint="eastAsia"/>
          <w:bCs/>
          <w:szCs w:val="21"/>
        </w:rPr>
        <w:t>评审委员会有权对以谋取中标为目的的技术规格模糊响应（如有意不合理照搬照抄招标文件的技术要求）或虚假响应予以认定，并视情况经政府集中采购机构报主管部门进行处理。</w:t>
      </w:r>
      <w:bookmarkEnd w:id="54"/>
      <w:r>
        <w:rPr>
          <w:rFonts w:hint="eastAsia" w:ascii="黑体" w:eastAsia="黑体"/>
          <w:b w:val="0"/>
          <w:bCs w:val="0"/>
          <w:sz w:val="24"/>
          <w:szCs w:val="20"/>
        </w:rPr>
        <w:br w:type="page"/>
      </w:r>
    </w:p>
    <w:p w14:paraId="68032A1D">
      <w:pPr>
        <w:pStyle w:val="4"/>
        <w:jc w:val="center"/>
        <w:rPr>
          <w:sz w:val="24"/>
        </w:rPr>
      </w:pPr>
      <w:r>
        <w:rPr>
          <w:rFonts w:hint="eastAsia" w:ascii="黑体" w:eastAsia="黑体"/>
          <w:b w:val="0"/>
          <w:bCs w:val="0"/>
          <w:sz w:val="24"/>
          <w:szCs w:val="20"/>
          <w:lang w:val="en-US" w:eastAsia="zh-CN"/>
        </w:rPr>
        <w:t>七</w:t>
      </w:r>
      <w:r>
        <w:rPr>
          <w:rFonts w:hint="eastAsia" w:ascii="黑体" w:eastAsia="黑体"/>
          <w:b w:val="0"/>
          <w:bCs w:val="0"/>
          <w:sz w:val="24"/>
          <w:szCs w:val="20"/>
        </w:rPr>
        <w:t>、商务要求偏离表</w:t>
      </w:r>
    </w:p>
    <w:tbl>
      <w:tblPr>
        <w:tblStyle w:val="42"/>
        <w:tblW w:w="7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
        <w:gridCol w:w="933"/>
        <w:gridCol w:w="2278"/>
        <w:gridCol w:w="2333"/>
        <w:gridCol w:w="967"/>
        <w:gridCol w:w="967"/>
      </w:tblGrid>
      <w:tr w14:paraId="2F96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61" w:type="dxa"/>
            <w:vAlign w:val="center"/>
          </w:tcPr>
          <w:p w14:paraId="4AC354DD">
            <w:pPr>
              <w:adjustRightInd w:val="0"/>
              <w:snapToGrid w:val="0"/>
              <w:jc w:val="center"/>
              <w:rPr>
                <w:rFonts w:ascii="宋体" w:hAnsi="宋体" w:eastAsia="宋体" w:cs="宋体"/>
                <w:szCs w:val="21"/>
              </w:rPr>
            </w:pPr>
            <w:r>
              <w:rPr>
                <w:rFonts w:hint="eastAsia" w:ascii="宋体" w:hAnsi="宋体" w:eastAsia="宋体" w:cs="宋体"/>
                <w:szCs w:val="21"/>
              </w:rPr>
              <w:t>序号</w:t>
            </w:r>
          </w:p>
        </w:tc>
        <w:tc>
          <w:tcPr>
            <w:tcW w:w="933" w:type="dxa"/>
            <w:vAlign w:val="center"/>
          </w:tcPr>
          <w:p w14:paraId="1D2D6859">
            <w:pPr>
              <w:adjustRightInd w:val="0"/>
              <w:snapToGrid w:val="0"/>
              <w:jc w:val="center"/>
              <w:rPr>
                <w:rFonts w:ascii="宋体" w:hAnsi="宋体" w:eastAsia="宋体" w:cs="宋体"/>
                <w:color w:val="auto"/>
                <w:szCs w:val="21"/>
              </w:rPr>
            </w:pPr>
            <w:r>
              <w:rPr>
                <w:rFonts w:hint="eastAsia" w:ascii="宋体" w:hAnsi="宋体" w:eastAsia="宋体" w:cs="宋体"/>
                <w:bCs/>
                <w:color w:val="auto"/>
                <w:szCs w:val="21"/>
              </w:rPr>
              <w:t>名称</w:t>
            </w:r>
          </w:p>
        </w:tc>
        <w:tc>
          <w:tcPr>
            <w:tcW w:w="2278" w:type="dxa"/>
            <w:vAlign w:val="center"/>
          </w:tcPr>
          <w:p w14:paraId="4A88E4A4">
            <w:pPr>
              <w:adjustRightInd w:val="0"/>
              <w:snapToGrid w:val="0"/>
              <w:jc w:val="center"/>
              <w:rPr>
                <w:rFonts w:ascii="宋体" w:hAnsi="宋体" w:eastAsia="宋体" w:cs="宋体"/>
                <w:color w:val="auto"/>
                <w:szCs w:val="21"/>
              </w:rPr>
            </w:pPr>
            <w:r>
              <w:rPr>
                <w:rFonts w:hint="eastAsia" w:ascii="宋体" w:hAnsi="宋体" w:eastAsia="宋体" w:cs="宋体"/>
                <w:color w:val="auto"/>
                <w:szCs w:val="21"/>
              </w:rPr>
              <w:t>商务要求</w:t>
            </w:r>
          </w:p>
        </w:tc>
        <w:tc>
          <w:tcPr>
            <w:tcW w:w="2333" w:type="dxa"/>
            <w:vAlign w:val="center"/>
          </w:tcPr>
          <w:p w14:paraId="7E59686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szCs w:val="21"/>
              </w:rPr>
            </w:pPr>
            <w:r>
              <w:rPr>
                <w:rFonts w:hint="eastAsia" w:ascii="宋体" w:hAnsi="宋体" w:cs="宋体"/>
                <w:szCs w:val="21"/>
              </w:rPr>
              <w:t>投标商务响应</w:t>
            </w:r>
          </w:p>
        </w:tc>
        <w:tc>
          <w:tcPr>
            <w:tcW w:w="967" w:type="dxa"/>
            <w:vAlign w:val="center"/>
          </w:tcPr>
          <w:p w14:paraId="078D2B9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szCs w:val="21"/>
              </w:rPr>
            </w:pPr>
            <w:r>
              <w:rPr>
                <w:rFonts w:hint="eastAsia" w:ascii="宋体" w:hAnsi="宋体" w:cs="宋体"/>
                <w:szCs w:val="21"/>
              </w:rPr>
              <w:t>偏离情况</w:t>
            </w:r>
          </w:p>
        </w:tc>
        <w:tc>
          <w:tcPr>
            <w:tcW w:w="967" w:type="dxa"/>
            <w:vAlign w:val="center"/>
          </w:tcPr>
          <w:p w14:paraId="002A6E8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szCs w:val="21"/>
              </w:rPr>
            </w:pPr>
            <w:r>
              <w:rPr>
                <w:rFonts w:hint="eastAsia" w:ascii="宋体" w:hAnsi="宋体" w:cs="宋体"/>
                <w:szCs w:val="21"/>
              </w:rPr>
              <w:t>说明</w:t>
            </w:r>
          </w:p>
        </w:tc>
      </w:tr>
      <w:tr w14:paraId="3A52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61" w:type="dxa"/>
            <w:shd w:val="clear" w:color="auto" w:fill="auto"/>
            <w:vAlign w:val="center"/>
          </w:tcPr>
          <w:p w14:paraId="52A4D1F2">
            <w:pPr>
              <w:adjustRightInd w:val="0"/>
              <w:snapToGrid w:val="0"/>
              <w:jc w:val="center"/>
              <w:rPr>
                <w:rFonts w:ascii="宋体" w:hAnsi="宋体" w:eastAsia="宋体" w:cs="宋体"/>
                <w:szCs w:val="21"/>
              </w:rPr>
            </w:pPr>
            <w:r>
              <w:rPr>
                <w:rFonts w:hint="eastAsia" w:ascii="宋体" w:hAnsi="宋体" w:eastAsia="宋体" w:cs="宋体"/>
                <w:szCs w:val="21"/>
              </w:rPr>
              <w:t>1</w:t>
            </w:r>
          </w:p>
        </w:tc>
        <w:tc>
          <w:tcPr>
            <w:tcW w:w="933" w:type="dxa"/>
            <w:shd w:val="clear" w:color="auto" w:fill="auto"/>
            <w:vAlign w:val="center"/>
          </w:tcPr>
          <w:p w14:paraId="7F099742">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服务期要求</w:t>
            </w:r>
          </w:p>
        </w:tc>
        <w:tc>
          <w:tcPr>
            <w:tcW w:w="2278" w:type="dxa"/>
            <w:shd w:val="clear" w:color="auto" w:fill="auto"/>
          </w:tcPr>
          <w:p w14:paraId="191A8817">
            <w:pPr>
              <w:pStyle w:val="18"/>
              <w:spacing w:after="0" w:line="240" w:lineRule="auto"/>
              <w:rPr>
                <w:color w:val="auto"/>
              </w:rPr>
            </w:pPr>
            <w:r>
              <w:rPr>
                <w:rFonts w:hint="eastAsia" w:asciiTheme="minorEastAsia" w:hAnsiTheme="minorEastAsia" w:eastAsiaTheme="minorEastAsia" w:cstheme="minorEastAsia"/>
                <w:b/>
                <w:bCs/>
                <w:color w:val="auto"/>
                <w:kern w:val="2"/>
                <w:sz w:val="21"/>
                <w:szCs w:val="24"/>
                <w:highlight w:val="none"/>
                <w:lang w:val="en-US" w:eastAsia="zh-CN" w:bidi="ar-SA"/>
              </w:rPr>
              <w:t>本项目为长期服务项目。服务期限一年，合同每年签一次，如甲方对履约情况满意，和乙方协商一致后可以续签，但续签不得超过两次（即服务期限最长为36个月）。如甲方对乙方履约不满意，不再续约。</w:t>
            </w:r>
          </w:p>
        </w:tc>
        <w:tc>
          <w:tcPr>
            <w:tcW w:w="2333" w:type="dxa"/>
            <w:shd w:val="clear" w:color="auto" w:fill="auto"/>
          </w:tcPr>
          <w:p w14:paraId="65E71D7F">
            <w:pPr>
              <w:pStyle w:val="18"/>
              <w:spacing w:after="0" w:line="240" w:lineRule="auto"/>
              <w:rPr>
                <w:rFonts w:hint="eastAsia" w:asciiTheme="minorEastAsia" w:hAnsiTheme="minorEastAsia" w:eastAsiaTheme="minorEastAsia" w:cstheme="minorEastAsia"/>
                <w:b/>
                <w:bCs/>
                <w:color w:val="auto"/>
                <w:kern w:val="2"/>
                <w:sz w:val="21"/>
                <w:szCs w:val="24"/>
                <w:highlight w:val="none"/>
                <w:lang w:val="en-US" w:eastAsia="zh-CN" w:bidi="ar-SA"/>
              </w:rPr>
            </w:pPr>
          </w:p>
        </w:tc>
        <w:tc>
          <w:tcPr>
            <w:tcW w:w="967" w:type="dxa"/>
            <w:shd w:val="clear" w:color="auto" w:fill="auto"/>
          </w:tcPr>
          <w:p w14:paraId="3752611A">
            <w:pPr>
              <w:pStyle w:val="18"/>
              <w:spacing w:after="0" w:line="240" w:lineRule="auto"/>
              <w:rPr>
                <w:rFonts w:hint="eastAsia" w:asciiTheme="minorEastAsia" w:hAnsiTheme="minorEastAsia" w:eastAsiaTheme="minorEastAsia" w:cstheme="minorEastAsia"/>
                <w:b/>
                <w:bCs/>
                <w:color w:val="auto"/>
                <w:kern w:val="2"/>
                <w:sz w:val="21"/>
                <w:szCs w:val="24"/>
                <w:highlight w:val="none"/>
                <w:lang w:val="en-US" w:eastAsia="zh-CN" w:bidi="ar-SA"/>
              </w:rPr>
            </w:pPr>
          </w:p>
        </w:tc>
        <w:tc>
          <w:tcPr>
            <w:tcW w:w="967" w:type="dxa"/>
            <w:shd w:val="clear" w:color="auto" w:fill="auto"/>
          </w:tcPr>
          <w:p w14:paraId="456AC7E5">
            <w:pPr>
              <w:pStyle w:val="18"/>
              <w:spacing w:after="0" w:line="240" w:lineRule="auto"/>
              <w:rPr>
                <w:rFonts w:hint="eastAsia" w:asciiTheme="minorEastAsia" w:hAnsiTheme="minorEastAsia" w:eastAsiaTheme="minorEastAsia" w:cstheme="minorEastAsia"/>
                <w:b/>
                <w:bCs/>
                <w:color w:val="auto"/>
                <w:kern w:val="2"/>
                <w:sz w:val="21"/>
                <w:szCs w:val="24"/>
                <w:highlight w:val="none"/>
                <w:lang w:val="en-US" w:eastAsia="zh-CN" w:bidi="ar-SA"/>
              </w:rPr>
            </w:pPr>
          </w:p>
        </w:tc>
      </w:tr>
      <w:tr w14:paraId="2B21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dxa"/>
            <w:vAlign w:val="center"/>
          </w:tcPr>
          <w:p w14:paraId="0F27A6A0">
            <w:pPr>
              <w:adjustRightInd w:val="0"/>
              <w:snapToGrid w:val="0"/>
              <w:jc w:val="center"/>
              <w:rPr>
                <w:rFonts w:ascii="宋体" w:hAnsi="宋体" w:eastAsia="宋体" w:cs="宋体"/>
                <w:szCs w:val="21"/>
              </w:rPr>
            </w:pPr>
            <w:r>
              <w:rPr>
                <w:rFonts w:hint="eastAsia" w:ascii="宋体" w:hAnsi="宋体" w:eastAsia="宋体" w:cs="宋体"/>
                <w:szCs w:val="21"/>
              </w:rPr>
              <w:t>2</w:t>
            </w:r>
          </w:p>
        </w:tc>
        <w:tc>
          <w:tcPr>
            <w:tcW w:w="933" w:type="dxa"/>
            <w:vAlign w:val="center"/>
          </w:tcPr>
          <w:p w14:paraId="13982016">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服务地点</w:t>
            </w:r>
          </w:p>
        </w:tc>
        <w:tc>
          <w:tcPr>
            <w:tcW w:w="2278" w:type="dxa"/>
          </w:tcPr>
          <w:p w14:paraId="13A70FD3">
            <w:pPr>
              <w:adjustRightInd w:val="0"/>
              <w:snapToGrid w:val="0"/>
              <w:rPr>
                <w:color w:val="auto"/>
              </w:rPr>
            </w:pPr>
            <w:r>
              <w:rPr>
                <w:rFonts w:hint="eastAsia"/>
                <w:color w:val="auto"/>
                <w:lang w:val="en-US" w:eastAsia="zh-CN"/>
              </w:rPr>
              <w:t>学校指定地点</w:t>
            </w:r>
            <w:r>
              <w:rPr>
                <w:rFonts w:hint="eastAsia"/>
                <w:color w:val="auto"/>
                <w:highlight w:val="none"/>
                <w:lang w:eastAsia="zh-CN"/>
              </w:rPr>
              <w:t>。</w:t>
            </w:r>
          </w:p>
        </w:tc>
        <w:tc>
          <w:tcPr>
            <w:tcW w:w="2333" w:type="dxa"/>
          </w:tcPr>
          <w:p w14:paraId="093F5C48">
            <w:pPr>
              <w:adjustRightInd w:val="0"/>
              <w:snapToGrid w:val="0"/>
              <w:rPr>
                <w:rFonts w:hint="eastAsia"/>
                <w:color w:val="auto"/>
                <w:lang w:val="en-US" w:eastAsia="zh-CN"/>
              </w:rPr>
            </w:pPr>
          </w:p>
        </w:tc>
        <w:tc>
          <w:tcPr>
            <w:tcW w:w="967" w:type="dxa"/>
          </w:tcPr>
          <w:p w14:paraId="6B26E747">
            <w:pPr>
              <w:adjustRightInd w:val="0"/>
              <w:snapToGrid w:val="0"/>
              <w:rPr>
                <w:rFonts w:hint="eastAsia"/>
                <w:color w:val="auto"/>
                <w:lang w:val="en-US" w:eastAsia="zh-CN"/>
              </w:rPr>
            </w:pPr>
          </w:p>
        </w:tc>
        <w:tc>
          <w:tcPr>
            <w:tcW w:w="967" w:type="dxa"/>
          </w:tcPr>
          <w:p w14:paraId="050428A5">
            <w:pPr>
              <w:adjustRightInd w:val="0"/>
              <w:snapToGrid w:val="0"/>
              <w:rPr>
                <w:rFonts w:hint="eastAsia"/>
                <w:color w:val="auto"/>
                <w:lang w:val="en-US" w:eastAsia="zh-CN"/>
              </w:rPr>
            </w:pPr>
          </w:p>
        </w:tc>
      </w:tr>
      <w:tr w14:paraId="50EC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61" w:type="dxa"/>
            <w:vAlign w:val="center"/>
          </w:tcPr>
          <w:p w14:paraId="41A0982A">
            <w:pPr>
              <w:adjustRightInd w:val="0"/>
              <w:snapToGrid w:val="0"/>
              <w:jc w:val="center"/>
              <w:rPr>
                <w:rFonts w:ascii="宋体" w:hAnsi="宋体" w:eastAsia="宋体" w:cs="宋体"/>
                <w:szCs w:val="21"/>
              </w:rPr>
            </w:pPr>
            <w:r>
              <w:rPr>
                <w:rFonts w:hint="eastAsia" w:ascii="宋体" w:hAnsi="宋体" w:eastAsia="宋体" w:cs="宋体"/>
                <w:szCs w:val="21"/>
              </w:rPr>
              <w:t>3</w:t>
            </w:r>
          </w:p>
        </w:tc>
        <w:tc>
          <w:tcPr>
            <w:tcW w:w="933" w:type="dxa"/>
            <w:vAlign w:val="center"/>
          </w:tcPr>
          <w:p w14:paraId="60F2B6C7">
            <w:pPr>
              <w:adjustRightInd w:val="0"/>
              <w:snapToGrid w:val="0"/>
              <w:ind w:firstLine="0" w:firstLineChars="0"/>
              <w:rPr>
                <w:color w:val="auto"/>
              </w:rPr>
            </w:pPr>
            <w:r>
              <w:rPr>
                <w:rFonts w:hint="eastAsia" w:ascii="宋体" w:hAnsi="宋体"/>
                <w:color w:val="auto"/>
                <w:kern w:val="0"/>
                <w:szCs w:val="21"/>
              </w:rPr>
              <w:t>★</w:t>
            </w:r>
            <w:r>
              <w:rPr>
                <w:rFonts w:hint="eastAsia"/>
                <w:color w:val="auto"/>
              </w:rPr>
              <w:t>报价要求</w:t>
            </w:r>
          </w:p>
        </w:tc>
        <w:tc>
          <w:tcPr>
            <w:tcW w:w="2278" w:type="dxa"/>
          </w:tcPr>
          <w:p w14:paraId="6BA9C5C7">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（1）本项目的投标报价为折扣率；</w:t>
            </w:r>
          </w:p>
          <w:p w14:paraId="4747C38E">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（2）折扣率 </w:t>
            </w:r>
            <w:r>
              <w:rPr>
                <w:rFonts w:hint="eastAsia" w:ascii="宋体" w:hAnsi="宋体" w:eastAsia="宋体" w:cs="宋体"/>
                <w:color w:val="auto"/>
                <w:szCs w:val="21"/>
                <w:highlight w:val="none"/>
                <w:lang w:eastAsia="zh-CN"/>
              </w:rPr>
              <w:t>：</w:t>
            </w:r>
            <w:r>
              <w:rPr>
                <w:rFonts w:hint="eastAsia"/>
                <w:color w:val="auto"/>
                <w:highlight w:val="none"/>
              </w:rPr>
              <w:t>0＜折扣率≤1</w:t>
            </w:r>
            <w:r>
              <w:rPr>
                <w:rFonts w:hint="eastAsia" w:ascii="宋体" w:hAnsi="宋体" w:eastAsia="宋体" w:cs="宋体"/>
                <w:color w:val="auto"/>
                <w:szCs w:val="21"/>
                <w:highlight w:val="none"/>
              </w:rPr>
              <w:t>，折扣率在服务期限内保持不变（举例说明：若某种货物的价格为10元/斤，投标人投标报价折扣率为9折，实际结算价格为10元/斤*0.9=9.00元/斤，则在投标文件开标一览表中的折扣率应填</w:t>
            </w:r>
            <w:r>
              <w:rPr>
                <w:rFonts w:hint="eastAsia" w:ascii="宋体" w:hAnsi="宋体" w:eastAsia="宋体" w:cs="宋体"/>
                <w:color w:val="auto"/>
                <w:szCs w:val="21"/>
                <w:highlight w:val="none"/>
                <w:lang w:val="en-US" w:eastAsia="zh-CN"/>
              </w:rPr>
              <w:t>0.9</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最多保留小数点后两位</w:t>
            </w:r>
            <w:r>
              <w:rPr>
                <w:rFonts w:hint="eastAsia" w:ascii="宋体" w:hAnsi="宋体" w:eastAsia="宋体" w:cs="宋体"/>
                <w:color w:val="auto"/>
                <w:szCs w:val="21"/>
                <w:highlight w:val="none"/>
              </w:rPr>
              <w:t>。</w:t>
            </w:r>
          </w:p>
          <w:p w14:paraId="270153DF">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（3）所有食材品类结算价格=基准价*折扣率，基准价=深圳市中农数据有限公司（天天采配平台）上月</w:t>
            </w:r>
            <w:r>
              <w:rPr>
                <w:rFonts w:hint="eastAsia" w:ascii="宋体" w:hAnsi="宋体" w:cs="宋体"/>
                <w:color w:val="auto"/>
                <w:szCs w:val="21"/>
                <w:highlight w:val="none"/>
                <w:lang w:eastAsia="zh-CN"/>
              </w:rPr>
              <w:t>5、</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25</w:t>
            </w:r>
            <w:r>
              <w:rPr>
                <w:rFonts w:hint="eastAsia" w:ascii="宋体" w:hAnsi="宋体" w:cs="宋体"/>
                <w:color w:val="auto"/>
                <w:szCs w:val="21"/>
                <w:highlight w:val="none"/>
                <w:lang w:val="en-US" w:eastAsia="zh-CN"/>
              </w:rPr>
              <w:t>日</w:t>
            </w:r>
            <w:r>
              <w:rPr>
                <w:rFonts w:hint="eastAsia" w:ascii="宋体" w:hAnsi="宋体" w:eastAsia="宋体" w:cs="宋体"/>
                <w:color w:val="auto"/>
                <w:szCs w:val="21"/>
                <w:highlight w:val="none"/>
              </w:rPr>
              <w:t>公布价格的平均价格。</w:t>
            </w:r>
          </w:p>
          <w:p w14:paraId="6B47C35A">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中农数据食堂采配平台中无价格的产品（原则上学校不采购中农数据食堂采配平台中无价格的产品），如学校确需要采购中农数据食堂采配平台中无价格的产品，需与中标供应商提前确认基准价），结算价格=基准价*折扣率。基准价=学校成立议价小组与中标供应商进行统一议价确定。</w:t>
            </w:r>
          </w:p>
          <w:p w14:paraId="25E0AEDC">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说明：（3）（4）中所指的折扣率由投标人结合企业自身的实力报出的唯一折扣率。</w:t>
            </w:r>
          </w:p>
          <w:p w14:paraId="155FB2C7">
            <w:pPr>
              <w:adjustRightInd/>
              <w:snapToGrid/>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中标供应商应积极做好特殊时期食材配送保障，如逢节假日、考评、检查、动物疫情、重大会议或防洪防台风等特殊时期的食材配送，不得借故哄抬物价或拒绝配送，确保食材不间断供应。如遇台风、暴雨等不可</w:t>
            </w:r>
            <w:r>
              <w:rPr>
                <w:rFonts w:hint="eastAsia" w:ascii="宋体" w:hAnsi="宋体" w:eastAsia="宋体" w:cs="宋体"/>
                <w:color w:val="auto"/>
                <w:szCs w:val="21"/>
                <w:highlight w:val="none"/>
                <w:lang w:val="en-US" w:eastAsia="zh-CN"/>
              </w:rPr>
              <w:t>预见</w:t>
            </w:r>
            <w:r>
              <w:rPr>
                <w:rFonts w:hint="eastAsia" w:ascii="宋体" w:hAnsi="宋体" w:eastAsia="宋体" w:cs="宋体"/>
                <w:color w:val="auto"/>
                <w:szCs w:val="21"/>
                <w:highlight w:val="none"/>
              </w:rPr>
              <w:t>的原因造成个别品种及价格需临时</w:t>
            </w:r>
            <w:r>
              <w:rPr>
                <w:rFonts w:hint="eastAsia" w:ascii="宋体" w:hAnsi="宋体" w:eastAsia="宋体" w:cs="宋体"/>
                <w:color w:val="auto"/>
                <w:szCs w:val="21"/>
                <w:highlight w:val="none"/>
                <w:lang w:val="en-US" w:eastAsia="zh-CN"/>
              </w:rPr>
              <w:t>进行</w:t>
            </w:r>
            <w:r>
              <w:rPr>
                <w:rFonts w:hint="eastAsia" w:ascii="宋体" w:hAnsi="宋体" w:eastAsia="宋体" w:cs="宋体"/>
                <w:color w:val="auto"/>
                <w:szCs w:val="21"/>
                <w:highlight w:val="none"/>
              </w:rPr>
              <w:t>调整的，中标供应商应事先通知</w:t>
            </w:r>
            <w:r>
              <w:rPr>
                <w:rFonts w:hint="eastAsia" w:ascii="宋体" w:hAnsi="宋体" w:cs="宋体"/>
                <w:color w:val="auto"/>
                <w:szCs w:val="21"/>
                <w:highlight w:val="none"/>
                <w:lang w:eastAsia="zh-CN"/>
              </w:rPr>
              <w:t>学校</w:t>
            </w:r>
            <w:r>
              <w:rPr>
                <w:rFonts w:hint="eastAsia" w:ascii="宋体" w:hAnsi="宋体" w:eastAsia="宋体" w:cs="宋体"/>
                <w:color w:val="auto"/>
                <w:szCs w:val="21"/>
                <w:highlight w:val="none"/>
              </w:rPr>
              <w:t>，在</w:t>
            </w:r>
            <w:r>
              <w:rPr>
                <w:rFonts w:hint="eastAsia" w:ascii="宋体" w:hAnsi="宋体" w:cs="宋体"/>
                <w:color w:val="auto"/>
                <w:szCs w:val="21"/>
                <w:highlight w:val="none"/>
                <w:lang w:eastAsia="zh-CN"/>
              </w:rPr>
              <w:t>学校</w:t>
            </w:r>
            <w:r>
              <w:rPr>
                <w:rFonts w:hint="eastAsia" w:ascii="宋体" w:hAnsi="宋体" w:eastAsia="宋体" w:cs="宋体"/>
                <w:color w:val="auto"/>
                <w:szCs w:val="21"/>
                <w:highlight w:val="none"/>
              </w:rPr>
              <w:t>确认后方可调整。如遇恶劣天气，导致无法明确第二天是否上课、是否配送的，中标供应商可与</w:t>
            </w:r>
            <w:r>
              <w:rPr>
                <w:rFonts w:hint="eastAsia" w:ascii="宋体" w:hAnsi="宋体" w:eastAsia="宋体" w:cs="宋体"/>
                <w:color w:val="auto"/>
                <w:szCs w:val="21"/>
                <w:highlight w:val="none"/>
                <w:lang w:val="en-US" w:eastAsia="zh-CN"/>
              </w:rPr>
              <w:t>学校</w:t>
            </w:r>
            <w:r>
              <w:rPr>
                <w:rFonts w:hint="eastAsia" w:ascii="宋体" w:hAnsi="宋体" w:eastAsia="宋体" w:cs="宋体"/>
                <w:color w:val="auto"/>
                <w:szCs w:val="21"/>
                <w:highlight w:val="none"/>
              </w:rPr>
              <w:t>商议优先配送部分易保管存放的食材。</w:t>
            </w:r>
          </w:p>
          <w:p w14:paraId="2B7F46AD">
            <w:pPr>
              <w:adjustRightInd w:val="0"/>
              <w:snapToGrid w:val="0"/>
              <w:rPr>
                <w:color w:val="auto"/>
              </w:rPr>
            </w:pPr>
            <w:r>
              <w:rPr>
                <w:rFonts w:hint="eastAsia" w:ascii="宋体" w:hAnsi="宋体" w:eastAsia="宋体" w:cs="宋体"/>
                <w:color w:val="auto"/>
                <w:szCs w:val="21"/>
                <w:highlight w:val="none"/>
              </w:rPr>
              <w:t>（6）投标人的投标报价为包干价，包括供应产品价格和产品运输到使用单位的服务费、检测费、保险、搬运费、人工费、管理费、税金等一切将可能发生的费用。以上报价以人民币为报价和结算单位，须开具国家正规发票。</w:t>
            </w:r>
          </w:p>
        </w:tc>
        <w:tc>
          <w:tcPr>
            <w:tcW w:w="2333" w:type="dxa"/>
          </w:tcPr>
          <w:p w14:paraId="1100CFBE">
            <w:pPr>
              <w:adjustRightInd w:val="0"/>
              <w:snapToGrid w:val="0"/>
              <w:rPr>
                <w:rFonts w:hint="eastAsia" w:ascii="宋体" w:hAnsi="宋体" w:eastAsia="宋体" w:cs="宋体"/>
                <w:color w:val="auto"/>
                <w:szCs w:val="21"/>
                <w:highlight w:val="none"/>
              </w:rPr>
            </w:pPr>
          </w:p>
        </w:tc>
        <w:tc>
          <w:tcPr>
            <w:tcW w:w="967" w:type="dxa"/>
          </w:tcPr>
          <w:p w14:paraId="2D8CEC87">
            <w:pPr>
              <w:adjustRightInd w:val="0"/>
              <w:snapToGrid w:val="0"/>
              <w:rPr>
                <w:rFonts w:hint="eastAsia" w:ascii="宋体" w:hAnsi="宋体" w:eastAsia="宋体" w:cs="宋体"/>
                <w:color w:val="auto"/>
                <w:szCs w:val="21"/>
                <w:highlight w:val="none"/>
              </w:rPr>
            </w:pPr>
          </w:p>
        </w:tc>
        <w:tc>
          <w:tcPr>
            <w:tcW w:w="967" w:type="dxa"/>
          </w:tcPr>
          <w:p w14:paraId="63E0EC7E">
            <w:pPr>
              <w:adjustRightInd w:val="0"/>
              <w:snapToGrid w:val="0"/>
              <w:rPr>
                <w:rFonts w:hint="eastAsia" w:ascii="宋体" w:hAnsi="宋体" w:eastAsia="宋体" w:cs="宋体"/>
                <w:color w:val="auto"/>
                <w:szCs w:val="21"/>
                <w:highlight w:val="none"/>
              </w:rPr>
            </w:pPr>
          </w:p>
        </w:tc>
      </w:tr>
      <w:tr w14:paraId="09446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61" w:type="dxa"/>
            <w:shd w:val="clear" w:color="auto" w:fill="auto"/>
            <w:vAlign w:val="center"/>
          </w:tcPr>
          <w:p w14:paraId="3A3BB785">
            <w:pPr>
              <w:adjustRightInd w:val="0"/>
              <w:snapToGrid w:val="0"/>
              <w:jc w:val="center"/>
              <w:rPr>
                <w:rFonts w:ascii="宋体" w:hAnsi="宋体" w:eastAsia="宋体" w:cs="宋体"/>
                <w:szCs w:val="21"/>
              </w:rPr>
            </w:pPr>
            <w:r>
              <w:rPr>
                <w:rFonts w:hint="eastAsia" w:ascii="宋体" w:hAnsi="宋体" w:eastAsia="宋体" w:cs="宋体"/>
                <w:szCs w:val="21"/>
              </w:rPr>
              <w:t>4</w:t>
            </w:r>
          </w:p>
        </w:tc>
        <w:tc>
          <w:tcPr>
            <w:tcW w:w="933" w:type="dxa"/>
            <w:shd w:val="clear" w:color="auto" w:fill="auto"/>
            <w:vAlign w:val="center"/>
          </w:tcPr>
          <w:p w14:paraId="7FE20C19">
            <w:pPr>
              <w:adjustRightInd w:val="0"/>
              <w:snapToGrid w:val="0"/>
              <w:jc w:val="center"/>
              <w:rPr>
                <w:rFonts w:ascii="宋体" w:hAnsi="宋体" w:eastAsia="宋体" w:cs="宋体"/>
                <w:b/>
                <w:bCs/>
                <w:color w:val="auto"/>
                <w:szCs w:val="21"/>
              </w:rPr>
            </w:pPr>
            <w:r>
              <w:rPr>
                <w:rFonts w:hint="eastAsia" w:ascii="宋体" w:hAnsi="宋体"/>
                <w:color w:val="auto"/>
                <w:kern w:val="0"/>
                <w:szCs w:val="21"/>
              </w:rPr>
              <w:t>★</w:t>
            </w:r>
            <w:r>
              <w:rPr>
                <w:rFonts w:hint="eastAsia" w:ascii="宋体" w:hAnsi="宋体"/>
                <w:b/>
                <w:bCs/>
                <w:color w:val="auto"/>
                <w:szCs w:val="21"/>
              </w:rPr>
              <w:t>“折扣</w:t>
            </w:r>
            <w:r>
              <w:rPr>
                <w:rFonts w:hint="eastAsia" w:ascii="宋体" w:hAnsi="宋体"/>
                <w:b/>
                <w:bCs/>
                <w:color w:val="auto"/>
                <w:szCs w:val="21"/>
                <w:lang w:val="en-US" w:eastAsia="zh-CN"/>
              </w:rPr>
              <w:t>率</w:t>
            </w:r>
            <w:r>
              <w:rPr>
                <w:rFonts w:hint="eastAsia" w:ascii="宋体" w:hAnsi="宋体"/>
                <w:b/>
                <w:bCs/>
                <w:color w:val="auto"/>
                <w:szCs w:val="21"/>
              </w:rPr>
              <w:t>”填写要求</w:t>
            </w:r>
          </w:p>
        </w:tc>
        <w:tc>
          <w:tcPr>
            <w:tcW w:w="2278" w:type="dxa"/>
            <w:shd w:val="clear" w:color="auto" w:fill="auto"/>
          </w:tcPr>
          <w:p w14:paraId="72B899D1">
            <w:pPr>
              <w:rPr>
                <w:rFonts w:hint="eastAsia" w:ascii="宋体" w:hAnsi="宋体" w:eastAsia="宋体" w:cs="Times New Roman"/>
                <w:b/>
                <w:bCs/>
                <w:color w:val="auto"/>
                <w:szCs w:val="21"/>
              </w:rPr>
            </w:pPr>
            <w:r>
              <w:rPr>
                <w:rFonts w:hint="eastAsia" w:ascii="宋体" w:hAnsi="宋体" w:eastAsia="宋体" w:cs="Times New Roman"/>
                <w:b/>
                <w:bCs/>
                <w:color w:val="auto"/>
                <w:szCs w:val="21"/>
              </w:rPr>
              <w:t>（1）填写要求： 0＜折扣率≤1，未按此要求填写将作投标无效处理。</w:t>
            </w:r>
          </w:p>
          <w:p w14:paraId="3EE6ED25">
            <w:pPr>
              <w:rPr>
                <w:rFonts w:hint="eastAsia" w:ascii="宋体" w:hAnsi="宋体" w:eastAsia="宋体" w:cs="Times New Roman"/>
                <w:b/>
                <w:bCs/>
                <w:color w:val="auto"/>
                <w:szCs w:val="21"/>
              </w:rPr>
            </w:pPr>
            <w:r>
              <w:rPr>
                <w:rFonts w:hint="eastAsia" w:ascii="宋体" w:hAnsi="宋体" w:eastAsia="宋体" w:cs="Times New Roman"/>
                <w:b/>
                <w:bCs/>
                <w:color w:val="auto"/>
                <w:szCs w:val="21"/>
              </w:rPr>
              <w:t>（2）填写的“折扣率”应为小数，且最多保留小数点后2位，如：0.95、0.80、0.78，未按此要求填写将作投标无效处理。</w:t>
            </w:r>
          </w:p>
          <w:p w14:paraId="17370A40">
            <w:pPr>
              <w:rPr>
                <w:rFonts w:hint="eastAsia" w:ascii="宋体" w:hAnsi="宋体" w:eastAsia="宋体" w:cs="Times New Roman"/>
                <w:b/>
                <w:bCs/>
                <w:color w:val="auto"/>
                <w:szCs w:val="21"/>
              </w:rPr>
            </w:pPr>
            <w:r>
              <w:rPr>
                <w:rFonts w:hint="eastAsia" w:ascii="宋体" w:hAnsi="宋体" w:eastAsia="宋体" w:cs="Times New Roman"/>
                <w:b/>
                <w:bCs/>
                <w:color w:val="auto"/>
                <w:szCs w:val="21"/>
              </w:rPr>
              <w:t>（3）投标人参与投标只允许填报一个“折扣率”，不允许填报2个（或以上）的“折扣率”；填报了2个或以上“折扣率”的，其投标将直接作投标无效处理；</w:t>
            </w:r>
          </w:p>
          <w:p w14:paraId="329146C6">
            <w:pPr>
              <w:rPr>
                <w:rFonts w:ascii="宋体" w:hAnsi="宋体"/>
                <w:b/>
                <w:bCs/>
                <w:color w:val="auto"/>
                <w:kern w:val="21"/>
                <w:szCs w:val="24"/>
              </w:rPr>
            </w:pPr>
            <w:r>
              <w:rPr>
                <w:rFonts w:hint="eastAsia" w:ascii="宋体" w:hAnsi="宋体" w:eastAsia="宋体" w:cs="Times New Roman"/>
                <w:b/>
                <w:bCs/>
                <w:color w:val="auto"/>
                <w:szCs w:val="21"/>
              </w:rPr>
              <w:t>（4）“折扣率”缺填、漏填将直接作投标无效处理。</w:t>
            </w:r>
          </w:p>
        </w:tc>
        <w:tc>
          <w:tcPr>
            <w:tcW w:w="2333" w:type="dxa"/>
            <w:shd w:val="clear" w:color="auto" w:fill="auto"/>
          </w:tcPr>
          <w:p w14:paraId="6DBADD50">
            <w:pPr>
              <w:rPr>
                <w:rFonts w:hint="eastAsia" w:ascii="宋体" w:hAnsi="宋体" w:eastAsia="宋体" w:cs="Times New Roman"/>
                <w:b/>
                <w:bCs/>
                <w:color w:val="auto"/>
                <w:szCs w:val="21"/>
              </w:rPr>
            </w:pPr>
          </w:p>
        </w:tc>
        <w:tc>
          <w:tcPr>
            <w:tcW w:w="967" w:type="dxa"/>
            <w:shd w:val="clear" w:color="auto" w:fill="auto"/>
          </w:tcPr>
          <w:p w14:paraId="2A635191">
            <w:pPr>
              <w:rPr>
                <w:rFonts w:hint="eastAsia" w:ascii="宋体" w:hAnsi="宋体" w:eastAsia="宋体" w:cs="Times New Roman"/>
                <w:b/>
                <w:bCs/>
                <w:color w:val="auto"/>
                <w:szCs w:val="21"/>
              </w:rPr>
            </w:pPr>
          </w:p>
        </w:tc>
        <w:tc>
          <w:tcPr>
            <w:tcW w:w="967" w:type="dxa"/>
            <w:shd w:val="clear" w:color="auto" w:fill="auto"/>
          </w:tcPr>
          <w:p w14:paraId="6A223120">
            <w:pPr>
              <w:rPr>
                <w:rFonts w:hint="eastAsia" w:ascii="宋体" w:hAnsi="宋体" w:eastAsia="宋体" w:cs="Times New Roman"/>
                <w:b/>
                <w:bCs/>
                <w:color w:val="auto"/>
                <w:szCs w:val="21"/>
              </w:rPr>
            </w:pPr>
          </w:p>
        </w:tc>
      </w:tr>
      <w:tr w14:paraId="0AC2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trPr>
        <w:tc>
          <w:tcPr>
            <w:tcW w:w="361" w:type="dxa"/>
            <w:vAlign w:val="center"/>
          </w:tcPr>
          <w:p w14:paraId="1D5746B0">
            <w:pPr>
              <w:adjustRightInd w:val="0"/>
              <w:snapToGrid w:val="0"/>
              <w:jc w:val="center"/>
              <w:rPr>
                <w:rFonts w:ascii="宋体" w:hAnsi="宋体" w:eastAsia="宋体" w:cs="宋体"/>
                <w:szCs w:val="21"/>
              </w:rPr>
            </w:pPr>
            <w:r>
              <w:rPr>
                <w:rFonts w:hint="eastAsia" w:ascii="宋体" w:hAnsi="宋体" w:eastAsia="宋体" w:cs="宋体"/>
                <w:szCs w:val="21"/>
              </w:rPr>
              <w:t>5</w:t>
            </w:r>
          </w:p>
        </w:tc>
        <w:tc>
          <w:tcPr>
            <w:tcW w:w="933" w:type="dxa"/>
            <w:vAlign w:val="center"/>
          </w:tcPr>
          <w:p w14:paraId="5EA174A6">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付款方式</w:t>
            </w:r>
          </w:p>
        </w:tc>
        <w:tc>
          <w:tcPr>
            <w:tcW w:w="2278" w:type="dxa"/>
          </w:tcPr>
          <w:p w14:paraId="59023470">
            <w:pPr>
              <w:adjustRightInd w:val="0"/>
              <w:snapToGrid w:val="0"/>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款每个月结算一次。中标供应商必须向学校提供合法的货款发票，发票公章必须与公司名称相符，合同方、收款方、发票方三者必须一致。同时按货物品目分类提供明细、汇总清单及产品价格证明；学校对中标供应商提供的资料核对无误，且符合付款条件后予以支付。</w:t>
            </w:r>
          </w:p>
          <w:p w14:paraId="0C5C48F8">
            <w:pPr>
              <w:adjustRightInd w:val="0"/>
              <w:snapToGrid w:val="0"/>
              <w:jc w:val="left"/>
              <w:rPr>
                <w:rFonts w:ascii="宋体" w:hAnsi="宋体" w:eastAsia="宋体" w:cs="宋体"/>
                <w:color w:val="auto"/>
                <w:szCs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）符合付款条件的，学校自收到发票后10个工作日内，支付给中标供应商。</w:t>
            </w:r>
          </w:p>
        </w:tc>
        <w:tc>
          <w:tcPr>
            <w:tcW w:w="2333" w:type="dxa"/>
          </w:tcPr>
          <w:p w14:paraId="57ABAA09">
            <w:pPr>
              <w:adjustRightInd w:val="0"/>
              <w:snapToGrid w:val="0"/>
              <w:jc w:val="left"/>
              <w:rPr>
                <w:rFonts w:hint="eastAsia" w:ascii="宋体" w:hAnsi="宋体" w:eastAsia="宋体" w:cs="宋体"/>
                <w:color w:val="auto"/>
                <w:szCs w:val="21"/>
                <w:highlight w:val="none"/>
              </w:rPr>
            </w:pPr>
          </w:p>
        </w:tc>
        <w:tc>
          <w:tcPr>
            <w:tcW w:w="967" w:type="dxa"/>
          </w:tcPr>
          <w:p w14:paraId="080E5392">
            <w:pPr>
              <w:adjustRightInd w:val="0"/>
              <w:snapToGrid w:val="0"/>
              <w:jc w:val="left"/>
              <w:rPr>
                <w:rFonts w:hint="eastAsia" w:ascii="宋体" w:hAnsi="宋体" w:eastAsia="宋体" w:cs="宋体"/>
                <w:color w:val="auto"/>
                <w:szCs w:val="21"/>
                <w:highlight w:val="none"/>
              </w:rPr>
            </w:pPr>
          </w:p>
        </w:tc>
        <w:tc>
          <w:tcPr>
            <w:tcW w:w="967" w:type="dxa"/>
          </w:tcPr>
          <w:p w14:paraId="5A642D01">
            <w:pPr>
              <w:adjustRightInd w:val="0"/>
              <w:snapToGrid w:val="0"/>
              <w:jc w:val="left"/>
              <w:rPr>
                <w:rFonts w:hint="eastAsia" w:ascii="宋体" w:hAnsi="宋体" w:eastAsia="宋体" w:cs="宋体"/>
                <w:color w:val="auto"/>
                <w:szCs w:val="21"/>
                <w:highlight w:val="none"/>
              </w:rPr>
            </w:pPr>
          </w:p>
        </w:tc>
      </w:tr>
      <w:tr w14:paraId="6DB6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361" w:type="dxa"/>
            <w:vAlign w:val="center"/>
          </w:tcPr>
          <w:p w14:paraId="32603EBA">
            <w:pPr>
              <w:adjustRightInd w:val="0"/>
              <w:snapToGrid w:val="0"/>
              <w:jc w:val="center"/>
              <w:rPr>
                <w:rFonts w:ascii="宋体" w:hAnsi="宋体" w:eastAsia="宋体" w:cs="宋体"/>
                <w:szCs w:val="21"/>
              </w:rPr>
            </w:pPr>
            <w:r>
              <w:rPr>
                <w:rFonts w:hint="eastAsia" w:ascii="宋体" w:hAnsi="宋体" w:eastAsia="宋体" w:cs="宋体"/>
                <w:szCs w:val="21"/>
              </w:rPr>
              <w:t>6</w:t>
            </w:r>
          </w:p>
        </w:tc>
        <w:tc>
          <w:tcPr>
            <w:tcW w:w="933" w:type="dxa"/>
            <w:vAlign w:val="center"/>
          </w:tcPr>
          <w:p w14:paraId="3262B6A6">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关于验收</w:t>
            </w:r>
          </w:p>
        </w:tc>
        <w:tc>
          <w:tcPr>
            <w:tcW w:w="2278" w:type="dxa"/>
          </w:tcPr>
          <w:p w14:paraId="57F3CE6A">
            <w:pPr>
              <w:rPr>
                <w:rFonts w:ascii="宋体" w:hAnsi="宋体" w:eastAsia="宋体" w:cs="宋体"/>
                <w:color w:val="auto"/>
                <w:szCs w:val="21"/>
              </w:rPr>
            </w:pPr>
            <w:r>
              <w:rPr>
                <w:rFonts w:hint="eastAsia" w:ascii="宋体" w:hAnsi="宋体"/>
                <w:color w:val="auto"/>
                <w:kern w:val="21"/>
                <w:szCs w:val="24"/>
                <w:highlight w:val="none"/>
                <w:lang w:val="en-US" w:eastAsia="zh-CN"/>
              </w:rPr>
              <w:t>按照</w:t>
            </w:r>
            <w:r>
              <w:rPr>
                <w:rFonts w:hint="eastAsia" w:ascii="宋体" w:hAnsi="宋体"/>
                <w:color w:val="auto"/>
                <w:kern w:val="21"/>
                <w:szCs w:val="24"/>
                <w:highlight w:val="none"/>
              </w:rPr>
              <w:t>招标文件规定</w:t>
            </w:r>
            <w:r>
              <w:rPr>
                <w:rFonts w:hint="eastAsia" w:ascii="宋体" w:hAnsi="宋体"/>
                <w:color w:val="auto"/>
                <w:kern w:val="21"/>
                <w:szCs w:val="24"/>
                <w:highlight w:val="none"/>
                <w:lang w:val="en-US" w:eastAsia="zh-CN"/>
              </w:rPr>
              <w:t>的内容及</w:t>
            </w:r>
            <w:r>
              <w:rPr>
                <w:rFonts w:hint="eastAsia" w:ascii="宋体" w:hAnsi="宋体"/>
                <w:color w:val="auto"/>
                <w:kern w:val="21"/>
                <w:szCs w:val="24"/>
                <w:highlight w:val="none"/>
              </w:rPr>
              <w:t>标准进行验收</w:t>
            </w:r>
            <w:r>
              <w:rPr>
                <w:rFonts w:ascii="宋体" w:hAnsi="宋体"/>
                <w:color w:val="auto"/>
                <w:kern w:val="21"/>
                <w:szCs w:val="24"/>
                <w:highlight w:val="none"/>
              </w:rPr>
              <w:t>。</w:t>
            </w:r>
            <w:r>
              <w:rPr>
                <w:rFonts w:hint="eastAsia" w:ascii="宋体" w:hAnsi="宋体"/>
                <w:color w:val="auto"/>
                <w:kern w:val="21"/>
                <w:szCs w:val="24"/>
              </w:rPr>
              <w:t xml:space="preserve"> </w:t>
            </w:r>
          </w:p>
        </w:tc>
        <w:tc>
          <w:tcPr>
            <w:tcW w:w="2333" w:type="dxa"/>
          </w:tcPr>
          <w:p w14:paraId="145DBBEA">
            <w:pPr>
              <w:rPr>
                <w:rFonts w:hint="eastAsia" w:ascii="宋体" w:hAnsi="宋体"/>
                <w:color w:val="auto"/>
                <w:kern w:val="21"/>
                <w:szCs w:val="24"/>
                <w:highlight w:val="none"/>
                <w:lang w:val="en-US" w:eastAsia="zh-CN"/>
              </w:rPr>
            </w:pPr>
          </w:p>
        </w:tc>
        <w:tc>
          <w:tcPr>
            <w:tcW w:w="967" w:type="dxa"/>
          </w:tcPr>
          <w:p w14:paraId="6CEFD73C">
            <w:pPr>
              <w:rPr>
                <w:rFonts w:hint="eastAsia" w:ascii="宋体" w:hAnsi="宋体"/>
                <w:color w:val="auto"/>
                <w:kern w:val="21"/>
                <w:szCs w:val="24"/>
                <w:highlight w:val="none"/>
                <w:lang w:val="en-US" w:eastAsia="zh-CN"/>
              </w:rPr>
            </w:pPr>
          </w:p>
        </w:tc>
        <w:tc>
          <w:tcPr>
            <w:tcW w:w="967" w:type="dxa"/>
          </w:tcPr>
          <w:p w14:paraId="61A0BAD3">
            <w:pPr>
              <w:rPr>
                <w:rFonts w:hint="eastAsia" w:ascii="宋体" w:hAnsi="宋体"/>
                <w:color w:val="auto"/>
                <w:kern w:val="21"/>
                <w:szCs w:val="24"/>
                <w:highlight w:val="none"/>
                <w:lang w:val="en-US" w:eastAsia="zh-CN"/>
              </w:rPr>
            </w:pPr>
          </w:p>
        </w:tc>
      </w:tr>
      <w:tr w14:paraId="74F3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361" w:type="dxa"/>
            <w:vAlign w:val="center"/>
          </w:tcPr>
          <w:p w14:paraId="09542222">
            <w:pPr>
              <w:adjustRightInd w:val="0"/>
              <w:snapToGrid w:val="0"/>
              <w:jc w:val="center"/>
              <w:rPr>
                <w:rFonts w:ascii="宋体" w:hAnsi="宋体" w:eastAsia="宋体" w:cs="宋体"/>
                <w:szCs w:val="21"/>
              </w:rPr>
            </w:pPr>
            <w:r>
              <w:rPr>
                <w:rFonts w:hint="eastAsia" w:ascii="宋体" w:hAnsi="宋体" w:eastAsia="宋体" w:cs="宋体"/>
                <w:szCs w:val="21"/>
              </w:rPr>
              <w:t>7</w:t>
            </w:r>
          </w:p>
        </w:tc>
        <w:tc>
          <w:tcPr>
            <w:tcW w:w="933" w:type="dxa"/>
            <w:vAlign w:val="center"/>
          </w:tcPr>
          <w:p w14:paraId="437E3DE7">
            <w:pPr>
              <w:adjustRightInd w:val="0"/>
              <w:snapToGrid w:val="0"/>
              <w:jc w:val="center"/>
              <w:rPr>
                <w:rFonts w:ascii="宋体" w:hAnsi="宋体" w:eastAsia="宋体" w:cs="宋体"/>
                <w:color w:val="auto"/>
                <w:szCs w:val="21"/>
              </w:rPr>
            </w:pPr>
            <w:r>
              <w:rPr>
                <w:rFonts w:hint="eastAsia" w:ascii="宋体" w:hAnsi="宋体"/>
                <w:color w:val="auto"/>
                <w:kern w:val="0"/>
                <w:szCs w:val="21"/>
              </w:rPr>
              <w:t>★</w:t>
            </w:r>
            <w:r>
              <w:rPr>
                <w:rFonts w:hint="eastAsia" w:ascii="宋体" w:hAnsi="宋体" w:eastAsia="宋体" w:cs="宋体"/>
                <w:color w:val="auto"/>
                <w:szCs w:val="21"/>
              </w:rPr>
              <w:t>合同签订</w:t>
            </w:r>
          </w:p>
        </w:tc>
        <w:tc>
          <w:tcPr>
            <w:tcW w:w="2278" w:type="dxa"/>
          </w:tcPr>
          <w:p w14:paraId="000DB6F5">
            <w:pPr>
              <w:tabs>
                <w:tab w:val="left" w:pos="1334"/>
              </w:tabs>
              <w:rPr>
                <w:rFonts w:hint="eastAsia" w:ascii="宋体" w:hAnsi="宋体" w:eastAsiaTheme="minorEastAsia"/>
                <w:color w:val="auto"/>
                <w:kern w:val="21"/>
                <w:szCs w:val="24"/>
                <w:lang w:eastAsia="zh-CN"/>
              </w:rPr>
            </w:pPr>
            <w:r>
              <w:rPr>
                <w:rFonts w:hint="eastAsia" w:ascii="宋体" w:hAnsi="宋体"/>
                <w:color w:val="auto"/>
                <w:kern w:val="21"/>
                <w:szCs w:val="24"/>
                <w:highlight w:val="none"/>
              </w:rPr>
              <w:t>服务合同应当约定的内容，包括但不限于中标</w:t>
            </w:r>
            <w:r>
              <w:rPr>
                <w:rFonts w:hint="eastAsia" w:ascii="宋体" w:hAnsi="宋体" w:eastAsia="宋体" w:cs="宋体"/>
                <w:color w:val="auto"/>
                <w:szCs w:val="21"/>
                <w:highlight w:val="none"/>
              </w:rPr>
              <w:t>折扣率</w:t>
            </w:r>
            <w:r>
              <w:rPr>
                <w:rFonts w:hint="eastAsia" w:ascii="宋体" w:hAnsi="宋体"/>
                <w:color w:val="auto"/>
                <w:kern w:val="21"/>
                <w:szCs w:val="24"/>
                <w:highlight w:val="none"/>
              </w:rPr>
              <w:t>、服务期、年度支付金额上限、支付方式、履行期限、解决争议的方法。</w:t>
            </w:r>
          </w:p>
        </w:tc>
        <w:tc>
          <w:tcPr>
            <w:tcW w:w="2333" w:type="dxa"/>
          </w:tcPr>
          <w:p w14:paraId="40962C7D">
            <w:pPr>
              <w:tabs>
                <w:tab w:val="left" w:pos="1334"/>
              </w:tabs>
              <w:rPr>
                <w:rFonts w:hint="eastAsia" w:ascii="宋体" w:hAnsi="宋体"/>
                <w:color w:val="auto"/>
                <w:kern w:val="21"/>
                <w:szCs w:val="24"/>
                <w:highlight w:val="none"/>
              </w:rPr>
            </w:pPr>
          </w:p>
        </w:tc>
        <w:tc>
          <w:tcPr>
            <w:tcW w:w="967" w:type="dxa"/>
          </w:tcPr>
          <w:p w14:paraId="3290FBDA">
            <w:pPr>
              <w:tabs>
                <w:tab w:val="left" w:pos="1334"/>
              </w:tabs>
              <w:rPr>
                <w:rFonts w:hint="eastAsia" w:ascii="宋体" w:hAnsi="宋体"/>
                <w:color w:val="auto"/>
                <w:kern w:val="21"/>
                <w:szCs w:val="24"/>
                <w:highlight w:val="none"/>
              </w:rPr>
            </w:pPr>
          </w:p>
        </w:tc>
        <w:tc>
          <w:tcPr>
            <w:tcW w:w="967" w:type="dxa"/>
          </w:tcPr>
          <w:p w14:paraId="6766D07C">
            <w:pPr>
              <w:tabs>
                <w:tab w:val="left" w:pos="1334"/>
              </w:tabs>
              <w:rPr>
                <w:rFonts w:hint="eastAsia" w:ascii="宋体" w:hAnsi="宋体"/>
                <w:color w:val="auto"/>
                <w:kern w:val="21"/>
                <w:szCs w:val="24"/>
                <w:highlight w:val="none"/>
              </w:rPr>
            </w:pPr>
          </w:p>
        </w:tc>
      </w:tr>
    </w:tbl>
    <w:p w14:paraId="0C1FFDFD">
      <w:pPr>
        <w:ind w:firstLine="420" w:firstLineChars="200"/>
        <w:rPr>
          <w:bCs/>
          <w:szCs w:val="21"/>
        </w:rPr>
      </w:pPr>
      <w:r>
        <w:rPr>
          <w:rFonts w:hint="eastAsia"/>
          <w:bCs/>
          <w:szCs w:val="21"/>
        </w:rPr>
        <w:t>《商务要求偏离表》编制指引：</w:t>
      </w:r>
    </w:p>
    <w:p w14:paraId="7F3CE72C">
      <w:pPr>
        <w:ind w:firstLine="420" w:firstLineChars="200"/>
        <w:rPr>
          <w:bCs/>
          <w:szCs w:val="21"/>
        </w:rPr>
      </w:pPr>
      <w:r>
        <w:rPr>
          <w:rFonts w:hint="eastAsia"/>
          <w:bCs/>
          <w:szCs w:val="21"/>
        </w:rPr>
        <w:t>1、商务要求偏离表的序号、商务需求项、招标商务要求等栏目对应“用户需求书”中的“商务要求”章节相关内容。</w:t>
      </w:r>
    </w:p>
    <w:p w14:paraId="000C2019">
      <w:pPr>
        <w:ind w:firstLine="420" w:firstLineChars="200"/>
        <w:rPr>
          <w:bCs/>
          <w:szCs w:val="21"/>
        </w:rPr>
      </w:pPr>
      <w:r>
        <w:rPr>
          <w:bCs/>
          <w:szCs w:val="21"/>
        </w:rPr>
        <w:t>2</w:t>
      </w:r>
      <w:r>
        <w:rPr>
          <w:rFonts w:hint="eastAsia"/>
          <w:bCs/>
          <w:szCs w:val="21"/>
        </w:rPr>
        <w:t>、“投标商务响应”一栏</w:t>
      </w:r>
      <w:r>
        <w:rPr>
          <w:rFonts w:hint="eastAsia"/>
          <w:bCs/>
          <w:szCs w:val="21"/>
          <w:lang w:val="en-US" w:eastAsia="zh-CN"/>
        </w:rPr>
        <w:t>必须</w:t>
      </w:r>
      <w:r>
        <w:rPr>
          <w:rFonts w:hint="eastAsia"/>
          <w:bCs/>
          <w:szCs w:val="21"/>
        </w:rPr>
        <w:t>一一对照“招标商务要求”，详细填写自身响应情况，而不能不合理照搬照抄招标文件的商务要求，以体现具体响应情况。</w:t>
      </w:r>
    </w:p>
    <w:p w14:paraId="2DA5B4B0">
      <w:pPr>
        <w:ind w:firstLine="420" w:firstLineChars="200"/>
        <w:rPr>
          <w:bCs/>
          <w:color w:val="FF0000"/>
          <w:szCs w:val="21"/>
        </w:rPr>
      </w:pPr>
      <w:r>
        <w:rPr>
          <w:bCs/>
          <w:szCs w:val="21"/>
        </w:rPr>
        <w:t>3</w:t>
      </w:r>
      <w:r>
        <w:rPr>
          <w:rFonts w:hint="eastAsia"/>
          <w:bCs/>
          <w:szCs w:val="21"/>
        </w:rPr>
        <w:t>、“偏离情况”一栏填写如实填写“正偏离”、“负偏离”或“无偏离”，其中：“正偏离”表示“投标响应优于招标商务要求”，“负偏离”表示“投标响应不满足招标商务要求”，“无偏离”表示“投标响应与招标商务要求一致”。</w:t>
      </w:r>
    </w:p>
    <w:p w14:paraId="50E9E321">
      <w:pPr>
        <w:rPr>
          <w:bCs/>
          <w:szCs w:val="21"/>
        </w:rPr>
      </w:pPr>
      <w:r>
        <w:rPr>
          <w:rFonts w:hint="eastAsia"/>
          <w:bCs/>
          <w:szCs w:val="21"/>
        </w:rPr>
        <w:t>“投标商务响应”对比“招标商务要求”存在响应不全（包括未响应整项招标商务要求或者未响应一项招标商务要求的部分内容），均视为“负偏离”。</w:t>
      </w:r>
    </w:p>
    <w:p w14:paraId="654A8337">
      <w:pPr>
        <w:ind w:firstLine="420" w:firstLineChars="200"/>
        <w:rPr>
          <w:bCs/>
          <w:szCs w:val="21"/>
        </w:rPr>
      </w:pPr>
      <w:r>
        <w:rPr>
          <w:rFonts w:hint="eastAsia"/>
          <w:bCs/>
          <w:szCs w:val="21"/>
        </w:rPr>
        <w:t>4、带★号条款为不可偏离条款，如未响应或出现负偏离的，将作投标无效处理。</w:t>
      </w:r>
    </w:p>
    <w:p w14:paraId="2589C5B2">
      <w:pPr>
        <w:rPr>
          <w:rFonts w:ascii="黑体" w:hAnsi="宋体" w:eastAsia="黑体"/>
          <w:sz w:val="24"/>
          <w:szCs w:val="20"/>
        </w:rPr>
      </w:pPr>
    </w:p>
    <w:p w14:paraId="6AD8590C">
      <w:pPr>
        <w:rPr>
          <w:rFonts w:ascii="宋体" w:hAnsi="宋体" w:eastAsia="宋体" w:cs="宋体"/>
          <w:sz w:val="24"/>
        </w:rPr>
      </w:pPr>
      <w:r>
        <w:rPr>
          <w:rFonts w:ascii="宋体" w:hAnsi="宋体" w:eastAsia="宋体" w:cs="宋体"/>
          <w:sz w:val="24"/>
        </w:rPr>
        <w:br w:type="page"/>
      </w:r>
    </w:p>
    <w:p w14:paraId="737C9DEF">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八、</w:t>
      </w:r>
      <w:r>
        <w:rPr>
          <w:rFonts w:hint="eastAsia" w:ascii="黑体" w:eastAsia="黑体"/>
          <w:b w:val="0"/>
          <w:bCs w:val="0"/>
          <w:kern w:val="2"/>
        </w:rPr>
        <w:t>项目管理方案（格式自定）</w:t>
      </w:r>
    </w:p>
    <w:p w14:paraId="0836F257">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575F021C">
      <w:pPr>
        <w:pStyle w:val="3"/>
        <w:spacing w:before="60" w:beforeLines="25" w:after="60" w:afterLines="25" w:line="240" w:lineRule="auto"/>
        <w:jc w:val="left"/>
        <w:rPr>
          <w:rFonts w:hint="eastAsia" w:ascii="黑体" w:eastAsia="黑体"/>
          <w:b w:val="0"/>
          <w:bCs w:val="0"/>
          <w:kern w:val="2"/>
        </w:rPr>
      </w:pPr>
    </w:p>
    <w:p w14:paraId="68F54A4C">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九、</w:t>
      </w:r>
      <w:r>
        <w:rPr>
          <w:rFonts w:hint="eastAsia" w:ascii="黑体" w:eastAsia="黑体"/>
          <w:b w:val="0"/>
          <w:bCs w:val="0"/>
          <w:kern w:val="2"/>
        </w:rPr>
        <w:t>项目配送方案（格式自定）</w:t>
      </w:r>
    </w:p>
    <w:p w14:paraId="42391DA4">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19DB5AF1">
      <w:pPr>
        <w:pStyle w:val="3"/>
        <w:spacing w:before="60" w:beforeLines="25" w:after="60" w:afterLines="25" w:line="240" w:lineRule="auto"/>
        <w:jc w:val="left"/>
        <w:rPr>
          <w:rFonts w:hint="eastAsia" w:ascii="黑体" w:eastAsia="黑体"/>
          <w:b w:val="0"/>
          <w:bCs w:val="0"/>
          <w:kern w:val="2"/>
        </w:rPr>
      </w:pPr>
    </w:p>
    <w:p w14:paraId="3F1614D2">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w:t>
      </w:r>
      <w:r>
        <w:rPr>
          <w:rFonts w:hint="eastAsia" w:ascii="黑体" w:eastAsia="黑体"/>
          <w:b w:val="0"/>
          <w:bCs w:val="0"/>
          <w:kern w:val="2"/>
        </w:rPr>
        <w:t>规章管理制度（格式自定）</w:t>
      </w:r>
    </w:p>
    <w:p w14:paraId="4EF9A0F5">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09A0B409">
      <w:pPr>
        <w:pStyle w:val="3"/>
        <w:spacing w:before="60" w:beforeLines="25" w:after="60" w:afterLines="25" w:line="240" w:lineRule="auto"/>
        <w:jc w:val="left"/>
        <w:rPr>
          <w:rFonts w:hint="eastAsia" w:ascii="黑体" w:eastAsia="黑体"/>
          <w:b w:val="0"/>
          <w:bCs w:val="0"/>
          <w:kern w:val="2"/>
        </w:rPr>
      </w:pPr>
    </w:p>
    <w:p w14:paraId="79A356E5">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十一、</w:t>
      </w:r>
      <w:r>
        <w:rPr>
          <w:rFonts w:hint="eastAsia" w:ascii="黑体" w:eastAsia="黑体"/>
          <w:b w:val="0"/>
          <w:bCs w:val="0"/>
          <w:kern w:val="2"/>
        </w:rPr>
        <w:t>应急方案（格式自定）</w:t>
      </w:r>
    </w:p>
    <w:p w14:paraId="11CB37ED">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2603FE8D">
      <w:pPr>
        <w:pStyle w:val="3"/>
        <w:spacing w:before="60" w:beforeLines="25" w:after="60" w:afterLines="25" w:line="240" w:lineRule="auto"/>
        <w:jc w:val="left"/>
        <w:rPr>
          <w:rFonts w:hint="eastAsia" w:ascii="黑体" w:eastAsia="黑体"/>
          <w:b w:val="0"/>
          <w:bCs w:val="0"/>
          <w:kern w:val="2"/>
        </w:rPr>
      </w:pPr>
    </w:p>
    <w:p w14:paraId="6249762C">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十二、</w:t>
      </w:r>
      <w:r>
        <w:rPr>
          <w:rFonts w:hint="eastAsia" w:ascii="黑体" w:eastAsia="黑体"/>
          <w:b w:val="0"/>
          <w:bCs w:val="0"/>
          <w:kern w:val="2"/>
        </w:rPr>
        <w:t>应急及食品安全响应（格式自定）</w:t>
      </w:r>
    </w:p>
    <w:p w14:paraId="6F64D627">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28BE2C85">
      <w:pPr>
        <w:pStyle w:val="3"/>
        <w:spacing w:before="60" w:beforeLines="25" w:after="60" w:afterLines="25" w:line="240" w:lineRule="auto"/>
        <w:jc w:val="left"/>
        <w:rPr>
          <w:rFonts w:hint="eastAsia" w:ascii="黑体" w:eastAsia="黑体"/>
          <w:b w:val="0"/>
          <w:bCs w:val="0"/>
          <w:kern w:val="2"/>
        </w:rPr>
      </w:pPr>
    </w:p>
    <w:p w14:paraId="7441FEBD">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十三、</w:t>
      </w:r>
      <w:r>
        <w:rPr>
          <w:rFonts w:hint="eastAsia" w:ascii="黑体" w:eastAsia="黑体"/>
          <w:b w:val="0"/>
          <w:bCs w:val="0"/>
          <w:kern w:val="2"/>
        </w:rPr>
        <w:t>冷库容积（格式自定）</w:t>
      </w:r>
    </w:p>
    <w:p w14:paraId="560B27EE">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4DC52995">
      <w:pPr>
        <w:pStyle w:val="3"/>
        <w:spacing w:before="60" w:beforeLines="25" w:after="60" w:afterLines="25" w:line="240" w:lineRule="auto"/>
        <w:jc w:val="left"/>
        <w:rPr>
          <w:rFonts w:hint="eastAsia" w:ascii="黑体" w:eastAsia="黑体"/>
          <w:b w:val="0"/>
          <w:bCs w:val="0"/>
          <w:kern w:val="2"/>
        </w:rPr>
      </w:pPr>
    </w:p>
    <w:p w14:paraId="366B7A42">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十四、</w:t>
      </w:r>
      <w:r>
        <w:rPr>
          <w:rFonts w:hint="eastAsia" w:ascii="黑体" w:eastAsia="黑体"/>
          <w:b w:val="0"/>
          <w:bCs w:val="0"/>
          <w:kern w:val="2"/>
        </w:rPr>
        <w:t>配送场所面积（格式自定）</w:t>
      </w:r>
    </w:p>
    <w:p w14:paraId="7B2407BD">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345485D9">
      <w:pPr>
        <w:pStyle w:val="3"/>
        <w:spacing w:before="60" w:beforeLines="25" w:after="60" w:afterLines="25" w:line="240" w:lineRule="auto"/>
        <w:jc w:val="left"/>
        <w:rPr>
          <w:rFonts w:hint="eastAsia" w:ascii="黑体" w:eastAsia="黑体"/>
          <w:b w:val="0"/>
          <w:bCs w:val="0"/>
          <w:kern w:val="2"/>
        </w:rPr>
      </w:pPr>
    </w:p>
    <w:p w14:paraId="0236608B">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十五、</w:t>
      </w:r>
      <w:r>
        <w:rPr>
          <w:rFonts w:hint="eastAsia" w:ascii="黑体" w:eastAsia="黑体"/>
          <w:b w:val="0"/>
          <w:bCs w:val="0"/>
          <w:kern w:val="2"/>
        </w:rPr>
        <w:t>食品安全检测报告（格式自定）</w:t>
      </w:r>
    </w:p>
    <w:p w14:paraId="4CD448E7">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3408F5C8">
      <w:pPr>
        <w:pStyle w:val="3"/>
        <w:spacing w:before="60" w:beforeLines="25" w:after="60" w:afterLines="25" w:line="240" w:lineRule="auto"/>
        <w:jc w:val="left"/>
        <w:rPr>
          <w:rFonts w:hint="eastAsia" w:ascii="黑体" w:eastAsia="黑体"/>
          <w:b w:val="0"/>
          <w:bCs w:val="0"/>
          <w:kern w:val="2"/>
        </w:rPr>
      </w:pPr>
    </w:p>
    <w:p w14:paraId="42E8AC79">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十六、</w:t>
      </w:r>
      <w:r>
        <w:rPr>
          <w:rFonts w:hint="eastAsia" w:ascii="黑体" w:eastAsia="黑体"/>
          <w:b w:val="0"/>
          <w:bCs w:val="0"/>
          <w:kern w:val="2"/>
        </w:rPr>
        <w:t>拟投入本项目车辆情况（格式自定）</w:t>
      </w:r>
    </w:p>
    <w:p w14:paraId="0BC62438">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7F8A516E">
      <w:pPr>
        <w:pStyle w:val="3"/>
        <w:spacing w:before="60" w:beforeLines="25" w:after="60" w:afterLines="25" w:line="240" w:lineRule="auto"/>
        <w:jc w:val="left"/>
        <w:rPr>
          <w:rFonts w:hint="eastAsia" w:ascii="黑体" w:eastAsia="黑体"/>
          <w:b w:val="0"/>
          <w:bCs w:val="0"/>
          <w:kern w:val="2"/>
        </w:rPr>
      </w:pPr>
    </w:p>
    <w:p w14:paraId="581D3F25">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十七、</w:t>
      </w:r>
      <w:r>
        <w:rPr>
          <w:rFonts w:hint="eastAsia" w:ascii="黑体" w:eastAsia="黑体"/>
          <w:b w:val="0"/>
          <w:bCs w:val="0"/>
          <w:kern w:val="2"/>
        </w:rPr>
        <w:t>实验室建设与检测能力（格式自定）</w:t>
      </w:r>
    </w:p>
    <w:p w14:paraId="5BA11D9C">
      <w:pPr>
        <w:pStyle w:val="3"/>
        <w:spacing w:before="60" w:beforeLines="25" w:after="60" w:afterLines="25" w:line="240" w:lineRule="auto"/>
        <w:jc w:val="left"/>
        <w:rPr>
          <w:rFonts w:hint="eastAsia" w:ascii="黑体" w:eastAsia="黑体"/>
          <w:b w:val="0"/>
          <w:bCs w:val="0"/>
          <w:kern w:val="2"/>
        </w:rPr>
      </w:pPr>
      <w:r>
        <w:rPr>
          <w:rFonts w:hint="eastAsia"/>
          <w:b/>
          <w:bCs/>
          <w:color w:val="FF0000"/>
          <w:sz w:val="22"/>
          <w:szCs w:val="22"/>
        </w:rPr>
        <w:t>（特别提示：投标人须按本招标文件评标信息中这一评审因素要求，提供证明资料）</w:t>
      </w:r>
    </w:p>
    <w:p w14:paraId="3A947AC6">
      <w:pPr>
        <w:pStyle w:val="3"/>
        <w:spacing w:before="60" w:beforeLines="25" w:after="60" w:afterLines="25" w:line="240" w:lineRule="auto"/>
        <w:jc w:val="left"/>
        <w:rPr>
          <w:rFonts w:hint="eastAsia" w:ascii="黑体" w:eastAsia="黑体"/>
          <w:b w:val="0"/>
          <w:bCs w:val="0"/>
          <w:kern w:val="2"/>
        </w:rPr>
      </w:pPr>
    </w:p>
    <w:p w14:paraId="7C2C496A">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十八、</w:t>
      </w:r>
      <w:r>
        <w:rPr>
          <w:rFonts w:hint="eastAsia" w:ascii="黑体" w:eastAsia="黑体"/>
          <w:b w:val="0"/>
          <w:bCs w:val="0"/>
          <w:kern w:val="2"/>
        </w:rPr>
        <w:t>拟派本项目团队人员（含项目负责人）（格式自定）</w:t>
      </w:r>
    </w:p>
    <w:p w14:paraId="5AE2BCD7">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6A187E24">
      <w:pPr>
        <w:rPr>
          <w:rFonts w:hint="eastAsia"/>
          <w:b/>
          <w:bCs/>
          <w:color w:val="FF0000"/>
          <w:sz w:val="22"/>
          <w:szCs w:val="22"/>
        </w:rPr>
      </w:pPr>
    </w:p>
    <w:p w14:paraId="78F799E7">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十九、</w:t>
      </w:r>
      <w:r>
        <w:rPr>
          <w:rFonts w:hint="eastAsia" w:ascii="黑体" w:eastAsia="黑体"/>
          <w:b w:val="0"/>
          <w:bCs w:val="0"/>
          <w:kern w:val="2"/>
        </w:rPr>
        <w:t>投标人同类项目业绩情况（格式自定）</w:t>
      </w:r>
    </w:p>
    <w:p w14:paraId="2A4ED1D9">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7E78CC99">
      <w:pPr>
        <w:rPr>
          <w:rFonts w:hint="eastAsia"/>
          <w:b/>
          <w:bCs/>
          <w:color w:val="FF0000"/>
          <w:sz w:val="22"/>
          <w:szCs w:val="22"/>
        </w:rPr>
      </w:pPr>
    </w:p>
    <w:p w14:paraId="668BABE6">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二十、</w:t>
      </w:r>
      <w:r>
        <w:rPr>
          <w:rFonts w:hint="eastAsia" w:ascii="黑体" w:eastAsia="黑体"/>
          <w:b w:val="0"/>
          <w:bCs w:val="0"/>
          <w:kern w:val="2"/>
        </w:rPr>
        <w:t>履约评价情况（格式自定）</w:t>
      </w:r>
    </w:p>
    <w:p w14:paraId="7F0BFD8C">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4EB4D5DD">
      <w:pPr>
        <w:rPr>
          <w:rFonts w:hint="eastAsia"/>
          <w:b/>
          <w:bCs/>
          <w:color w:val="FF0000"/>
          <w:sz w:val="22"/>
          <w:szCs w:val="22"/>
        </w:rPr>
      </w:pPr>
    </w:p>
    <w:p w14:paraId="6693CD76">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二十一、</w:t>
      </w:r>
      <w:r>
        <w:rPr>
          <w:rFonts w:hint="eastAsia" w:ascii="黑体" w:eastAsia="黑体"/>
          <w:b w:val="0"/>
          <w:bCs w:val="0"/>
          <w:kern w:val="2"/>
        </w:rPr>
        <w:t>食品安全责任险（格式自定）</w:t>
      </w:r>
    </w:p>
    <w:p w14:paraId="621412FA">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3FE691C7">
      <w:pPr>
        <w:rPr>
          <w:rFonts w:hint="eastAsia"/>
          <w:b/>
          <w:bCs/>
          <w:color w:val="FF0000"/>
          <w:sz w:val="22"/>
          <w:szCs w:val="22"/>
        </w:rPr>
      </w:pPr>
    </w:p>
    <w:p w14:paraId="378EA154">
      <w:pPr>
        <w:pStyle w:val="3"/>
        <w:spacing w:before="60" w:beforeLines="25" w:after="60" w:afterLines="25" w:line="240" w:lineRule="auto"/>
        <w:jc w:val="left"/>
        <w:rPr>
          <w:rFonts w:ascii="黑体" w:eastAsia="黑体"/>
          <w:b w:val="0"/>
          <w:bCs w:val="0"/>
          <w:kern w:val="2"/>
        </w:rPr>
      </w:pPr>
      <w:r>
        <w:rPr>
          <w:rFonts w:hint="eastAsia" w:ascii="黑体" w:eastAsia="黑体"/>
          <w:b w:val="0"/>
          <w:bCs w:val="0"/>
          <w:kern w:val="2"/>
          <w:lang w:val="en-US" w:eastAsia="zh-CN"/>
        </w:rPr>
        <w:t>二十二、</w:t>
      </w:r>
      <w:r>
        <w:rPr>
          <w:rFonts w:hint="eastAsia" w:ascii="黑体" w:eastAsia="黑体"/>
          <w:b w:val="0"/>
          <w:bCs w:val="0"/>
          <w:kern w:val="2"/>
        </w:rPr>
        <w:t>公共（公众）责任险（格式自定）</w:t>
      </w:r>
    </w:p>
    <w:p w14:paraId="65ACFA84">
      <w:pPr>
        <w:rPr>
          <w:rFonts w:hint="eastAsia"/>
          <w:b/>
          <w:bCs/>
          <w:color w:val="FF0000"/>
          <w:sz w:val="22"/>
          <w:szCs w:val="22"/>
        </w:rPr>
      </w:pPr>
      <w:r>
        <w:rPr>
          <w:rFonts w:hint="eastAsia"/>
          <w:b/>
          <w:bCs/>
          <w:color w:val="FF0000"/>
          <w:sz w:val="22"/>
          <w:szCs w:val="22"/>
        </w:rPr>
        <w:t>（特别提示：投标人须按本招标文件评标信息中这一评审因素要求，提供证明资料）</w:t>
      </w:r>
    </w:p>
    <w:p w14:paraId="70AE848B">
      <w:pPr>
        <w:rPr>
          <w:rFonts w:hint="eastAsia"/>
          <w:b/>
          <w:bCs/>
          <w:color w:val="FF0000"/>
          <w:sz w:val="22"/>
          <w:szCs w:val="22"/>
        </w:rPr>
      </w:pPr>
    </w:p>
    <w:p w14:paraId="63E03FF6">
      <w:pPr>
        <w:rPr>
          <w:rFonts w:ascii="黑体" w:hAnsi="宋体" w:eastAsia="黑体"/>
          <w:sz w:val="24"/>
          <w:szCs w:val="20"/>
        </w:rPr>
      </w:pPr>
      <w:r>
        <w:rPr>
          <w:rFonts w:hint="eastAsia" w:ascii="黑体" w:hAnsi="宋体" w:eastAsia="黑体"/>
          <w:sz w:val="24"/>
          <w:szCs w:val="20"/>
        </w:rPr>
        <w:br w:type="page"/>
      </w:r>
    </w:p>
    <w:p w14:paraId="05CA4518">
      <w:pPr>
        <w:pStyle w:val="3"/>
        <w:jc w:val="left"/>
        <w:rPr>
          <w:rFonts w:ascii="黑体" w:eastAsia="黑体"/>
          <w:b w:val="0"/>
          <w:bCs w:val="0"/>
        </w:rPr>
      </w:pPr>
      <w:bookmarkStart w:id="55" w:name="_Hlk72062872"/>
      <w:r>
        <w:rPr>
          <w:rFonts w:hint="eastAsia" w:ascii="黑体" w:eastAsia="黑体"/>
          <w:b w:val="0"/>
          <w:bCs w:val="0"/>
          <w:lang w:val="en-US" w:eastAsia="zh-CN"/>
        </w:rPr>
        <w:t>二十三</w:t>
      </w:r>
      <w:r>
        <w:rPr>
          <w:rFonts w:hint="eastAsia" w:ascii="黑体" w:eastAsia="黑体"/>
          <w:b w:val="0"/>
          <w:bCs w:val="0"/>
        </w:rPr>
        <w:t>、投标人认为需要加以说明的其他内容</w:t>
      </w:r>
      <w:bookmarkEnd w:id="55"/>
    </w:p>
    <w:p w14:paraId="5EC613F1">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5B28DF45">
      <w:pPr>
        <w:widowControl/>
        <w:jc w:val="center"/>
        <w:rPr>
          <w:rFonts w:ascii="黑体" w:hAnsi="宋体" w:eastAsia="黑体"/>
          <w:kern w:val="0"/>
          <w:sz w:val="24"/>
          <w:szCs w:val="20"/>
        </w:rPr>
      </w:pPr>
    </w:p>
    <w:p w14:paraId="304A9C25">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766B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48606504">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1EC0D776">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1421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AEF3A3E">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0F080851">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20B6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B89BC8A">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08A41EA3">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0D77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6C56C6B">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663FBD8E">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398A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5AC0079">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5B65C1AB">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1848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064B268">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00FA1544">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3927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1D1C6849">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428F1E0C">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6A308BF6">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59A30A13">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6C232681">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0ABDB2E1">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60446024">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0D0B166A">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5C66A82E">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68B1167C">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0D13510E">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159DE09F">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777C1114">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04F05C1D">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38ECC59B">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2243C71D">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1BE84298">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5D059EC1">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4CEE2002">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039626DD">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70CD1734">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747F08E3">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372CB0AA">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67B11310">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0DE21955">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20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656CFB3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50F41DDF">
            <w:pPr>
              <w:autoSpaceDE w:val="0"/>
              <w:autoSpaceDN w:val="0"/>
              <w:spacing w:line="340" w:lineRule="exact"/>
              <w:ind w:firstLine="1866"/>
              <w:rPr>
                <w:rFonts w:ascii="宋体" w:hAnsi="宋体" w:cs="宋体" w:eastAsiaTheme="minorEastAsia"/>
                <w:spacing w:val="-4"/>
                <w:kern w:val="0"/>
                <w:szCs w:val="21"/>
              </w:rPr>
            </w:pPr>
          </w:p>
        </w:tc>
      </w:tr>
      <w:tr w14:paraId="38A83940">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3AECFAAF">
            <w:pPr>
              <w:autoSpaceDE w:val="0"/>
              <w:autoSpaceDN w:val="0"/>
              <w:spacing w:line="340" w:lineRule="exact"/>
              <w:ind w:firstLine="1866"/>
              <w:rPr>
                <w:rFonts w:ascii="宋体" w:hAnsi="宋体" w:cs="宋体" w:eastAsiaTheme="minorEastAsia"/>
                <w:spacing w:val="-4"/>
                <w:kern w:val="0"/>
                <w:szCs w:val="21"/>
              </w:rPr>
            </w:pPr>
          </w:p>
        </w:tc>
      </w:tr>
      <w:tr w14:paraId="16DE117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102C462">
            <w:pPr>
              <w:autoSpaceDE w:val="0"/>
              <w:autoSpaceDN w:val="0"/>
              <w:spacing w:line="340" w:lineRule="exact"/>
              <w:ind w:firstLine="1866"/>
              <w:rPr>
                <w:rFonts w:ascii="宋体" w:hAnsi="宋体" w:cs="宋体" w:eastAsiaTheme="minorEastAsia"/>
                <w:spacing w:val="-4"/>
                <w:kern w:val="0"/>
                <w:szCs w:val="21"/>
              </w:rPr>
            </w:pPr>
          </w:p>
        </w:tc>
      </w:tr>
      <w:tr w14:paraId="661BBB9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4A8F3395">
            <w:pPr>
              <w:autoSpaceDE w:val="0"/>
              <w:autoSpaceDN w:val="0"/>
              <w:spacing w:line="340" w:lineRule="exact"/>
              <w:ind w:firstLine="1866"/>
              <w:rPr>
                <w:rFonts w:ascii="宋体" w:hAnsi="宋体" w:cs="宋体" w:eastAsiaTheme="minorEastAsia"/>
                <w:spacing w:val="-4"/>
                <w:kern w:val="0"/>
                <w:szCs w:val="21"/>
              </w:rPr>
            </w:pPr>
          </w:p>
        </w:tc>
      </w:tr>
    </w:tbl>
    <w:p w14:paraId="39B1F817">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2079EF34">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034F3876">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5FE07473">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652739EF">
      <w:pPr>
        <w:widowControl/>
        <w:autoSpaceDE w:val="0"/>
        <w:autoSpaceDN w:val="0"/>
        <w:spacing w:line="340" w:lineRule="exact"/>
        <w:ind w:firstLine="406" w:firstLineChars="200"/>
        <w:jc w:val="left"/>
        <w:rPr>
          <w:rFonts w:ascii="宋体" w:hAnsi="宋体" w:cs="宋体"/>
          <w:b/>
          <w:bCs/>
          <w:spacing w:val="-4"/>
          <w:kern w:val="0"/>
          <w:szCs w:val="21"/>
        </w:rPr>
      </w:pPr>
    </w:p>
    <w:p w14:paraId="762E4D84">
      <w:pPr>
        <w:widowControl/>
        <w:autoSpaceDE w:val="0"/>
        <w:autoSpaceDN w:val="0"/>
        <w:spacing w:line="340" w:lineRule="exact"/>
        <w:jc w:val="left"/>
        <w:rPr>
          <w:rFonts w:ascii="宋体" w:hAnsi="宋体" w:cs="宋体"/>
          <w:b/>
          <w:bCs/>
          <w:color w:val="FF0000"/>
          <w:spacing w:val="-4"/>
          <w:kern w:val="0"/>
          <w:szCs w:val="21"/>
        </w:rPr>
      </w:pPr>
      <w:r>
        <w:rPr>
          <w:rFonts w:hint="eastAsia" w:ascii="宋体" w:hAnsi="宋体" w:cs="宋体"/>
          <w:b/>
          <w:bCs/>
          <w:color w:val="FF0000"/>
          <w:spacing w:val="-4"/>
          <w:kern w:val="0"/>
          <w:szCs w:val="21"/>
        </w:rPr>
        <w:t>注：1.《政府采购违法行为风险知悉确认书》需由投标供应商负责人签字并加盖单位公章后，扫描上传至投标文件一并提交。</w:t>
      </w:r>
    </w:p>
    <w:p w14:paraId="35E10DE9">
      <w:pPr>
        <w:pStyle w:val="59"/>
        <w:rPr>
          <w:color w:val="FF0000"/>
        </w:rPr>
      </w:pPr>
      <w:r>
        <w:rPr>
          <w:rFonts w:hint="eastAsia" w:ascii="宋体" w:hAnsi="宋体" w:cs="宋体"/>
          <w:b/>
          <w:bCs/>
          <w:color w:val="FF0000"/>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06F44D9">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29AFA8A7">
      <w:pPr>
        <w:widowControl/>
        <w:autoSpaceDE w:val="0"/>
        <w:autoSpaceDN w:val="0"/>
        <w:spacing w:line="400" w:lineRule="exact"/>
        <w:ind w:right="1414" w:firstLine="480" w:firstLineChars="200"/>
        <w:jc w:val="right"/>
        <w:rPr>
          <w:rFonts w:eastAsiaTheme="minorEastAsia"/>
          <w:kern w:val="0"/>
          <w:sz w:val="24"/>
        </w:rPr>
      </w:pPr>
    </w:p>
    <w:p w14:paraId="74509DF9">
      <w:pPr>
        <w:rPr>
          <w:rFonts w:ascii="黑体" w:eastAsia="黑体"/>
          <w:sz w:val="24"/>
          <w:szCs w:val="20"/>
        </w:rPr>
      </w:pPr>
      <w:r>
        <w:rPr>
          <w:rFonts w:hint="eastAsia" w:ascii="黑体" w:eastAsia="黑体"/>
          <w:sz w:val="24"/>
          <w:szCs w:val="20"/>
        </w:rPr>
        <w:br w:type="page"/>
      </w:r>
    </w:p>
    <w:p w14:paraId="57E90B37">
      <w:pPr>
        <w:jc w:val="center"/>
        <w:rPr>
          <w:rFonts w:ascii="黑体" w:eastAsia="黑体"/>
          <w:sz w:val="24"/>
          <w:szCs w:val="20"/>
        </w:rPr>
      </w:pPr>
      <w:r>
        <w:rPr>
          <w:rFonts w:hint="eastAsia" w:ascii="黑体" w:eastAsia="黑体"/>
          <w:sz w:val="24"/>
          <w:szCs w:val="20"/>
        </w:rPr>
        <w:t>（二）订单融资情况</w:t>
      </w:r>
    </w:p>
    <w:p w14:paraId="20D3B02E">
      <w:pPr>
        <w:ind w:firstLine="422" w:firstLineChars="200"/>
        <w:rPr>
          <w:rFonts w:ascii="宋体" w:hAnsi="宋体" w:cs="宋体"/>
          <w:b/>
          <w:bCs/>
        </w:rPr>
      </w:pPr>
      <w:r>
        <w:rPr>
          <w:rFonts w:hint="eastAsia" w:ascii="宋体" w:hAnsi="宋体" w:cs="宋体"/>
          <w:b/>
          <w:bCs/>
        </w:rPr>
        <w:t>1</w:t>
      </w:r>
      <w:r>
        <w:rPr>
          <w:rFonts w:hint="eastAsia" w:ascii="宋体" w:hAnsi="宋体" w:cs="宋体"/>
          <w:b/>
          <w:bCs/>
          <w:lang w:val="en-US" w:eastAsia="zh-CN"/>
        </w:rPr>
        <w:t>.</w:t>
      </w:r>
      <w:r>
        <w:rPr>
          <w:rFonts w:hint="eastAsia" w:ascii="宋体" w:hAnsi="宋体" w:cs="宋体"/>
          <w:b/>
          <w:bCs/>
        </w:rPr>
        <w:t>关于政府采购订单融资政策</w:t>
      </w:r>
    </w:p>
    <w:p w14:paraId="3805227B">
      <w:pPr>
        <w:pStyle w:val="18"/>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694140BD">
      <w:pPr>
        <w:ind w:firstLine="422" w:firstLineChars="200"/>
        <w:rPr>
          <w:rFonts w:ascii="宋体" w:hAnsi="宋体" w:cs="宋体"/>
          <w:b/>
          <w:bCs/>
        </w:rPr>
      </w:pPr>
      <w:r>
        <w:rPr>
          <w:rFonts w:hint="eastAsia" w:ascii="宋体" w:hAnsi="宋体" w:cs="宋体"/>
          <w:b/>
          <w:bCs/>
        </w:rPr>
        <w:t>2</w:t>
      </w:r>
      <w:r>
        <w:rPr>
          <w:rFonts w:hint="eastAsia" w:ascii="宋体" w:hAnsi="宋体" w:cs="宋体"/>
          <w:b/>
          <w:bCs/>
          <w:lang w:val="en-US" w:eastAsia="zh-CN"/>
        </w:rPr>
        <w:t>.</w:t>
      </w:r>
      <w:r>
        <w:rPr>
          <w:rFonts w:hint="eastAsia" w:ascii="宋体" w:hAnsi="宋体" w:cs="宋体"/>
          <w:b/>
          <w:bCs/>
        </w:rPr>
        <w:t>供应商账户信息</w:t>
      </w:r>
    </w:p>
    <w:p w14:paraId="75AF9805">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2B39B196">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2C5E9825">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14504E02">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0212D229">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32ECCB97">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7283FB7A">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48C5AB20">
      <w:pPr>
        <w:rPr>
          <w:szCs w:val="21"/>
        </w:rPr>
      </w:pPr>
      <w:r>
        <w:rPr>
          <w:rFonts w:hint="eastAsia" w:ascii="宋体" w:hAnsi="宋体" w:eastAsiaTheme="minorEastAsia"/>
          <w:b/>
          <w:bCs/>
          <w:color w:val="FF0000"/>
          <w:spacing w:val="-4"/>
          <w:kern w:val="0"/>
          <w:szCs w:val="21"/>
        </w:rPr>
        <w:t>注：本项填写内容作为订单融资开展的参考信息，不作为供应商资格性审查及符合性审查条件。</w:t>
      </w:r>
    </w:p>
    <w:p w14:paraId="70938058">
      <w:pPr>
        <w:widowControl/>
        <w:autoSpaceDE w:val="0"/>
        <w:autoSpaceDN w:val="0"/>
        <w:spacing w:line="400" w:lineRule="exact"/>
        <w:ind w:right="1414" w:firstLine="480" w:firstLineChars="200"/>
        <w:jc w:val="right"/>
        <w:rPr>
          <w:rFonts w:eastAsiaTheme="minorEastAsia"/>
          <w:kern w:val="0"/>
          <w:sz w:val="24"/>
        </w:rPr>
      </w:pPr>
    </w:p>
    <w:p w14:paraId="0ED59D50">
      <w:pPr>
        <w:rPr>
          <w:rFonts w:ascii="黑体" w:hAnsi="宋体" w:eastAsia="黑体"/>
          <w:kern w:val="0"/>
          <w:sz w:val="24"/>
          <w:szCs w:val="20"/>
        </w:rPr>
      </w:pPr>
      <w:r>
        <w:rPr>
          <w:rFonts w:hint="eastAsia" w:ascii="黑体" w:hAnsi="宋体" w:eastAsia="黑体"/>
          <w:kern w:val="0"/>
          <w:sz w:val="24"/>
          <w:szCs w:val="20"/>
        </w:rPr>
        <w:br w:type="page"/>
      </w:r>
    </w:p>
    <w:p w14:paraId="62848B8E">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0435630"/>
    <w:p w14:paraId="755EE5C2">
      <w:pPr>
        <w:pStyle w:val="18"/>
        <w:sectPr>
          <w:pgSz w:w="11907" w:h="16840"/>
          <w:pgMar w:top="1440" w:right="1797" w:bottom="1440" w:left="1797" w:header="851" w:footer="992" w:gutter="0"/>
          <w:cols w:space="425" w:num="1"/>
          <w:titlePg/>
          <w:docGrid w:linePitch="462" w:charSpace="0"/>
        </w:sectPr>
      </w:pPr>
    </w:p>
    <w:p w14:paraId="7354E221">
      <w:pPr>
        <w:pStyle w:val="4"/>
        <w:jc w:val="center"/>
      </w:pPr>
      <w:r>
        <w:rPr>
          <w:rFonts w:hint="eastAsia"/>
        </w:rPr>
        <w:t>第五章  合同条款及格式</w:t>
      </w:r>
    </w:p>
    <w:p w14:paraId="4FE36A6A">
      <w:pPr>
        <w:ind w:firstLine="411" w:firstLineChars="196"/>
      </w:pPr>
    </w:p>
    <w:p w14:paraId="63EB5BBA">
      <w:pPr>
        <w:jc w:val="center"/>
        <w:outlineLvl w:val="0"/>
      </w:pPr>
      <w:r>
        <w:rPr>
          <w:rFonts w:hint="eastAsia"/>
          <w:b/>
          <w:sz w:val="24"/>
        </w:rPr>
        <w:t>（仅供参考，具体以项目需求及采购结果为准）</w:t>
      </w:r>
    </w:p>
    <w:p w14:paraId="43CE0A1D">
      <w:pPr>
        <w:rPr>
          <w:rFonts w:ascii="宋体" w:hAnsi="宋体"/>
          <w:b/>
          <w:bCs/>
          <w:szCs w:val="21"/>
        </w:rPr>
      </w:pPr>
      <w:r>
        <w:rPr>
          <w:rFonts w:hint="eastAsia" w:ascii="宋体" w:hAnsi="宋体"/>
          <w:b/>
          <w:bCs/>
          <w:szCs w:val="21"/>
        </w:rPr>
        <w:t>甲方：</w:t>
      </w:r>
    </w:p>
    <w:p w14:paraId="6CED611D">
      <w:pPr>
        <w:rPr>
          <w:rFonts w:ascii="宋体" w:hAnsi="宋体"/>
          <w:szCs w:val="21"/>
        </w:rPr>
      </w:pPr>
      <w:r>
        <w:rPr>
          <w:rFonts w:hint="eastAsia" w:ascii="宋体" w:hAnsi="宋体"/>
          <w:szCs w:val="21"/>
        </w:rPr>
        <w:t>地址：</w:t>
      </w:r>
    </w:p>
    <w:p w14:paraId="26650088">
      <w:pPr>
        <w:rPr>
          <w:rFonts w:ascii="宋体" w:hAnsi="宋体"/>
          <w:szCs w:val="21"/>
        </w:rPr>
      </w:pPr>
      <w:r>
        <w:rPr>
          <w:rFonts w:hint="eastAsia" w:ascii="宋体" w:hAnsi="宋体"/>
          <w:szCs w:val="21"/>
        </w:rPr>
        <w:t>联系人：</w:t>
      </w:r>
      <w:r>
        <w:rPr>
          <w:rFonts w:ascii="宋体" w:hAnsi="宋体"/>
          <w:szCs w:val="21"/>
        </w:rPr>
        <w:t xml:space="preserve">                          </w:t>
      </w:r>
    </w:p>
    <w:p w14:paraId="100BD9C7">
      <w:pPr>
        <w:rPr>
          <w:rFonts w:ascii="宋体" w:hAnsi="宋体"/>
          <w:b/>
          <w:bCs/>
          <w:szCs w:val="21"/>
        </w:rPr>
      </w:pPr>
      <w:r>
        <w:rPr>
          <w:rFonts w:hint="eastAsia" w:ascii="宋体" w:hAnsi="宋体"/>
          <w:szCs w:val="21"/>
        </w:rPr>
        <w:t>联系电话：</w:t>
      </w:r>
    </w:p>
    <w:p w14:paraId="55C60B14">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6D32D62">
      <w:pPr>
        <w:rPr>
          <w:rFonts w:ascii="宋体" w:hAnsi="宋体"/>
          <w:b/>
          <w:bCs/>
          <w:szCs w:val="21"/>
        </w:rPr>
      </w:pPr>
      <w:r>
        <w:rPr>
          <w:rFonts w:hint="eastAsia" w:ascii="宋体" w:hAnsi="宋体"/>
          <w:b/>
          <w:bCs/>
          <w:szCs w:val="21"/>
        </w:rPr>
        <w:t>乙方：</w:t>
      </w:r>
    </w:p>
    <w:p w14:paraId="1E14545A">
      <w:pPr>
        <w:rPr>
          <w:rFonts w:ascii="宋体" w:hAnsi="宋体"/>
          <w:szCs w:val="21"/>
        </w:rPr>
      </w:pPr>
      <w:r>
        <w:rPr>
          <w:rFonts w:hint="eastAsia" w:ascii="宋体" w:hAnsi="宋体"/>
          <w:szCs w:val="21"/>
        </w:rPr>
        <w:t>地址：</w:t>
      </w:r>
    </w:p>
    <w:p w14:paraId="2A32475E">
      <w:pPr>
        <w:rPr>
          <w:rFonts w:ascii="宋体" w:hAnsi="宋体"/>
          <w:szCs w:val="21"/>
        </w:rPr>
      </w:pPr>
      <w:r>
        <w:rPr>
          <w:rFonts w:hint="eastAsia" w:ascii="宋体" w:hAnsi="宋体"/>
          <w:szCs w:val="21"/>
        </w:rPr>
        <w:t>联系人：</w:t>
      </w:r>
      <w:r>
        <w:rPr>
          <w:rFonts w:ascii="宋体" w:hAnsi="宋体"/>
          <w:szCs w:val="21"/>
        </w:rPr>
        <w:t xml:space="preserve">                          </w:t>
      </w:r>
    </w:p>
    <w:p w14:paraId="37BA651C">
      <w:pPr>
        <w:rPr>
          <w:rFonts w:ascii="宋体" w:hAnsi="宋体"/>
          <w:b/>
          <w:bCs/>
          <w:szCs w:val="21"/>
        </w:rPr>
      </w:pPr>
      <w:r>
        <w:rPr>
          <w:rFonts w:hint="eastAsia" w:ascii="宋体" w:hAnsi="宋体"/>
          <w:szCs w:val="21"/>
        </w:rPr>
        <w:t>联系电话：</w:t>
      </w:r>
    </w:p>
    <w:p w14:paraId="692F9B78">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590DBE3D">
      <w:pPr>
        <w:rPr>
          <w:rFonts w:ascii="宋体" w:hAnsi="宋体"/>
          <w:szCs w:val="21"/>
        </w:rPr>
      </w:pPr>
    </w:p>
    <w:p w14:paraId="70B0DD4D">
      <w:pPr>
        <w:ind w:firstLine="420" w:firstLineChars="200"/>
        <w:rPr>
          <w:rFonts w:ascii="宋体" w:hAnsi="宋体"/>
          <w:szCs w:val="21"/>
        </w:rPr>
      </w:pPr>
      <w:r>
        <w:rPr>
          <w:rFonts w:hint="eastAsia" w:ascii="宋体" w:hAnsi="宋体"/>
          <w:szCs w:val="21"/>
        </w:rPr>
        <w:t>根据深圳公共资源交易中心（深圳交易集团有限公司政府采购业务分公司）*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154A57A1">
      <w:pPr>
        <w:ind w:firstLine="422" w:firstLineChars="200"/>
        <w:rPr>
          <w:rFonts w:ascii="宋体" w:hAnsi="宋体"/>
          <w:b/>
          <w:bCs/>
          <w:szCs w:val="21"/>
        </w:rPr>
      </w:pPr>
      <w:r>
        <w:rPr>
          <w:rFonts w:hint="eastAsia" w:ascii="宋体" w:hAnsi="宋体"/>
          <w:b/>
          <w:bCs/>
          <w:szCs w:val="21"/>
        </w:rPr>
        <w:t>第一条　项目概况</w:t>
      </w:r>
    </w:p>
    <w:p w14:paraId="3009955C">
      <w:pPr>
        <w:ind w:firstLine="420" w:firstLineChars="200"/>
        <w:rPr>
          <w:rFonts w:ascii="宋体" w:hAnsi="宋体"/>
          <w:szCs w:val="21"/>
        </w:rPr>
      </w:pPr>
      <w:r>
        <w:rPr>
          <w:rFonts w:hint="eastAsia" w:ascii="宋体" w:hAnsi="宋体"/>
          <w:szCs w:val="21"/>
        </w:rPr>
        <w:t xml:space="preserve">项目名称： </w:t>
      </w:r>
    </w:p>
    <w:p w14:paraId="2323C73A">
      <w:pPr>
        <w:ind w:firstLine="420" w:firstLineChars="200"/>
        <w:rPr>
          <w:rFonts w:ascii="宋体" w:hAnsi="宋体"/>
          <w:szCs w:val="21"/>
        </w:rPr>
      </w:pPr>
      <w:r>
        <w:rPr>
          <w:rFonts w:hint="eastAsia" w:ascii="宋体" w:hAnsi="宋体"/>
          <w:szCs w:val="21"/>
        </w:rPr>
        <w:t xml:space="preserve">项目内容： </w:t>
      </w:r>
    </w:p>
    <w:p w14:paraId="37BAA332">
      <w:pPr>
        <w:ind w:firstLine="420" w:firstLineChars="200"/>
        <w:rPr>
          <w:rFonts w:ascii="宋体" w:hAnsi="宋体"/>
          <w:szCs w:val="21"/>
        </w:rPr>
      </w:pPr>
      <w:r>
        <w:rPr>
          <w:rFonts w:hint="eastAsia" w:ascii="宋体" w:hAnsi="宋体"/>
          <w:szCs w:val="21"/>
        </w:rPr>
        <w:t xml:space="preserve">服务时间： </w:t>
      </w:r>
    </w:p>
    <w:p w14:paraId="6D947B68">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6ED3AB7F">
      <w:pPr>
        <w:pStyle w:val="7"/>
        <w:rPr>
          <w:rFonts w:ascii="宋体" w:hAnsi="宋体"/>
          <w:szCs w:val="21"/>
        </w:rPr>
      </w:pPr>
      <w:r>
        <w:rPr>
          <w:rFonts w:hint="eastAsia" w:ascii="宋体" w:hAnsi="宋体"/>
          <w:szCs w:val="21"/>
        </w:rPr>
        <w:t>支付方式：分期支付。</w:t>
      </w:r>
    </w:p>
    <w:p w14:paraId="12FF3ADB">
      <w:pPr>
        <w:ind w:firstLine="422" w:firstLineChars="200"/>
        <w:rPr>
          <w:rFonts w:ascii="宋体" w:hAnsi="宋体"/>
          <w:b/>
          <w:bCs/>
          <w:szCs w:val="21"/>
        </w:rPr>
      </w:pPr>
      <w:r>
        <w:rPr>
          <w:rFonts w:hint="eastAsia" w:ascii="宋体" w:hAnsi="宋体"/>
          <w:b/>
          <w:bCs/>
          <w:szCs w:val="21"/>
        </w:rPr>
        <w:t>第二条  服务范围</w:t>
      </w:r>
    </w:p>
    <w:p w14:paraId="17A3615A">
      <w:pPr>
        <w:ind w:firstLine="420" w:firstLineChars="200"/>
        <w:rPr>
          <w:rFonts w:ascii="宋体" w:hAnsi="宋体"/>
          <w:szCs w:val="21"/>
        </w:rPr>
      </w:pPr>
      <w:r>
        <w:rPr>
          <w:rFonts w:hint="eastAsia" w:ascii="宋体" w:hAnsi="宋体"/>
          <w:szCs w:val="21"/>
        </w:rPr>
        <w:t xml:space="preserve">1、  </w:t>
      </w:r>
    </w:p>
    <w:p w14:paraId="53C1F765">
      <w:pPr>
        <w:ind w:firstLine="420" w:firstLineChars="200"/>
        <w:rPr>
          <w:rFonts w:ascii="宋体" w:hAnsi="宋体"/>
          <w:szCs w:val="21"/>
        </w:rPr>
      </w:pPr>
      <w:r>
        <w:rPr>
          <w:rFonts w:hint="eastAsia" w:ascii="宋体" w:hAnsi="宋体"/>
          <w:szCs w:val="21"/>
        </w:rPr>
        <w:t xml:space="preserve">2、  </w:t>
      </w:r>
    </w:p>
    <w:p w14:paraId="35513651">
      <w:pPr>
        <w:ind w:firstLine="420" w:firstLineChars="200"/>
        <w:rPr>
          <w:rFonts w:ascii="宋体" w:hAnsi="宋体"/>
          <w:szCs w:val="21"/>
        </w:rPr>
      </w:pPr>
      <w:r>
        <w:rPr>
          <w:rFonts w:hint="eastAsia" w:ascii="宋体" w:hAnsi="宋体"/>
          <w:szCs w:val="21"/>
        </w:rPr>
        <w:t xml:space="preserve">3、  </w:t>
      </w:r>
    </w:p>
    <w:p w14:paraId="35A15266">
      <w:pPr>
        <w:ind w:firstLine="420" w:firstLineChars="200"/>
        <w:rPr>
          <w:rFonts w:ascii="宋体" w:hAnsi="宋体"/>
          <w:szCs w:val="21"/>
        </w:rPr>
      </w:pPr>
      <w:r>
        <w:rPr>
          <w:rFonts w:hint="eastAsia" w:ascii="宋体" w:hAnsi="宋体"/>
          <w:szCs w:val="21"/>
        </w:rPr>
        <w:t>4、 其他合同未明示的相关工作。</w:t>
      </w:r>
    </w:p>
    <w:p w14:paraId="2ECBB9AD">
      <w:pPr>
        <w:ind w:firstLine="422" w:firstLineChars="200"/>
        <w:rPr>
          <w:rFonts w:ascii="宋体" w:hAnsi="宋体"/>
          <w:b/>
          <w:bCs/>
          <w:szCs w:val="21"/>
        </w:rPr>
      </w:pPr>
      <w:r>
        <w:rPr>
          <w:rFonts w:hint="eastAsia" w:ascii="宋体" w:hAnsi="宋体"/>
          <w:b/>
          <w:bCs/>
          <w:szCs w:val="21"/>
        </w:rPr>
        <w:t>第三条  时间要求及阶段成果</w:t>
      </w:r>
    </w:p>
    <w:p w14:paraId="7CB13E15">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35A22D9E">
      <w:pPr>
        <w:ind w:firstLine="420" w:firstLineChars="200"/>
        <w:rPr>
          <w:rFonts w:ascii="宋体" w:hAnsi="宋体"/>
          <w:szCs w:val="21"/>
        </w:rPr>
      </w:pPr>
      <w:r>
        <w:rPr>
          <w:rFonts w:hint="eastAsia" w:ascii="宋体" w:hAnsi="宋体"/>
          <w:szCs w:val="21"/>
        </w:rPr>
        <w:t xml:space="preserve">2、 </w:t>
      </w:r>
    </w:p>
    <w:p w14:paraId="1A8ED40A">
      <w:pPr>
        <w:ind w:firstLine="420" w:firstLineChars="200"/>
        <w:rPr>
          <w:rFonts w:ascii="宋体" w:hAnsi="宋体"/>
          <w:szCs w:val="21"/>
        </w:rPr>
      </w:pPr>
      <w:r>
        <w:rPr>
          <w:rFonts w:hint="eastAsia" w:ascii="宋体" w:hAnsi="宋体"/>
          <w:szCs w:val="21"/>
        </w:rPr>
        <w:t>3、</w:t>
      </w:r>
    </w:p>
    <w:p w14:paraId="5332326D">
      <w:pPr>
        <w:ind w:firstLine="420" w:firstLineChars="200"/>
        <w:rPr>
          <w:rFonts w:ascii="宋体" w:hAnsi="宋体"/>
          <w:szCs w:val="21"/>
        </w:rPr>
      </w:pPr>
      <w:r>
        <w:rPr>
          <w:rFonts w:hint="eastAsia" w:ascii="宋体" w:hAnsi="宋体"/>
          <w:szCs w:val="21"/>
        </w:rPr>
        <w:t>4、</w:t>
      </w:r>
    </w:p>
    <w:p w14:paraId="17787D07">
      <w:pPr>
        <w:ind w:firstLine="422" w:firstLineChars="200"/>
        <w:rPr>
          <w:rFonts w:ascii="宋体" w:hAnsi="宋体"/>
          <w:b/>
          <w:bCs/>
          <w:szCs w:val="21"/>
        </w:rPr>
      </w:pPr>
      <w:r>
        <w:rPr>
          <w:rFonts w:hint="eastAsia" w:ascii="宋体" w:hAnsi="宋体"/>
          <w:b/>
          <w:bCs/>
          <w:szCs w:val="21"/>
        </w:rPr>
        <w:t>第四条  服务资料归属</w:t>
      </w:r>
    </w:p>
    <w:p w14:paraId="39087534">
      <w:pPr>
        <w:ind w:firstLine="420" w:firstLineChars="200"/>
      </w:pPr>
      <w:r>
        <w:t>1</w:t>
      </w:r>
      <w:r>
        <w:rPr>
          <w:rFonts w:hint="eastAsia"/>
        </w:rPr>
        <w:t>、</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007A07B2">
      <w:pPr>
        <w:ind w:firstLine="420" w:firstLineChars="200"/>
      </w:pPr>
      <w:r>
        <w:t>2</w:t>
      </w:r>
      <w:r>
        <w:rPr>
          <w:rFonts w:hint="eastAsia"/>
        </w:rPr>
        <w:t>、</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5305CD37">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4F16FE98">
      <w:pPr>
        <w:ind w:firstLine="422" w:firstLineChars="200"/>
        <w:rPr>
          <w:rFonts w:ascii="宋体" w:hAnsi="宋体"/>
          <w:b/>
          <w:bCs/>
          <w:szCs w:val="21"/>
        </w:rPr>
      </w:pPr>
      <w:r>
        <w:rPr>
          <w:rFonts w:hint="eastAsia" w:ascii="宋体" w:hAnsi="宋体"/>
          <w:b/>
          <w:bCs/>
          <w:szCs w:val="21"/>
        </w:rPr>
        <w:t>第五条  甲方的义务</w:t>
      </w:r>
    </w:p>
    <w:p w14:paraId="057AB54A">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5276B0DE">
      <w:pPr>
        <w:ind w:firstLine="420" w:firstLineChars="200"/>
        <w:rPr>
          <w:rFonts w:ascii="宋体" w:hAnsi="宋体"/>
          <w:szCs w:val="21"/>
        </w:rPr>
      </w:pPr>
      <w:r>
        <w:rPr>
          <w:rFonts w:hint="eastAsia" w:ascii="宋体" w:hAnsi="宋体"/>
          <w:szCs w:val="21"/>
        </w:rPr>
        <w:t>2、向乙方提供与本项目服务工作有关的资料。</w:t>
      </w:r>
    </w:p>
    <w:p w14:paraId="2869647D">
      <w:pPr>
        <w:ind w:firstLine="420" w:firstLineChars="200"/>
        <w:rPr>
          <w:rFonts w:ascii="宋体" w:hAnsi="宋体"/>
          <w:szCs w:val="21"/>
        </w:rPr>
      </w:pPr>
      <w:r>
        <w:rPr>
          <w:rFonts w:hint="eastAsia" w:ascii="宋体" w:hAnsi="宋体"/>
          <w:szCs w:val="21"/>
        </w:rPr>
        <w:t>3、负责组织有关专家对项目试验成果评估报告的评审。</w:t>
      </w:r>
    </w:p>
    <w:p w14:paraId="486D3E13">
      <w:pPr>
        <w:ind w:firstLine="422" w:firstLineChars="200"/>
        <w:rPr>
          <w:rFonts w:ascii="宋体" w:hAnsi="宋体"/>
          <w:b/>
          <w:bCs/>
          <w:szCs w:val="21"/>
        </w:rPr>
      </w:pPr>
      <w:r>
        <w:rPr>
          <w:rFonts w:hint="eastAsia" w:ascii="宋体" w:hAnsi="宋体"/>
          <w:b/>
          <w:bCs/>
          <w:szCs w:val="21"/>
        </w:rPr>
        <w:t>第六条　乙方的义务</w:t>
      </w:r>
    </w:p>
    <w:p w14:paraId="5E5F5F83">
      <w:pPr>
        <w:ind w:firstLine="420" w:firstLineChars="200"/>
        <w:rPr>
          <w:rFonts w:ascii="宋体" w:hAnsi="宋体"/>
          <w:szCs w:val="21"/>
        </w:rPr>
      </w:pPr>
      <w:r>
        <w:rPr>
          <w:rFonts w:hint="eastAsia" w:ascii="宋体" w:hAnsi="宋体"/>
          <w:szCs w:val="21"/>
        </w:rPr>
        <w:t>１、应按照招标文件、投标文件要求按期完成本项目服务工作。</w:t>
      </w:r>
    </w:p>
    <w:p w14:paraId="2DF5AAE3">
      <w:pPr>
        <w:ind w:firstLine="420" w:firstLineChars="200"/>
        <w:rPr>
          <w:rFonts w:ascii="宋体" w:hAnsi="宋体"/>
          <w:szCs w:val="21"/>
        </w:rPr>
      </w:pPr>
      <w:r>
        <w:rPr>
          <w:rFonts w:hint="eastAsia" w:ascii="宋体" w:hAnsi="宋体"/>
          <w:szCs w:val="21"/>
        </w:rPr>
        <w:t>2、负责组织项目的实施，保证工程进度和成桥荷载试验工作质量，并满足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129B0E84">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63BFEB36">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2CC332AE">
      <w:pPr>
        <w:ind w:firstLine="422" w:firstLineChars="200"/>
        <w:rPr>
          <w:rFonts w:ascii="宋体" w:hAnsi="宋体"/>
          <w:b/>
          <w:bCs/>
          <w:szCs w:val="21"/>
        </w:rPr>
      </w:pPr>
      <w:r>
        <w:rPr>
          <w:rFonts w:hint="eastAsia" w:ascii="宋体" w:hAnsi="宋体"/>
          <w:b/>
          <w:bCs/>
          <w:szCs w:val="21"/>
        </w:rPr>
        <w:t>第七条  甲方的权利</w:t>
      </w:r>
    </w:p>
    <w:p w14:paraId="600CA984">
      <w:pPr>
        <w:ind w:firstLine="420" w:firstLineChars="200"/>
        <w:rPr>
          <w:rFonts w:ascii="宋体" w:hAnsi="宋体"/>
          <w:szCs w:val="21"/>
        </w:rPr>
      </w:pPr>
      <w:r>
        <w:rPr>
          <w:rFonts w:ascii="宋体" w:hAnsi="宋体"/>
          <w:szCs w:val="21"/>
        </w:rPr>
        <w:t>1</w:t>
      </w:r>
      <w:r>
        <w:rPr>
          <w:rFonts w:hint="eastAsia" w:ascii="宋体" w:hAnsi="宋体"/>
          <w:szCs w:val="21"/>
        </w:rPr>
        <w:t>、有权向乙方询问工作进展情况及相关内容。</w:t>
      </w:r>
    </w:p>
    <w:p w14:paraId="3EF04714">
      <w:pPr>
        <w:ind w:firstLine="420" w:firstLineChars="200"/>
        <w:rPr>
          <w:rFonts w:ascii="宋体" w:hAnsi="宋体"/>
          <w:szCs w:val="21"/>
        </w:rPr>
      </w:pPr>
      <w:r>
        <w:rPr>
          <w:rFonts w:ascii="宋体" w:hAnsi="宋体"/>
          <w:szCs w:val="21"/>
        </w:rPr>
        <w:t>2</w:t>
      </w:r>
      <w:r>
        <w:rPr>
          <w:rFonts w:hint="eastAsia" w:ascii="宋体" w:hAnsi="宋体"/>
          <w:szCs w:val="21"/>
        </w:rPr>
        <w:t>、有权阐述对具体问题的意见和建议。</w:t>
      </w:r>
    </w:p>
    <w:p w14:paraId="44A00598">
      <w:pPr>
        <w:ind w:firstLine="420" w:firstLineChars="200"/>
        <w:rPr>
          <w:rFonts w:ascii="宋体" w:hAnsi="宋体"/>
          <w:szCs w:val="21"/>
        </w:rPr>
      </w:pPr>
      <w:r>
        <w:rPr>
          <w:rFonts w:ascii="宋体" w:hAnsi="宋体"/>
          <w:szCs w:val="21"/>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4A80A1AA">
      <w:pPr>
        <w:ind w:firstLine="422" w:firstLineChars="200"/>
        <w:rPr>
          <w:rFonts w:ascii="宋体" w:hAnsi="宋体"/>
          <w:b/>
          <w:bCs/>
          <w:szCs w:val="21"/>
        </w:rPr>
      </w:pPr>
      <w:r>
        <w:rPr>
          <w:rFonts w:hint="eastAsia" w:ascii="宋体" w:hAnsi="宋体"/>
          <w:b/>
          <w:bCs/>
          <w:szCs w:val="21"/>
        </w:rPr>
        <w:t>第八条  乙方的权利</w:t>
      </w:r>
    </w:p>
    <w:p w14:paraId="277FAD2A">
      <w:pPr>
        <w:ind w:firstLine="420" w:firstLineChars="200"/>
        <w:rPr>
          <w:rFonts w:ascii="宋体" w:hAnsi="宋体"/>
          <w:szCs w:val="21"/>
        </w:rPr>
      </w:pPr>
      <w:r>
        <w:rPr>
          <w:rFonts w:ascii="宋体" w:hAnsi="宋体"/>
          <w:szCs w:val="21"/>
        </w:rPr>
        <w:t>1</w:t>
      </w:r>
      <w:r>
        <w:rPr>
          <w:rFonts w:hint="eastAsia" w:ascii="宋体" w:hAnsi="宋体"/>
          <w:szCs w:val="21"/>
        </w:rPr>
        <w:t>、乙方在本项目服务过程中，如甲方提供的资料不明确时可向甲方提出书面报告。</w:t>
      </w:r>
    </w:p>
    <w:p w14:paraId="4DDDAA7F">
      <w:pPr>
        <w:ind w:firstLine="420" w:firstLineChars="200"/>
        <w:rPr>
          <w:rFonts w:ascii="宋体" w:hAnsi="宋体"/>
          <w:szCs w:val="21"/>
        </w:rPr>
      </w:pPr>
      <w:r>
        <w:rPr>
          <w:rFonts w:ascii="宋体" w:hAnsi="宋体"/>
          <w:szCs w:val="21"/>
        </w:rPr>
        <w:t>2</w:t>
      </w:r>
      <w:r>
        <w:rPr>
          <w:rFonts w:hint="eastAsia" w:ascii="宋体" w:hAnsi="宋体"/>
          <w:szCs w:val="21"/>
        </w:rPr>
        <w:t>、乙方在本项目服务过程中，有权对第三方提出与本服务业务有关的问题进行核对或查问。</w:t>
      </w:r>
    </w:p>
    <w:p w14:paraId="5908F90C">
      <w:pPr>
        <w:ind w:firstLine="420" w:firstLineChars="200"/>
        <w:rPr>
          <w:rFonts w:ascii="宋体" w:hAnsi="宋体"/>
          <w:szCs w:val="21"/>
        </w:rPr>
      </w:pPr>
      <w:r>
        <w:rPr>
          <w:rFonts w:ascii="宋体" w:hAnsi="宋体"/>
          <w:szCs w:val="21"/>
        </w:rPr>
        <w:t>3</w:t>
      </w:r>
      <w:r>
        <w:rPr>
          <w:rFonts w:hint="eastAsia" w:ascii="宋体" w:hAnsi="宋体"/>
          <w:szCs w:val="21"/>
        </w:rPr>
        <w:t>、乙方在本项目服务过程中，有到工程现场勘察的权利。</w:t>
      </w:r>
    </w:p>
    <w:p w14:paraId="585FD98F">
      <w:pPr>
        <w:ind w:firstLine="422" w:firstLineChars="200"/>
        <w:rPr>
          <w:rFonts w:ascii="宋体" w:hAnsi="宋体"/>
          <w:b/>
          <w:bCs/>
          <w:szCs w:val="21"/>
        </w:rPr>
      </w:pPr>
      <w:r>
        <w:rPr>
          <w:rFonts w:hint="eastAsia" w:ascii="宋体" w:hAnsi="宋体"/>
          <w:b/>
          <w:bCs/>
          <w:szCs w:val="21"/>
        </w:rPr>
        <w:t>第九条  甲方的责任</w:t>
      </w:r>
    </w:p>
    <w:p w14:paraId="7E1EAD93">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11808E50">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3B63C651">
      <w:pPr>
        <w:ind w:firstLine="422" w:firstLineChars="200"/>
        <w:rPr>
          <w:rFonts w:ascii="宋体" w:hAnsi="宋体"/>
          <w:b/>
          <w:bCs/>
          <w:szCs w:val="21"/>
        </w:rPr>
      </w:pPr>
      <w:r>
        <w:rPr>
          <w:rFonts w:hint="eastAsia" w:ascii="宋体" w:hAnsi="宋体"/>
          <w:b/>
          <w:bCs/>
          <w:szCs w:val="21"/>
        </w:rPr>
        <w:t>第十条  乙方的责任</w:t>
      </w:r>
    </w:p>
    <w:p w14:paraId="6017C5E4">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1F418E3D">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1854262E">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00EC3041">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132203E9">
      <w:pPr>
        <w:ind w:firstLine="422" w:firstLineChars="200"/>
        <w:rPr>
          <w:rFonts w:ascii="宋体" w:hAnsi="宋体"/>
          <w:b/>
          <w:bCs/>
          <w:szCs w:val="21"/>
        </w:rPr>
      </w:pPr>
      <w:r>
        <w:rPr>
          <w:rFonts w:hint="eastAsia" w:ascii="宋体" w:hAnsi="宋体"/>
          <w:b/>
          <w:bCs/>
          <w:szCs w:val="21"/>
        </w:rPr>
        <w:t>第十一条  人员要求</w:t>
      </w:r>
    </w:p>
    <w:p w14:paraId="0A6EE2BF">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7690FE79">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14:paraId="2E9AAEED">
      <w:pPr>
        <w:ind w:firstLine="420" w:firstLineChars="200"/>
        <w:rPr>
          <w:rFonts w:ascii="宋体" w:hAnsi="宋体"/>
          <w:szCs w:val="21"/>
        </w:rPr>
      </w:pPr>
      <w:r>
        <w:rPr>
          <w:rFonts w:hint="eastAsia" w:ascii="宋体" w:hAnsi="宋体"/>
          <w:szCs w:val="21"/>
        </w:rPr>
        <w:t>3、必须以直属试验人员参与本项目服务，不得使用挂靠队伍。</w:t>
      </w:r>
    </w:p>
    <w:p w14:paraId="3548ACFA">
      <w:pPr>
        <w:ind w:firstLine="422" w:firstLineChars="200"/>
        <w:rPr>
          <w:rFonts w:ascii="宋体" w:hAnsi="宋体"/>
          <w:b/>
          <w:bCs/>
          <w:szCs w:val="21"/>
        </w:rPr>
      </w:pPr>
      <w:r>
        <w:rPr>
          <w:rFonts w:hint="eastAsia" w:ascii="宋体" w:hAnsi="宋体"/>
          <w:b/>
          <w:bCs/>
          <w:szCs w:val="21"/>
        </w:rPr>
        <w:t>第十二条  乙方服务工具要求</w:t>
      </w:r>
    </w:p>
    <w:p w14:paraId="5E32993A">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174CCA75">
      <w:pPr>
        <w:ind w:firstLine="420" w:firstLineChars="200"/>
        <w:rPr>
          <w:rFonts w:ascii="宋体" w:hAnsi="宋体"/>
          <w:szCs w:val="21"/>
        </w:rPr>
      </w:pPr>
      <w:r>
        <w:rPr>
          <w:rFonts w:hint="eastAsia" w:ascii="宋体" w:hAnsi="宋体"/>
          <w:szCs w:val="21"/>
        </w:rPr>
        <w:t>2、乙方在提供服务过程中应自备车辆。</w:t>
      </w:r>
    </w:p>
    <w:p w14:paraId="5EB89792">
      <w:pPr>
        <w:ind w:firstLine="422" w:firstLineChars="200"/>
        <w:rPr>
          <w:rFonts w:ascii="宋体" w:hAnsi="宋体"/>
          <w:b/>
          <w:bCs/>
          <w:szCs w:val="21"/>
        </w:rPr>
      </w:pPr>
      <w:r>
        <w:rPr>
          <w:rFonts w:hint="eastAsia" w:ascii="宋体" w:hAnsi="宋体"/>
          <w:b/>
          <w:bCs/>
          <w:szCs w:val="21"/>
        </w:rPr>
        <w:t>第十三条  保密要求</w:t>
      </w:r>
    </w:p>
    <w:p w14:paraId="1CD3A021">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由甲方收集的、开发的、整理的、复制的、研究的和准备的与本合同项下工作有关的所有资料在提供给乙方时，均被视为保密的，不得</w:t>
      </w:r>
      <w:r>
        <w:rPr>
          <w:rFonts w:hint="eastAsia" w:ascii="宋体" w:hAnsi="宋体"/>
          <w:szCs w:val="21"/>
          <w:lang w:eastAsia="zh-CN"/>
        </w:rPr>
        <w:t>泄露</w:t>
      </w:r>
      <w:r>
        <w:rPr>
          <w:rFonts w:ascii="宋体" w:hAnsi="宋体"/>
          <w:szCs w:val="21"/>
        </w:rPr>
        <w:t>给除甲方或其指定的代表之外的任何人、企业或公司，不管本合同因何种原因终止，本条款一直约束乙方。</w:t>
      </w:r>
    </w:p>
    <w:p w14:paraId="56999619">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423AD364">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76FF469E">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66D2A096">
      <w:pPr>
        <w:ind w:firstLine="422" w:firstLineChars="200"/>
        <w:rPr>
          <w:rFonts w:ascii="宋体" w:hAnsi="宋体"/>
          <w:b/>
          <w:bCs/>
          <w:szCs w:val="21"/>
        </w:rPr>
      </w:pPr>
      <w:r>
        <w:rPr>
          <w:rFonts w:hint="eastAsia" w:ascii="宋体" w:hAnsi="宋体"/>
          <w:b/>
          <w:bCs/>
          <w:szCs w:val="21"/>
        </w:rPr>
        <w:t xml:space="preserve">第十四条  验收     </w:t>
      </w:r>
    </w:p>
    <w:p w14:paraId="42813842">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6BD9B492">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08E57C12">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1BAFED02">
      <w:pPr>
        <w:ind w:firstLine="422" w:firstLineChars="200"/>
        <w:rPr>
          <w:rFonts w:ascii="宋体" w:hAnsi="宋体"/>
          <w:b/>
          <w:bCs/>
          <w:szCs w:val="21"/>
        </w:rPr>
      </w:pPr>
      <w:r>
        <w:rPr>
          <w:rFonts w:hint="eastAsia" w:ascii="宋体" w:hAnsi="宋体"/>
          <w:b/>
          <w:bCs/>
          <w:szCs w:val="21"/>
        </w:rPr>
        <w:t>第十五条  付款方式</w:t>
      </w:r>
    </w:p>
    <w:p w14:paraId="51CEDB3A">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682F1D5C">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16FD3C45">
      <w:pPr>
        <w:ind w:firstLine="420" w:firstLineChars="200"/>
        <w:rPr>
          <w:rFonts w:ascii="宋体" w:hAnsi="宋体"/>
          <w:szCs w:val="21"/>
        </w:rPr>
      </w:pPr>
      <w:r>
        <w:rPr>
          <w:rFonts w:hint="eastAsia" w:ascii="宋体" w:hAnsi="宋体"/>
          <w:szCs w:val="21"/>
        </w:rPr>
        <w:t>3、报告通过专家评审后，甲方向乙方支付合同总价%的款项。</w:t>
      </w:r>
    </w:p>
    <w:p w14:paraId="2A46DFC0">
      <w:pPr>
        <w:ind w:firstLine="422" w:firstLineChars="200"/>
        <w:rPr>
          <w:rFonts w:ascii="宋体" w:hAnsi="宋体"/>
          <w:b/>
          <w:bCs/>
          <w:szCs w:val="21"/>
        </w:rPr>
      </w:pPr>
      <w:r>
        <w:rPr>
          <w:rFonts w:hint="eastAsia" w:ascii="宋体" w:hAnsi="宋体"/>
          <w:b/>
          <w:bCs/>
          <w:szCs w:val="21"/>
        </w:rPr>
        <w:t>第十六条  争议解决办法</w:t>
      </w:r>
    </w:p>
    <w:p w14:paraId="7A43D07B">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3D434573">
      <w:pPr>
        <w:ind w:firstLine="422" w:firstLineChars="200"/>
        <w:rPr>
          <w:rFonts w:ascii="宋体" w:hAnsi="宋体"/>
          <w:b/>
          <w:bCs/>
          <w:szCs w:val="21"/>
        </w:rPr>
      </w:pPr>
      <w:r>
        <w:rPr>
          <w:rFonts w:hint="eastAsia" w:ascii="宋体" w:hAnsi="宋体"/>
          <w:b/>
          <w:bCs/>
          <w:szCs w:val="21"/>
        </w:rPr>
        <w:t>第十七条  风险责任</w:t>
      </w:r>
    </w:p>
    <w:p w14:paraId="5A321775">
      <w:pPr>
        <w:ind w:firstLine="420" w:firstLineChars="200"/>
        <w:rPr>
          <w:rFonts w:ascii="宋体" w:hAnsi="宋体"/>
          <w:szCs w:val="21"/>
        </w:rPr>
      </w:pPr>
      <w:r>
        <w:rPr>
          <w:rFonts w:hint="eastAsia" w:ascii="宋体" w:hAnsi="宋体"/>
          <w:szCs w:val="21"/>
        </w:rPr>
        <w:t>１、乙方应完全按照招标文件的要求和乙方投标文件的承诺完成本项目，出于自身财务、技术、人力等原因导致项目失败的，应承担全部责任。</w:t>
      </w:r>
    </w:p>
    <w:p w14:paraId="09841001">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0FAA8C56">
      <w:pPr>
        <w:ind w:firstLine="422" w:firstLineChars="200"/>
        <w:rPr>
          <w:rFonts w:ascii="宋体" w:hAnsi="宋体"/>
          <w:b/>
          <w:bCs/>
          <w:szCs w:val="21"/>
        </w:rPr>
      </w:pPr>
      <w:r>
        <w:rPr>
          <w:rFonts w:hint="eastAsia" w:ascii="宋体" w:hAnsi="宋体"/>
          <w:b/>
          <w:bCs/>
          <w:szCs w:val="21"/>
        </w:rPr>
        <w:t>第十八条  违约责任</w:t>
      </w:r>
    </w:p>
    <w:p w14:paraId="36F0C850">
      <w:pPr>
        <w:pStyle w:val="19"/>
        <w:spacing w:line="240" w:lineRule="auto"/>
        <w:rPr>
          <w:rFonts w:ascii="宋体" w:hAnsi="宋体"/>
          <w:szCs w:val="21"/>
        </w:rPr>
      </w:pPr>
      <w:r>
        <w:rPr>
          <w:rFonts w:hint="eastAsia" w:ascii="宋体" w:hAnsi="宋体"/>
          <w:szCs w:val="21"/>
        </w:rPr>
        <w:t>１、因乙方原因，未能按规定时间完成有关工作的，每延误一天，甲方可在支付合同余款中扣除合同价款千分之一。</w:t>
      </w:r>
    </w:p>
    <w:p w14:paraId="1739CCDE">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45050FC1">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860FA4B">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58308CAE">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2F40C7ED">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0046A520">
      <w:pPr>
        <w:ind w:firstLine="422" w:firstLineChars="200"/>
        <w:rPr>
          <w:rFonts w:ascii="宋体" w:hAnsi="宋体"/>
          <w:b/>
          <w:bCs/>
          <w:szCs w:val="21"/>
        </w:rPr>
      </w:pPr>
      <w:r>
        <w:rPr>
          <w:rFonts w:hint="eastAsia" w:ascii="宋体" w:hAnsi="宋体"/>
          <w:b/>
          <w:bCs/>
          <w:szCs w:val="21"/>
        </w:rPr>
        <w:t>第十九条  其他</w:t>
      </w:r>
    </w:p>
    <w:p w14:paraId="20D446E4">
      <w:pPr>
        <w:ind w:firstLine="420" w:firstLineChars="200"/>
        <w:rPr>
          <w:rFonts w:ascii="宋体" w:hAnsi="宋体"/>
          <w:szCs w:val="21"/>
        </w:rPr>
      </w:pPr>
      <w:r>
        <w:rPr>
          <w:rFonts w:hint="eastAsia" w:ascii="宋体" w:hAnsi="宋体"/>
          <w:szCs w:val="21"/>
        </w:rPr>
        <w:t>1、本协议书与下列文件一起构成合同文件，如下述文件之间有任何抵触、矛盾或歧义，应按以下顺序解释：</w:t>
      </w:r>
    </w:p>
    <w:p w14:paraId="223E9464">
      <w:pPr>
        <w:ind w:firstLine="420" w:firstLineChars="200"/>
        <w:rPr>
          <w:rFonts w:ascii="宋体" w:hAnsi="宋体"/>
          <w:szCs w:val="21"/>
        </w:rPr>
      </w:pPr>
      <w:r>
        <w:rPr>
          <w:rFonts w:hint="eastAsia" w:ascii="宋体" w:hAnsi="宋体"/>
          <w:szCs w:val="21"/>
        </w:rPr>
        <w:t>（1）政府采购合同协议书及其变更、补充协议</w:t>
      </w:r>
    </w:p>
    <w:p w14:paraId="27B29282">
      <w:pPr>
        <w:ind w:firstLine="420" w:firstLineChars="200"/>
        <w:rPr>
          <w:rFonts w:ascii="宋体" w:hAnsi="宋体"/>
          <w:szCs w:val="21"/>
        </w:rPr>
      </w:pPr>
      <w:r>
        <w:rPr>
          <w:rFonts w:hint="eastAsia" w:ascii="宋体" w:hAnsi="宋体"/>
          <w:szCs w:val="21"/>
        </w:rPr>
        <w:t>（2）政府采购合同专用条款</w:t>
      </w:r>
    </w:p>
    <w:p w14:paraId="47C0C7DB">
      <w:pPr>
        <w:ind w:firstLine="420" w:firstLineChars="200"/>
        <w:rPr>
          <w:rFonts w:ascii="宋体" w:hAnsi="宋体"/>
          <w:szCs w:val="21"/>
        </w:rPr>
      </w:pPr>
      <w:r>
        <w:rPr>
          <w:rFonts w:hint="eastAsia" w:ascii="宋体" w:hAnsi="宋体"/>
          <w:szCs w:val="21"/>
        </w:rPr>
        <w:t>（3）政府采购合同通用条款</w:t>
      </w:r>
    </w:p>
    <w:p w14:paraId="28B1D062">
      <w:pPr>
        <w:ind w:firstLine="420" w:firstLineChars="200"/>
        <w:rPr>
          <w:rFonts w:ascii="宋体" w:hAnsi="宋体"/>
          <w:szCs w:val="21"/>
        </w:rPr>
      </w:pPr>
      <w:r>
        <w:rPr>
          <w:rFonts w:hint="eastAsia" w:ascii="宋体" w:hAnsi="宋体"/>
          <w:szCs w:val="21"/>
        </w:rPr>
        <w:t>（4）中标（成交）通知书</w:t>
      </w:r>
    </w:p>
    <w:p w14:paraId="614F8682">
      <w:pPr>
        <w:ind w:firstLine="420" w:firstLineChars="200"/>
        <w:rPr>
          <w:rFonts w:ascii="宋体" w:hAnsi="宋体"/>
          <w:szCs w:val="21"/>
        </w:rPr>
      </w:pPr>
      <w:r>
        <w:rPr>
          <w:rFonts w:hint="eastAsia" w:ascii="宋体" w:hAnsi="宋体"/>
          <w:szCs w:val="21"/>
        </w:rPr>
        <w:t>（5）投标（响应）文件</w:t>
      </w:r>
    </w:p>
    <w:p w14:paraId="0171B9AB">
      <w:pPr>
        <w:ind w:firstLine="420" w:firstLineChars="200"/>
        <w:rPr>
          <w:rFonts w:ascii="宋体" w:hAnsi="宋体"/>
          <w:szCs w:val="21"/>
        </w:rPr>
      </w:pPr>
      <w:r>
        <w:rPr>
          <w:rFonts w:hint="eastAsia" w:ascii="宋体" w:hAnsi="宋体"/>
          <w:szCs w:val="21"/>
        </w:rPr>
        <w:t>（6）采购文件</w:t>
      </w:r>
    </w:p>
    <w:p w14:paraId="37EE6365">
      <w:pPr>
        <w:ind w:firstLine="420" w:firstLineChars="200"/>
        <w:rPr>
          <w:rFonts w:ascii="宋体" w:hAnsi="宋体"/>
          <w:szCs w:val="21"/>
        </w:rPr>
      </w:pPr>
      <w:r>
        <w:rPr>
          <w:rFonts w:hint="eastAsia" w:ascii="宋体" w:hAnsi="宋体"/>
          <w:szCs w:val="21"/>
        </w:rPr>
        <w:t>（7）有关技术文件，图纸</w:t>
      </w:r>
    </w:p>
    <w:p w14:paraId="6BDBA26D">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4F2198E7">
      <w:pPr>
        <w:ind w:firstLine="420" w:firstLineChars="200"/>
        <w:rPr>
          <w:rFonts w:ascii="宋体" w:hAnsi="宋体"/>
          <w:szCs w:val="21"/>
        </w:rPr>
      </w:pPr>
      <w:r>
        <w:rPr>
          <w:rFonts w:hint="eastAsia" w:ascii="宋体" w:hAnsi="宋体"/>
          <w:szCs w:val="21"/>
        </w:rPr>
        <w:t>2、下列文件均为本合同的组成部分：</w:t>
      </w:r>
    </w:p>
    <w:p w14:paraId="5B062C83">
      <w:pPr>
        <w:ind w:firstLine="420" w:firstLineChars="200"/>
        <w:rPr>
          <w:rFonts w:ascii="宋体" w:hAnsi="宋体"/>
          <w:szCs w:val="21"/>
        </w:rPr>
      </w:pPr>
      <w:r>
        <w:rPr>
          <w:rFonts w:hint="eastAsia" w:ascii="宋体" w:hAnsi="宋体"/>
          <w:szCs w:val="21"/>
        </w:rPr>
        <w:t>（1）号招标文件、答疑及补充通知；</w:t>
      </w:r>
    </w:p>
    <w:p w14:paraId="36F4C74C">
      <w:pPr>
        <w:ind w:firstLine="420" w:firstLineChars="200"/>
        <w:rPr>
          <w:rFonts w:ascii="宋体" w:hAnsi="宋体"/>
          <w:szCs w:val="21"/>
        </w:rPr>
      </w:pPr>
      <w:r>
        <w:rPr>
          <w:rFonts w:hint="eastAsia" w:ascii="宋体" w:hAnsi="宋体"/>
          <w:szCs w:val="21"/>
        </w:rPr>
        <w:t>（2）投标文件；</w:t>
      </w:r>
    </w:p>
    <w:p w14:paraId="625C0756">
      <w:pPr>
        <w:ind w:firstLine="420" w:firstLineChars="200"/>
        <w:rPr>
          <w:rFonts w:ascii="宋体" w:hAnsi="宋体"/>
          <w:szCs w:val="21"/>
        </w:rPr>
      </w:pPr>
      <w:r>
        <w:rPr>
          <w:rFonts w:hint="eastAsia" w:ascii="宋体" w:hAnsi="宋体"/>
          <w:szCs w:val="21"/>
        </w:rPr>
        <w:t>（3）本合同执行中共同签署的补充与修正文件。</w:t>
      </w:r>
    </w:p>
    <w:p w14:paraId="7E293591">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2F4CE3BD">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345D4ECC">
      <w:pPr>
        <w:ind w:firstLine="420" w:firstLineChars="200"/>
        <w:rPr>
          <w:rFonts w:ascii="宋体" w:hAnsi="宋体"/>
          <w:szCs w:val="21"/>
        </w:rPr>
      </w:pPr>
    </w:p>
    <w:p w14:paraId="66D1B401">
      <w:pPr>
        <w:ind w:firstLine="420" w:firstLineChars="200"/>
        <w:rPr>
          <w:rFonts w:ascii="宋体" w:hAnsi="宋体"/>
          <w:szCs w:val="21"/>
        </w:rPr>
      </w:pPr>
    </w:p>
    <w:p w14:paraId="17AA091E">
      <w:pPr>
        <w:spacing w:line="360" w:lineRule="auto"/>
        <w:ind w:firstLine="560"/>
        <w:jc w:val="left"/>
        <w:rPr>
          <w:rFonts w:ascii="宋体" w:hAnsi="宋体"/>
          <w:szCs w:val="21"/>
        </w:rPr>
      </w:pPr>
      <w:r>
        <w:rPr>
          <w:rFonts w:hint="eastAsia" w:ascii="宋体" w:hAnsi="宋体"/>
          <w:szCs w:val="21"/>
        </w:rPr>
        <w:t>甲方（采购人）：   （盖章）       乙方（供应商）：    （盖章）</w:t>
      </w:r>
    </w:p>
    <w:p w14:paraId="5D527192">
      <w:pPr>
        <w:spacing w:line="360" w:lineRule="auto"/>
        <w:ind w:firstLine="560"/>
        <w:jc w:val="left"/>
        <w:rPr>
          <w:rFonts w:ascii="宋体" w:hAnsi="宋体"/>
          <w:szCs w:val="21"/>
        </w:rPr>
      </w:pPr>
      <w:r>
        <w:rPr>
          <w:rFonts w:hint="eastAsia" w:ascii="宋体" w:hAnsi="宋体"/>
          <w:szCs w:val="21"/>
        </w:rPr>
        <w:t xml:space="preserve">法定代表人：                     法定代表人： </w:t>
      </w:r>
    </w:p>
    <w:p w14:paraId="063FEDD1">
      <w:pPr>
        <w:spacing w:line="360" w:lineRule="auto"/>
        <w:ind w:firstLine="560"/>
        <w:jc w:val="left"/>
        <w:rPr>
          <w:rFonts w:ascii="宋体" w:hAnsi="宋体"/>
          <w:szCs w:val="21"/>
        </w:rPr>
      </w:pPr>
      <w:r>
        <w:rPr>
          <w:rFonts w:hint="eastAsia" w:ascii="宋体" w:hAnsi="宋体"/>
          <w:szCs w:val="21"/>
        </w:rPr>
        <w:t>委托代理人：                     委托代理人：</w:t>
      </w:r>
    </w:p>
    <w:p w14:paraId="02E6D0EB">
      <w:pPr>
        <w:ind w:firstLine="420" w:firstLineChars="200"/>
        <w:rPr>
          <w:rFonts w:ascii="宋体" w:hAnsi="宋体"/>
          <w:szCs w:val="21"/>
        </w:rPr>
      </w:pPr>
      <w:r>
        <w:rPr>
          <w:rFonts w:hint="eastAsia" w:ascii="宋体" w:hAnsi="宋体"/>
          <w:szCs w:val="21"/>
        </w:rPr>
        <w:t>日期：   年     月    日         日期：   年     月    日</w:t>
      </w:r>
    </w:p>
    <w:p w14:paraId="38C4AB5D">
      <w:pPr>
        <w:widowControl/>
        <w:jc w:val="left"/>
        <w:rPr>
          <w:rFonts w:ascii="宋体" w:hAnsi="宋体"/>
          <w:szCs w:val="21"/>
        </w:rPr>
      </w:pPr>
      <w:r>
        <w:rPr>
          <w:rFonts w:ascii="宋体" w:hAnsi="宋体"/>
          <w:szCs w:val="21"/>
        </w:rPr>
        <w:br w:type="page"/>
      </w:r>
    </w:p>
    <w:p w14:paraId="302BE328">
      <w:pPr>
        <w:pStyle w:val="3"/>
        <w:spacing w:before="120" w:beforeLines="50" w:after="120" w:afterLines="50"/>
        <w:ind w:left="562"/>
        <w:rPr>
          <w:sz w:val="28"/>
          <w:szCs w:val="28"/>
        </w:rPr>
      </w:pPr>
      <w:r>
        <w:rPr>
          <w:rFonts w:hint="eastAsia"/>
          <w:sz w:val="28"/>
          <w:szCs w:val="28"/>
        </w:rPr>
        <w:t>第二册  通用条款（公开招标）</w:t>
      </w:r>
    </w:p>
    <w:p w14:paraId="600BAABA">
      <w:pPr>
        <w:pStyle w:val="3"/>
        <w:numPr>
          <w:ilvl w:val="0"/>
          <w:numId w:val="11"/>
        </w:numPr>
        <w:spacing w:before="120" w:beforeLines="50" w:after="120" w:afterLines="50"/>
        <w:ind w:left="562" w:hanging="562"/>
        <w:rPr>
          <w:sz w:val="28"/>
          <w:szCs w:val="28"/>
        </w:rPr>
      </w:pPr>
      <w:bookmarkStart w:id="56" w:name="_Hlk72399513"/>
      <w:r>
        <w:rPr>
          <w:rFonts w:hint="eastAsia"/>
          <w:sz w:val="28"/>
          <w:szCs w:val="28"/>
        </w:rPr>
        <w:t>总则</w:t>
      </w:r>
    </w:p>
    <w:bookmarkEnd w:id="56"/>
    <w:p w14:paraId="31E0B96A">
      <w:pPr>
        <w:rPr>
          <w:rFonts w:ascii="黑体" w:hAnsi="宋体" w:eastAsia="黑体"/>
          <w:sz w:val="24"/>
        </w:rPr>
      </w:pPr>
      <w:r>
        <w:rPr>
          <w:rFonts w:hint="eastAsia" w:ascii="黑体" w:hAnsi="宋体" w:eastAsia="黑体"/>
          <w:sz w:val="24"/>
        </w:rPr>
        <w:t>1. 通用条款说明</w:t>
      </w:r>
    </w:p>
    <w:p w14:paraId="0B169B08">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57" w:name="_Hlk72399729"/>
      <w:r>
        <w:rPr>
          <w:rFonts w:hint="eastAsia" w:ascii="宋体" w:hAnsi="宋体"/>
          <w:szCs w:val="21"/>
        </w:rPr>
        <w:t>如有需要，政府集中采购机构可以对通用条款的内容进行补充。</w:t>
      </w:r>
      <w:bookmarkEnd w:id="57"/>
    </w:p>
    <w:p w14:paraId="13252FB9">
      <w:pPr>
        <w:ind w:firstLine="411" w:firstLineChars="196"/>
        <w:rPr>
          <w:rFonts w:ascii="宋体" w:hAnsi="宋体"/>
          <w:szCs w:val="21"/>
        </w:rPr>
      </w:pPr>
      <w:r>
        <w:rPr>
          <w:rFonts w:hint="eastAsia" w:ascii="宋体" w:hAnsi="宋体"/>
          <w:szCs w:val="21"/>
        </w:rPr>
        <w:t>1.2招标文件分为第一册“专用条款”和第二册“通用条款”。</w:t>
      </w:r>
    </w:p>
    <w:p w14:paraId="724246C8">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w:t>
      </w:r>
      <w:r>
        <w:rPr>
          <w:rFonts w:hint="eastAsia"/>
        </w:rPr>
        <w:t>投标文件组成要求及格式</w:t>
      </w:r>
      <w:r>
        <w:rPr>
          <w:rFonts w:hint="eastAsia" w:ascii="宋体" w:hAnsi="宋体"/>
          <w:szCs w:val="21"/>
        </w:rPr>
        <w:t>、合同条款及格式等内容。</w:t>
      </w:r>
    </w:p>
    <w:p w14:paraId="58918F44">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612629D6">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1A3C29A9">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5C8AA4D3">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1FC64806">
      <w:pPr>
        <w:rPr>
          <w:rFonts w:ascii="黑体" w:hAnsi="宋体" w:eastAsia="黑体"/>
          <w:sz w:val="24"/>
        </w:rPr>
      </w:pPr>
      <w:r>
        <w:rPr>
          <w:rFonts w:hint="eastAsia" w:ascii="黑体" w:hAnsi="宋体" w:eastAsia="黑体"/>
          <w:sz w:val="24"/>
        </w:rPr>
        <w:t>3．定义</w:t>
      </w:r>
    </w:p>
    <w:p w14:paraId="13642DFE">
      <w:pPr>
        <w:ind w:firstLine="420" w:firstLineChars="200"/>
        <w:rPr>
          <w:rFonts w:ascii="宋体" w:hAnsi="宋体"/>
          <w:szCs w:val="21"/>
        </w:rPr>
      </w:pPr>
      <w:r>
        <w:rPr>
          <w:rFonts w:ascii="宋体" w:hAnsi="宋体"/>
          <w:szCs w:val="21"/>
        </w:rPr>
        <w:t>招标文件中下列术语应解释为：</w:t>
      </w:r>
    </w:p>
    <w:p w14:paraId="4ED87742">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43321B76">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3E6CC16A">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0EA4FD23">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26B99871">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35B698D3">
      <w:pPr>
        <w:ind w:firstLine="411" w:firstLineChars="196"/>
        <w:rPr>
          <w:rFonts w:ascii="宋体" w:hAnsi="宋体"/>
          <w:szCs w:val="21"/>
        </w:rPr>
      </w:pPr>
      <w:r>
        <w:rPr>
          <w:rFonts w:hint="eastAsia" w:ascii="宋体" w:hAnsi="宋体"/>
          <w:szCs w:val="21"/>
        </w:rPr>
        <w:t>3.6“合同”指由本次招标所产生的合同或合约文件；</w:t>
      </w:r>
    </w:p>
    <w:p w14:paraId="7EAF3EA3">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3E86BE9A">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6B65751A">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3668677D">
      <w:pPr>
        <w:rPr>
          <w:rFonts w:ascii="黑体" w:hAnsi="宋体" w:eastAsia="黑体"/>
          <w:sz w:val="24"/>
        </w:rPr>
      </w:pPr>
      <w:r>
        <w:rPr>
          <w:rFonts w:hint="eastAsia" w:ascii="黑体" w:hAnsi="宋体" w:eastAsia="黑体"/>
          <w:sz w:val="24"/>
        </w:rPr>
        <w:t xml:space="preserve">4. </w:t>
      </w:r>
      <w:bookmarkStart w:id="58" w:name="_Hlk72398643"/>
      <w:r>
        <w:rPr>
          <w:rFonts w:hint="eastAsia" w:ascii="黑体" w:hAnsi="宋体" w:eastAsia="黑体"/>
          <w:sz w:val="24"/>
        </w:rPr>
        <w:t>政府采购供应商责任</w:t>
      </w:r>
    </w:p>
    <w:p w14:paraId="43805B2B">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058B2953">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61360836">
      <w:pPr>
        <w:rPr>
          <w:rFonts w:ascii="黑体" w:hAnsi="宋体" w:eastAsia="黑体"/>
          <w:sz w:val="24"/>
        </w:rPr>
      </w:pPr>
      <w:r>
        <w:rPr>
          <w:rFonts w:hint="eastAsia" w:ascii="黑体" w:hAnsi="宋体" w:eastAsia="黑体"/>
          <w:sz w:val="24"/>
        </w:rPr>
        <w:t>5．投标人参加政府采购的条件</w:t>
      </w:r>
    </w:p>
    <w:p w14:paraId="0A5FA90B">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p>
    <w:p w14:paraId="27B11DFA">
      <w:pPr>
        <w:ind w:firstLine="411" w:firstLineChars="196"/>
        <w:rPr>
          <w:rFonts w:ascii="宋体" w:hAnsi="宋体"/>
          <w:szCs w:val="21"/>
        </w:rPr>
      </w:pPr>
      <w:r>
        <w:rPr>
          <w:rFonts w:hint="eastAsia" w:ascii="宋体" w:hAnsi="宋体"/>
          <w:szCs w:val="21"/>
        </w:rPr>
        <w:t>5.2投标人资格要求</w:t>
      </w:r>
    </w:p>
    <w:p w14:paraId="7CAE08EF">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484C2426">
      <w:pPr>
        <w:ind w:firstLine="411" w:firstLineChars="196"/>
        <w:rPr>
          <w:rFonts w:ascii="宋体" w:hAnsi="宋体"/>
          <w:szCs w:val="21"/>
        </w:rPr>
      </w:pPr>
      <w:r>
        <w:rPr>
          <w:rFonts w:hint="eastAsia" w:ascii="宋体" w:hAnsi="宋体"/>
          <w:szCs w:val="21"/>
        </w:rPr>
        <w:t>5.3联合体投标</w:t>
      </w:r>
    </w:p>
    <w:p w14:paraId="32B8EADE">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2B946C19">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75FCE2C6">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443B54CD">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4732A12A">
      <w:pPr>
        <w:ind w:left="420" w:firstLine="411" w:firstLineChars="196"/>
        <w:rPr>
          <w:rFonts w:ascii="宋体" w:hAnsi="宋体"/>
        </w:rPr>
      </w:pPr>
      <w:r>
        <w:rPr>
          <w:rFonts w:hint="eastAsia" w:ascii="宋体" w:hAnsi="宋体"/>
        </w:rPr>
        <w:t>2</w:t>
      </w:r>
      <w:r>
        <w:rPr>
          <w:rFonts w:hint="eastAsia" w:ascii="宋体" w:hAnsi="宋体"/>
          <w:lang w:val="en-US" w:eastAsia="zh-CN"/>
        </w:rPr>
        <w:t>.</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76415C72">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1194C09C">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1B25B07C">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1F7724C7">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6FFC53B9">
      <w:pPr>
        <w:ind w:firstLine="411" w:firstLineChars="196"/>
        <w:rPr>
          <w:rFonts w:ascii="宋体" w:hAnsi="宋体"/>
        </w:rPr>
      </w:pPr>
      <w:r>
        <w:rPr>
          <w:rFonts w:hint="eastAsia" w:ascii="宋体" w:hAnsi="宋体"/>
        </w:rPr>
        <w:t>（2）在投标截止前，投标联合体各方均应注册成</w:t>
      </w:r>
      <w:r>
        <w:rPr>
          <w:rFonts w:hint="eastAsia" w:ascii="宋体" w:hAnsi="宋体"/>
          <w:lang w:eastAsia="zh-CN"/>
        </w:rPr>
        <w:t>为</w:t>
      </w:r>
      <w:r>
        <w:rPr>
          <w:rFonts w:hint="eastAsia" w:ascii="宋体" w:hAnsi="宋体"/>
        </w:rPr>
        <w:t>政府集中采购机构供应商；</w:t>
      </w:r>
    </w:p>
    <w:p w14:paraId="5C7B092F">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5DF7260F">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34FE6582">
      <w:pPr>
        <w:ind w:firstLine="411" w:firstLineChars="196"/>
        <w:rPr>
          <w:rFonts w:ascii="宋体" w:hAnsi="宋体"/>
        </w:rPr>
      </w:pPr>
      <w:r>
        <w:rPr>
          <w:rFonts w:hint="eastAsia" w:ascii="宋体" w:hAnsi="宋体"/>
        </w:rPr>
        <w:t>（5）投标人的投标文件及中标后签署的合同协议对联合体各方均具</w:t>
      </w:r>
      <w:r>
        <w:rPr>
          <w:rFonts w:hint="eastAsia" w:ascii="宋体" w:hAnsi="宋体"/>
          <w:lang w:eastAsia="zh-CN"/>
        </w:rPr>
        <w:t>有</w:t>
      </w:r>
      <w:r>
        <w:rPr>
          <w:rFonts w:hint="eastAsia" w:ascii="宋体" w:hAnsi="宋体"/>
        </w:rPr>
        <w:t>法律约束力；</w:t>
      </w:r>
    </w:p>
    <w:p w14:paraId="0BFFD27C">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0C60B112">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750C4245">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227FE0C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74099FF0">
      <w:pPr>
        <w:rPr>
          <w:rFonts w:ascii="黑体" w:hAnsi="宋体" w:eastAsia="黑体"/>
          <w:sz w:val="24"/>
        </w:rPr>
      </w:pPr>
      <w:r>
        <w:rPr>
          <w:rFonts w:hint="eastAsia" w:ascii="黑体" w:hAnsi="宋体" w:eastAsia="黑体"/>
          <w:sz w:val="24"/>
        </w:rPr>
        <w:t>6．政策导向</w:t>
      </w:r>
    </w:p>
    <w:p w14:paraId="2C0C068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049C8CB8">
      <w:pPr>
        <w:ind w:firstLine="405"/>
        <w:rPr>
          <w:rFonts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0E562A96">
      <w:pPr>
        <w:ind w:firstLine="405"/>
      </w:pPr>
      <w:r>
        <w:rPr>
          <w:rFonts w:hint="eastAsia" w:ascii="宋体" w:hAnsi="宋体"/>
        </w:rPr>
        <w:t>6.3  本项目支持投标人性别平等的相关政策。</w:t>
      </w:r>
    </w:p>
    <w:p w14:paraId="7914A704">
      <w:pPr>
        <w:rPr>
          <w:rFonts w:ascii="黑体" w:hAnsi="宋体" w:eastAsia="黑体"/>
          <w:sz w:val="24"/>
        </w:rPr>
      </w:pPr>
      <w:r>
        <w:rPr>
          <w:rFonts w:hint="eastAsia" w:ascii="黑体" w:hAnsi="宋体" w:eastAsia="黑体"/>
          <w:sz w:val="24"/>
        </w:rPr>
        <w:t>7. 本项目若涉及采购货物，则合格的货物及相应服务应满足以下要求：</w:t>
      </w:r>
    </w:p>
    <w:p w14:paraId="1A042F9B">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37FEC3CF">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39DDBADE">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DB96751">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59"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9"/>
    </w:p>
    <w:p w14:paraId="1BA32790">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301E8CA">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7064B8DD">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0B71F871">
      <w:pPr>
        <w:rPr>
          <w:rFonts w:ascii="黑体" w:hAnsi="宋体" w:eastAsia="黑体"/>
          <w:sz w:val="24"/>
        </w:rPr>
      </w:pPr>
      <w:r>
        <w:rPr>
          <w:rFonts w:hint="eastAsia" w:ascii="黑体" w:hAnsi="宋体" w:eastAsia="黑体"/>
          <w:sz w:val="24"/>
        </w:rPr>
        <w:t>8．投标费用</w:t>
      </w:r>
    </w:p>
    <w:p w14:paraId="50967539">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786B53C3">
      <w:pPr>
        <w:rPr>
          <w:rFonts w:ascii="黑体" w:hAnsi="宋体" w:eastAsia="黑体"/>
          <w:sz w:val="24"/>
        </w:rPr>
      </w:pPr>
      <w:r>
        <w:rPr>
          <w:rFonts w:hint="eastAsia" w:ascii="黑体" w:hAnsi="宋体" w:eastAsia="黑体"/>
          <w:sz w:val="24"/>
        </w:rPr>
        <w:t>9．踏勘现场</w:t>
      </w:r>
    </w:p>
    <w:p w14:paraId="3FF0C2EA">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D2C0ADD">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7FD3E4D8">
      <w:pPr>
        <w:ind w:firstLine="411" w:firstLineChars="196"/>
        <w:rPr>
          <w:rFonts w:ascii="宋体" w:hAnsi="宋体"/>
        </w:rPr>
      </w:pPr>
      <w:r>
        <w:rPr>
          <w:rFonts w:hint="eastAsia" w:ascii="宋体" w:hAnsi="宋体"/>
        </w:rPr>
        <w:t>9.3采购人应当通过政府集中采购机构向投标人提供有关现场的书面资料和数据。</w:t>
      </w:r>
    </w:p>
    <w:p w14:paraId="4FF4794C">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1E40467A">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197E9F32">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75C0BD41">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52EAE336">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62F3F040">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58"/>
    <w:p w14:paraId="7F93ACB5">
      <w:pPr>
        <w:ind w:firstLine="411" w:firstLineChars="196"/>
        <w:rPr>
          <w:rFonts w:ascii="宋体" w:hAnsi="宋体"/>
        </w:rPr>
      </w:pPr>
    </w:p>
    <w:p w14:paraId="55F395D1">
      <w:pPr>
        <w:pStyle w:val="3"/>
        <w:numPr>
          <w:ilvl w:val="0"/>
          <w:numId w:val="11"/>
        </w:numPr>
        <w:spacing w:before="120" w:beforeLines="50" w:after="120" w:afterLines="50"/>
        <w:ind w:left="562" w:hanging="562"/>
        <w:rPr>
          <w:sz w:val="28"/>
          <w:szCs w:val="28"/>
        </w:rPr>
      </w:pPr>
      <w:r>
        <w:rPr>
          <w:rFonts w:hint="eastAsia"/>
          <w:sz w:val="28"/>
          <w:szCs w:val="28"/>
        </w:rPr>
        <w:t>招标文件</w:t>
      </w:r>
    </w:p>
    <w:p w14:paraId="77E972DC">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60" w:name="_Hlk72399819"/>
      <w:r>
        <w:rPr>
          <w:rFonts w:hint="eastAsia" w:ascii="黑体" w:hAnsi="宋体" w:eastAsia="黑体"/>
          <w:sz w:val="24"/>
        </w:rPr>
        <w:t>招标文件的编制与组成</w:t>
      </w:r>
    </w:p>
    <w:p w14:paraId="2FAEB9AD">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07129901">
      <w:pPr>
        <w:ind w:firstLine="411" w:firstLineChars="196"/>
        <w:rPr>
          <w:rFonts w:ascii="宋体" w:hAnsi="宋体"/>
          <w:szCs w:val="21"/>
        </w:rPr>
      </w:pPr>
      <w:r>
        <w:rPr>
          <w:rFonts w:hint="eastAsia" w:ascii="宋体" w:hAnsi="宋体"/>
          <w:szCs w:val="21"/>
        </w:rPr>
        <w:t>招标文件包括下列内容：</w:t>
      </w:r>
    </w:p>
    <w:p w14:paraId="50929D0E">
      <w:pPr>
        <w:ind w:left="420" w:leftChars="200" w:firstLine="413" w:firstLineChars="196"/>
        <w:rPr>
          <w:rFonts w:ascii="宋体" w:hAnsi="宋体"/>
          <w:b/>
          <w:szCs w:val="21"/>
        </w:rPr>
      </w:pPr>
      <w:r>
        <w:rPr>
          <w:rFonts w:hint="eastAsia" w:ascii="宋体" w:hAnsi="宋体"/>
          <w:b/>
          <w:szCs w:val="21"/>
        </w:rPr>
        <w:t>第一册  专用条款</w:t>
      </w:r>
    </w:p>
    <w:p w14:paraId="600A6209">
      <w:pPr>
        <w:ind w:left="1079" w:leftChars="514"/>
        <w:rPr>
          <w:rFonts w:ascii="宋体" w:hAnsi="宋体"/>
          <w:b/>
          <w:szCs w:val="21"/>
        </w:rPr>
      </w:pPr>
      <w:r>
        <w:rPr>
          <w:rFonts w:hint="eastAsia" w:ascii="宋体" w:hAnsi="宋体"/>
          <w:b/>
          <w:szCs w:val="21"/>
        </w:rPr>
        <w:t>关键信息</w:t>
      </w:r>
    </w:p>
    <w:p w14:paraId="78E884E0">
      <w:pPr>
        <w:ind w:left="630" w:leftChars="300" w:firstLine="411" w:firstLineChars="196"/>
        <w:rPr>
          <w:rFonts w:ascii="宋体" w:hAnsi="宋体"/>
          <w:szCs w:val="21"/>
        </w:rPr>
      </w:pPr>
      <w:r>
        <w:rPr>
          <w:rFonts w:hint="eastAsia" w:ascii="宋体" w:hAnsi="宋体"/>
          <w:szCs w:val="21"/>
        </w:rPr>
        <w:t>第一章  招标公告</w:t>
      </w:r>
    </w:p>
    <w:p w14:paraId="08177527">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B5B277E">
      <w:pPr>
        <w:ind w:left="630" w:leftChars="300" w:firstLine="411" w:firstLineChars="196"/>
        <w:rPr>
          <w:rFonts w:ascii="宋体" w:hAnsi="宋体"/>
          <w:szCs w:val="21"/>
        </w:rPr>
      </w:pPr>
      <w:r>
        <w:rPr>
          <w:rFonts w:hint="eastAsia" w:ascii="宋体" w:hAnsi="宋体"/>
          <w:szCs w:val="21"/>
        </w:rPr>
        <w:t>第三章  用户需求书</w:t>
      </w:r>
    </w:p>
    <w:p w14:paraId="47CB7F63">
      <w:pPr>
        <w:ind w:left="630" w:leftChars="300" w:firstLine="411" w:firstLineChars="196"/>
        <w:rPr>
          <w:rFonts w:ascii="宋体" w:hAnsi="宋体"/>
          <w:szCs w:val="21"/>
        </w:rPr>
      </w:pPr>
      <w:r>
        <w:rPr>
          <w:rFonts w:hint="eastAsia"/>
        </w:rPr>
        <w:t xml:space="preserve">第四章 </w:t>
      </w:r>
      <w:r>
        <w:t xml:space="preserve"> </w:t>
      </w:r>
      <w:r>
        <w:rPr>
          <w:rFonts w:hint="eastAsia"/>
        </w:rPr>
        <w:t>投标文件组成要求及格式</w:t>
      </w:r>
    </w:p>
    <w:p w14:paraId="0F87629E">
      <w:pPr>
        <w:ind w:left="630" w:leftChars="300" w:firstLine="411" w:firstLineChars="196"/>
        <w:rPr>
          <w:rFonts w:ascii="宋体" w:hAnsi="宋体"/>
          <w:szCs w:val="21"/>
        </w:rPr>
      </w:pPr>
      <w:r>
        <w:rPr>
          <w:rFonts w:hint="eastAsia" w:ascii="宋体" w:hAnsi="宋体"/>
          <w:szCs w:val="21"/>
        </w:rPr>
        <w:t>第五章  合同条款及格式</w:t>
      </w:r>
    </w:p>
    <w:p w14:paraId="78618CD5">
      <w:pPr>
        <w:ind w:left="420" w:leftChars="200" w:firstLine="413" w:firstLineChars="196"/>
        <w:rPr>
          <w:rFonts w:ascii="宋体" w:hAnsi="宋体"/>
          <w:b/>
          <w:szCs w:val="21"/>
        </w:rPr>
      </w:pPr>
      <w:r>
        <w:rPr>
          <w:rFonts w:hint="eastAsia" w:ascii="宋体" w:hAnsi="宋体"/>
          <w:b/>
          <w:szCs w:val="21"/>
        </w:rPr>
        <w:t>第二册  通用条款</w:t>
      </w:r>
    </w:p>
    <w:p w14:paraId="2079FD15">
      <w:pPr>
        <w:ind w:left="630" w:leftChars="300" w:firstLine="411" w:firstLineChars="196"/>
        <w:rPr>
          <w:rFonts w:ascii="宋体" w:hAnsi="宋体"/>
          <w:szCs w:val="21"/>
        </w:rPr>
      </w:pPr>
      <w:r>
        <w:rPr>
          <w:rFonts w:hint="eastAsia" w:ascii="宋体" w:hAnsi="宋体"/>
          <w:szCs w:val="21"/>
        </w:rPr>
        <w:t>第一章  总则</w:t>
      </w:r>
    </w:p>
    <w:p w14:paraId="577682FF">
      <w:pPr>
        <w:ind w:left="630" w:leftChars="300" w:firstLine="411" w:firstLineChars="196"/>
        <w:rPr>
          <w:rFonts w:ascii="宋体" w:hAnsi="宋体"/>
          <w:szCs w:val="21"/>
        </w:rPr>
      </w:pPr>
      <w:r>
        <w:rPr>
          <w:rFonts w:hint="eastAsia" w:ascii="宋体" w:hAnsi="宋体"/>
          <w:szCs w:val="21"/>
        </w:rPr>
        <w:t>第二章  招标文件</w:t>
      </w:r>
    </w:p>
    <w:p w14:paraId="04FBCD41">
      <w:pPr>
        <w:ind w:left="630" w:leftChars="300" w:firstLine="411" w:firstLineChars="196"/>
        <w:rPr>
          <w:rFonts w:ascii="宋体" w:hAnsi="宋体"/>
          <w:szCs w:val="21"/>
        </w:rPr>
      </w:pPr>
      <w:r>
        <w:rPr>
          <w:rFonts w:hint="eastAsia" w:ascii="宋体" w:hAnsi="宋体"/>
          <w:szCs w:val="21"/>
        </w:rPr>
        <w:t>第三章  投标文件的编制</w:t>
      </w:r>
    </w:p>
    <w:p w14:paraId="4A241290">
      <w:pPr>
        <w:ind w:left="630" w:leftChars="300" w:firstLine="411" w:firstLineChars="196"/>
        <w:rPr>
          <w:rFonts w:ascii="宋体" w:hAnsi="宋体"/>
          <w:szCs w:val="21"/>
        </w:rPr>
      </w:pPr>
      <w:r>
        <w:rPr>
          <w:rFonts w:hint="eastAsia" w:ascii="宋体" w:hAnsi="宋体"/>
          <w:szCs w:val="21"/>
        </w:rPr>
        <w:t>第四章  投标文件的递交</w:t>
      </w:r>
    </w:p>
    <w:p w14:paraId="465729B2">
      <w:pPr>
        <w:ind w:left="630" w:leftChars="300" w:firstLine="411" w:firstLineChars="196"/>
        <w:rPr>
          <w:rFonts w:ascii="宋体" w:hAnsi="宋体"/>
          <w:szCs w:val="21"/>
        </w:rPr>
      </w:pPr>
      <w:r>
        <w:rPr>
          <w:rFonts w:hint="eastAsia" w:ascii="宋体" w:hAnsi="宋体"/>
          <w:szCs w:val="21"/>
        </w:rPr>
        <w:t>第五章  开标</w:t>
      </w:r>
    </w:p>
    <w:p w14:paraId="67D76912">
      <w:pPr>
        <w:ind w:left="630" w:leftChars="300" w:firstLine="411" w:firstLineChars="196"/>
        <w:rPr>
          <w:rFonts w:ascii="宋体" w:hAnsi="宋体"/>
          <w:szCs w:val="21"/>
        </w:rPr>
      </w:pPr>
      <w:r>
        <w:rPr>
          <w:rFonts w:hint="eastAsia" w:ascii="宋体" w:hAnsi="宋体"/>
          <w:szCs w:val="21"/>
        </w:rPr>
        <w:t>第六章  评审要求</w:t>
      </w:r>
    </w:p>
    <w:p w14:paraId="07D88CEE">
      <w:pPr>
        <w:ind w:left="630" w:leftChars="300" w:firstLine="411" w:firstLineChars="196"/>
        <w:rPr>
          <w:rFonts w:ascii="宋体" w:hAnsi="宋体"/>
          <w:szCs w:val="21"/>
        </w:rPr>
      </w:pPr>
      <w:r>
        <w:rPr>
          <w:rFonts w:hint="eastAsia" w:ascii="宋体" w:hAnsi="宋体"/>
          <w:szCs w:val="21"/>
        </w:rPr>
        <w:t>第七章  评审程序及评审方法</w:t>
      </w:r>
    </w:p>
    <w:p w14:paraId="2411F1C9">
      <w:pPr>
        <w:ind w:left="630" w:leftChars="300" w:firstLine="411" w:firstLineChars="196"/>
        <w:rPr>
          <w:rFonts w:ascii="宋体" w:hAnsi="宋体"/>
          <w:szCs w:val="21"/>
        </w:rPr>
      </w:pPr>
      <w:r>
        <w:rPr>
          <w:rFonts w:hint="eastAsia" w:ascii="宋体" w:hAnsi="宋体"/>
          <w:szCs w:val="21"/>
        </w:rPr>
        <w:t>第八章  定标及公示</w:t>
      </w:r>
    </w:p>
    <w:p w14:paraId="188BBE7E">
      <w:pPr>
        <w:ind w:left="630" w:leftChars="300" w:firstLine="411" w:firstLineChars="196"/>
        <w:rPr>
          <w:rFonts w:ascii="宋体" w:hAnsi="宋体"/>
          <w:szCs w:val="21"/>
        </w:rPr>
      </w:pPr>
      <w:r>
        <w:rPr>
          <w:rFonts w:hint="eastAsia" w:ascii="宋体" w:hAnsi="宋体"/>
          <w:szCs w:val="21"/>
        </w:rPr>
        <w:t>第九章  公开招标失败的后续处理</w:t>
      </w:r>
    </w:p>
    <w:p w14:paraId="213C52F5">
      <w:pPr>
        <w:ind w:left="630" w:leftChars="300" w:firstLine="411" w:firstLineChars="196"/>
        <w:rPr>
          <w:rFonts w:ascii="宋体" w:hAnsi="宋体"/>
          <w:szCs w:val="21"/>
        </w:rPr>
      </w:pPr>
      <w:r>
        <w:rPr>
          <w:rFonts w:hint="eastAsia" w:ascii="宋体" w:hAnsi="宋体"/>
          <w:szCs w:val="21"/>
        </w:rPr>
        <w:t>第十章  合同的授予与备案</w:t>
      </w:r>
    </w:p>
    <w:p w14:paraId="4AF83A89">
      <w:pPr>
        <w:ind w:left="630" w:leftChars="300" w:firstLine="411" w:firstLineChars="196"/>
        <w:rPr>
          <w:rFonts w:ascii="宋体" w:hAnsi="宋体"/>
          <w:szCs w:val="21"/>
        </w:rPr>
      </w:pPr>
      <w:r>
        <w:rPr>
          <w:rFonts w:hint="eastAsia" w:ascii="宋体" w:hAnsi="宋体"/>
          <w:szCs w:val="21"/>
        </w:rPr>
        <w:t>第十一章  质疑处理</w:t>
      </w:r>
    </w:p>
    <w:p w14:paraId="35918C1D">
      <w:pPr>
        <w:ind w:firstLine="411" w:firstLineChars="196"/>
        <w:rPr>
          <w:rFonts w:ascii="宋体" w:hAnsi="宋体"/>
          <w:color w:val="auto"/>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auto"/>
          <w:szCs w:val="21"/>
        </w:rPr>
        <w:t>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3914799F">
      <w:pPr>
        <w:ind w:firstLine="411" w:firstLineChars="196"/>
        <w:rPr>
          <w:rFonts w:ascii="宋体" w:hAnsi="宋体"/>
          <w:color w:val="auto"/>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.3</w:t>
      </w:r>
      <w:r>
        <w:rPr>
          <w:rFonts w:hint="eastAsia" w:ascii="宋体" w:hAnsi="宋体"/>
          <w:color w:val="auto"/>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0E527353">
      <w:pPr>
        <w:pStyle w:val="18"/>
        <w:ind w:firstLine="420" w:firstLineChars="200"/>
        <w:rPr>
          <w:rFonts w:ascii="宋体" w:hAnsi="宋体"/>
          <w:b w:val="0"/>
          <w:bCs w:val="0"/>
          <w:color w:val="auto"/>
          <w:sz w:val="21"/>
        </w:rPr>
      </w:pPr>
      <w:r>
        <w:rPr>
          <w:rFonts w:hint="eastAsia" w:ascii="宋体" w:hAnsi="宋体"/>
          <w:b w:val="0"/>
          <w:bCs w:val="0"/>
          <w:color w:val="auto"/>
          <w:sz w:val="21"/>
        </w:rPr>
        <w:t>11.4招标文件所称“原件备查”，是指在项目产生质疑、投诉等阶段，主管部门、采购人、代理机构、评审委员会等可以要求供应商提供原件进行核查。</w:t>
      </w:r>
    </w:p>
    <w:p w14:paraId="72343315">
      <w:pPr>
        <w:rPr>
          <w:rFonts w:ascii="黑体" w:hAnsi="宋体" w:eastAsia="黑体"/>
          <w:color w:val="auto"/>
          <w:sz w:val="24"/>
        </w:rPr>
      </w:pPr>
      <w:r>
        <w:rPr>
          <w:rFonts w:hint="eastAsia" w:ascii="黑体" w:hAnsi="宋体" w:eastAsia="黑体"/>
          <w:color w:val="auto"/>
          <w:sz w:val="24"/>
        </w:rPr>
        <w:t>1</w:t>
      </w:r>
      <w:r>
        <w:rPr>
          <w:rFonts w:ascii="黑体" w:hAnsi="宋体" w:eastAsia="黑体"/>
          <w:color w:val="auto"/>
          <w:sz w:val="24"/>
        </w:rPr>
        <w:t>2</w:t>
      </w:r>
      <w:r>
        <w:rPr>
          <w:rFonts w:hint="eastAsia" w:ascii="黑体" w:hAnsi="宋体" w:eastAsia="黑体"/>
          <w:color w:val="auto"/>
          <w:sz w:val="24"/>
        </w:rPr>
        <w:t>．招标文件的澄清</w:t>
      </w:r>
    </w:p>
    <w:p w14:paraId="07AD2FA4">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.1招标文件澄清的目的是澄清、解答投标人在查阅招标文件后或现场踏勘中可能提出的与投标有关的疑问或询问。</w:t>
      </w:r>
    </w:p>
    <w:p w14:paraId="345A868B">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.2投标人如对招标文件内容有疑问，应当在招标公告规定的澄清（提问）截止时间前以网上提问的形式通过网上政府采购系统提交政府集中采购机构。</w:t>
      </w:r>
    </w:p>
    <w:p w14:paraId="1AD384A9">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color w:val="auto"/>
          <w:szCs w:val="21"/>
        </w:rPr>
        <w:t>3.3</w:t>
      </w:r>
      <w:r>
        <w:rPr>
          <w:rFonts w:hint="eastAsia" w:ascii="宋体" w:hAnsi="宋体"/>
          <w:color w:val="auto"/>
          <w:szCs w:val="21"/>
        </w:rPr>
        <w:t>、1</w:t>
      </w:r>
      <w:r>
        <w:rPr>
          <w:rFonts w:ascii="宋体" w:hAnsi="宋体"/>
          <w:color w:val="auto"/>
          <w:szCs w:val="21"/>
        </w:rPr>
        <w:t>3.4</w:t>
      </w:r>
      <w:r>
        <w:rPr>
          <w:rFonts w:hint="eastAsia" w:ascii="宋体" w:hAnsi="宋体"/>
          <w:color w:val="auto"/>
          <w:szCs w:val="21"/>
        </w:rPr>
        <w:t>款规定执行。</w:t>
      </w:r>
    </w:p>
    <w:p w14:paraId="751EF0AA">
      <w:pPr>
        <w:rPr>
          <w:rFonts w:ascii="黑体" w:hAnsi="宋体" w:eastAsia="黑体"/>
          <w:color w:val="auto"/>
          <w:sz w:val="24"/>
        </w:rPr>
      </w:pPr>
      <w:r>
        <w:rPr>
          <w:rFonts w:ascii="黑体" w:hAnsi="宋体" w:eastAsia="黑体"/>
          <w:color w:val="auto"/>
          <w:sz w:val="24"/>
        </w:rPr>
        <w:t>1</w:t>
      </w:r>
      <w:r>
        <w:rPr>
          <w:rFonts w:hint="eastAsia" w:ascii="黑体" w:hAnsi="宋体" w:eastAsia="黑体"/>
          <w:color w:val="auto"/>
          <w:sz w:val="24"/>
        </w:rPr>
        <w:t>3．招标文件的修改</w:t>
      </w:r>
    </w:p>
    <w:p w14:paraId="4A64C9E4">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3.1招标文件发出后，在投标截止日期前任何时候，确需要变更招标文件内容的，政府集中采购机构可主动或在解答投标人提出的澄清问题时对招标文件进行修改。</w:t>
      </w:r>
    </w:p>
    <w:p w14:paraId="766B0CBA">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3.2招标文件的修改以书面形式（包括政府集中采购机构网站发布方式，如更正公告等）发送给所有投标人，招标文件的修改内容作为招标文件的组成部分，并具有约束力。</w:t>
      </w:r>
    </w:p>
    <w:p w14:paraId="67238B4F">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04122E01">
      <w:pPr>
        <w:ind w:firstLine="411" w:firstLineChars="196"/>
        <w:rPr>
          <w:rFonts w:ascii="宋体" w:hAnsi="宋体"/>
          <w:szCs w:val="21"/>
        </w:rPr>
      </w:pPr>
      <w:r>
        <w:rPr>
          <w:rFonts w:ascii="宋体" w:hAnsi="宋体"/>
          <w:color w:val="auto"/>
          <w:szCs w:val="21"/>
        </w:rPr>
        <w:t>1</w:t>
      </w:r>
      <w:r>
        <w:rPr>
          <w:rFonts w:hint="eastAsia" w:ascii="宋体" w:hAnsi="宋体"/>
          <w:color w:val="auto"/>
          <w:szCs w:val="21"/>
        </w:rPr>
        <w:t>3.4政府集中采购机构保证招标文件澄清答复内容和招标文件</w:t>
      </w:r>
      <w:r>
        <w:rPr>
          <w:rFonts w:hint="eastAsia" w:ascii="宋体" w:hAnsi="宋体"/>
          <w:szCs w:val="21"/>
        </w:rPr>
        <w:t>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60"/>
    </w:p>
    <w:p w14:paraId="0A41F19A">
      <w:pPr>
        <w:rPr>
          <w:rFonts w:ascii="宋体" w:hAnsi="宋体"/>
          <w:szCs w:val="21"/>
        </w:rPr>
      </w:pPr>
    </w:p>
    <w:p w14:paraId="30D16E12">
      <w:pPr>
        <w:pStyle w:val="3"/>
        <w:numPr>
          <w:ilvl w:val="0"/>
          <w:numId w:val="11"/>
        </w:numPr>
        <w:spacing w:before="120" w:beforeLines="50" w:after="120" w:afterLines="50"/>
        <w:ind w:left="562" w:hanging="562"/>
        <w:rPr>
          <w:sz w:val="28"/>
          <w:szCs w:val="28"/>
        </w:rPr>
      </w:pPr>
      <w:r>
        <w:rPr>
          <w:rFonts w:hint="eastAsia"/>
          <w:sz w:val="28"/>
          <w:szCs w:val="28"/>
        </w:rPr>
        <w:t>投标文件的编制</w:t>
      </w:r>
    </w:p>
    <w:p w14:paraId="673F0B67">
      <w:pPr>
        <w:rPr>
          <w:rFonts w:ascii="黑体" w:hAnsi="宋体" w:eastAsia="黑体"/>
          <w:sz w:val="24"/>
        </w:rPr>
      </w:pPr>
      <w:r>
        <w:rPr>
          <w:rFonts w:hint="eastAsia" w:ascii="黑体" w:hAnsi="宋体" w:eastAsia="黑体"/>
          <w:sz w:val="24"/>
        </w:rPr>
        <w:t>14．</w:t>
      </w:r>
      <w:bookmarkStart w:id="61" w:name="_Hlk72400236"/>
      <w:r>
        <w:rPr>
          <w:rFonts w:hint="eastAsia" w:ascii="黑体" w:hAnsi="宋体" w:eastAsia="黑体"/>
          <w:sz w:val="24"/>
        </w:rPr>
        <w:t>投标文件的语言及度量单位</w:t>
      </w:r>
    </w:p>
    <w:p w14:paraId="65F24746">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1DDAC324">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61"/>
    <w:p w14:paraId="33AC98BB">
      <w:pPr>
        <w:rPr>
          <w:rFonts w:ascii="黑体" w:hAnsi="宋体" w:eastAsia="黑体"/>
          <w:sz w:val="24"/>
        </w:rPr>
      </w:pPr>
      <w:r>
        <w:rPr>
          <w:rFonts w:hint="eastAsia" w:ascii="黑体" w:hAnsi="宋体" w:eastAsia="黑体"/>
          <w:sz w:val="24"/>
        </w:rPr>
        <w:t>15．</w:t>
      </w:r>
      <w:bookmarkStart w:id="62" w:name="_Hlk72401567"/>
      <w:r>
        <w:rPr>
          <w:rFonts w:hint="eastAsia" w:ascii="黑体" w:hAnsi="宋体" w:eastAsia="黑体"/>
          <w:sz w:val="24"/>
        </w:rPr>
        <w:t>投标文件的组成</w:t>
      </w:r>
    </w:p>
    <w:p w14:paraId="6F33DF27">
      <w:pPr>
        <w:ind w:firstLine="411" w:firstLineChars="196"/>
        <w:rPr>
          <w:rFonts w:ascii="宋体" w:hAnsi="宋体"/>
          <w:szCs w:val="21"/>
        </w:rPr>
      </w:pPr>
      <w:r>
        <w:rPr>
          <w:rFonts w:hint="eastAsia" w:ascii="宋体" w:hAnsi="宋体"/>
          <w:szCs w:val="21"/>
        </w:rPr>
        <w:t>具体内容在招标文件专用条款中进行规定。</w:t>
      </w:r>
    </w:p>
    <w:p w14:paraId="7D713F58">
      <w:pPr>
        <w:rPr>
          <w:rFonts w:ascii="黑体" w:hAnsi="宋体" w:eastAsia="黑体"/>
          <w:sz w:val="24"/>
        </w:rPr>
      </w:pPr>
      <w:r>
        <w:rPr>
          <w:rFonts w:ascii="黑体" w:hAnsi="宋体" w:eastAsia="黑体"/>
          <w:sz w:val="24"/>
        </w:rPr>
        <w:t>16．投标文件格式</w:t>
      </w:r>
    </w:p>
    <w:p w14:paraId="244CAE6F">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765D5FBB">
      <w:pPr>
        <w:rPr>
          <w:rFonts w:ascii="黑体" w:hAnsi="宋体" w:eastAsia="黑体"/>
          <w:sz w:val="24"/>
        </w:rPr>
      </w:pPr>
      <w:r>
        <w:rPr>
          <w:rFonts w:hint="eastAsia" w:ascii="黑体" w:hAnsi="宋体" w:eastAsia="黑体"/>
          <w:sz w:val="24"/>
        </w:rPr>
        <w:t>17．投标货币</w:t>
      </w:r>
    </w:p>
    <w:p w14:paraId="2AE3D34B">
      <w:pPr>
        <w:ind w:firstLine="411" w:firstLineChars="196"/>
        <w:rPr>
          <w:rFonts w:ascii="宋体" w:hAnsi="宋体"/>
          <w:szCs w:val="21"/>
        </w:rPr>
      </w:pPr>
      <w:r>
        <w:rPr>
          <w:rFonts w:hint="eastAsia" w:ascii="宋体" w:hAnsi="宋体"/>
          <w:szCs w:val="21"/>
        </w:rPr>
        <w:t>本项目的投标报价应以人民币计。</w:t>
      </w:r>
    </w:p>
    <w:bookmarkEnd w:id="62"/>
    <w:p w14:paraId="051CAA4A">
      <w:pPr>
        <w:rPr>
          <w:rFonts w:ascii="黑体" w:hAnsi="宋体" w:eastAsia="黑体"/>
          <w:sz w:val="24"/>
        </w:rPr>
      </w:pPr>
      <w:r>
        <w:rPr>
          <w:rFonts w:hint="eastAsia" w:ascii="黑体" w:hAnsi="宋体" w:eastAsia="黑体"/>
          <w:sz w:val="24"/>
        </w:rPr>
        <w:t>18．</w:t>
      </w:r>
      <w:bookmarkStart w:id="63" w:name="_Hlk72401735"/>
      <w:r>
        <w:rPr>
          <w:rFonts w:hint="eastAsia" w:ascii="黑体" w:hAnsi="宋体" w:eastAsia="黑体"/>
          <w:sz w:val="24"/>
        </w:rPr>
        <w:t>证明投标文件投标技术方案的合格性和符合招标文件规定的文件要求</w:t>
      </w:r>
    </w:p>
    <w:p w14:paraId="795D7F77">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5930AC82">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7C9C5E39">
      <w:pPr>
        <w:ind w:firstLine="411" w:firstLineChars="196"/>
        <w:rPr>
          <w:rFonts w:ascii="宋体" w:hAnsi="宋体"/>
          <w:szCs w:val="21"/>
        </w:rPr>
      </w:pPr>
      <w:r>
        <w:rPr>
          <w:rFonts w:hint="eastAsia" w:ascii="宋体" w:hAnsi="宋体"/>
          <w:szCs w:val="21"/>
        </w:rPr>
        <w:t>18.2.1主要技术指标和性能的详细说明。</w:t>
      </w:r>
    </w:p>
    <w:p w14:paraId="71B826A6">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1AAF872C">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8CA3FB1">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33AA91DF">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387B1DCF">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69262044">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0FDA6F7F">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63"/>
    <w:p w14:paraId="37F30299">
      <w:pPr>
        <w:rPr>
          <w:rFonts w:ascii="黑体" w:hAnsi="宋体" w:eastAsia="黑体"/>
          <w:sz w:val="24"/>
        </w:rPr>
      </w:pPr>
      <w:r>
        <w:rPr>
          <w:rFonts w:hint="eastAsia" w:ascii="黑体" w:hAnsi="宋体" w:eastAsia="黑体"/>
          <w:sz w:val="24"/>
        </w:rPr>
        <w:t>19．</w:t>
      </w:r>
      <w:bookmarkStart w:id="64" w:name="_Hlk72402034"/>
      <w:r>
        <w:rPr>
          <w:rFonts w:hint="eastAsia" w:ascii="黑体" w:hAnsi="宋体" w:eastAsia="黑体"/>
          <w:sz w:val="24"/>
        </w:rPr>
        <w:t>投标文件其他证明文件的要求</w:t>
      </w:r>
    </w:p>
    <w:p w14:paraId="2668BB29">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65" w:name="_Hlk71407299"/>
      <w:r>
        <w:rPr>
          <w:rFonts w:hint="eastAsia" w:ascii="宋体" w:hAnsi="宋体"/>
          <w:szCs w:val="21"/>
        </w:rPr>
        <w:t>若投标人未按要求提供证明材料或提供的是部分证明材料或提供不清晰的扫描件（或照片）的，采购人、代理机构</w:t>
      </w:r>
      <w:r>
        <w:rPr>
          <w:rFonts w:hint="eastAsia" w:ascii="宋体" w:hAnsi="宋体"/>
          <w:szCs w:val="21"/>
          <w:lang w:val="en-US" w:eastAsia="zh-CN"/>
        </w:rPr>
        <w:t>以</w:t>
      </w:r>
      <w:r>
        <w:rPr>
          <w:rFonts w:hint="eastAsia" w:ascii="宋体" w:hAnsi="宋体"/>
          <w:szCs w:val="21"/>
        </w:rPr>
        <w:t>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65"/>
    <w:p w14:paraId="7E5D65A8">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w:t>
      </w:r>
      <w:r>
        <w:rPr>
          <w:rFonts w:hint="eastAsia" w:ascii="宋体" w:hAnsi="宋体"/>
          <w:szCs w:val="21"/>
          <w:lang w:eastAsia="zh-CN"/>
        </w:rPr>
        <w:t>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26CE43B9">
      <w:pPr>
        <w:rPr>
          <w:rFonts w:ascii="黑体" w:hAnsi="宋体" w:eastAsia="黑体"/>
          <w:sz w:val="24"/>
        </w:rPr>
      </w:pPr>
      <w:r>
        <w:rPr>
          <w:rFonts w:hint="eastAsia" w:ascii="黑体" w:hAnsi="宋体" w:eastAsia="黑体"/>
          <w:sz w:val="24"/>
        </w:rPr>
        <w:t>20．投标有效期</w:t>
      </w:r>
    </w:p>
    <w:bookmarkEnd w:id="64"/>
    <w:p w14:paraId="1CDBF6A5">
      <w:pPr>
        <w:ind w:firstLine="411" w:firstLineChars="196"/>
        <w:rPr>
          <w:rFonts w:ascii="宋体" w:hAnsi="宋体"/>
          <w:szCs w:val="21"/>
        </w:rPr>
      </w:pPr>
      <w:bookmarkStart w:id="66"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7684E80D">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5F6BBE17">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66"/>
    <w:p w14:paraId="6A913830">
      <w:pPr>
        <w:rPr>
          <w:rFonts w:ascii="黑体" w:hAnsi="宋体" w:eastAsia="黑体"/>
          <w:sz w:val="24"/>
        </w:rPr>
      </w:pPr>
      <w:r>
        <w:rPr>
          <w:rFonts w:hint="eastAsia" w:ascii="黑体" w:hAnsi="宋体" w:eastAsia="黑体"/>
          <w:sz w:val="24"/>
        </w:rPr>
        <w:t>21．</w:t>
      </w:r>
      <w:bookmarkStart w:id="67" w:name="_Hlk72402325"/>
      <w:r>
        <w:rPr>
          <w:rFonts w:hint="eastAsia" w:ascii="黑体" w:hAnsi="宋体" w:eastAsia="黑体"/>
          <w:sz w:val="24"/>
        </w:rPr>
        <w:t xml:space="preserve">关于投标保证金 </w:t>
      </w:r>
    </w:p>
    <w:p w14:paraId="2308428B">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521BF34E">
      <w:pPr>
        <w:rPr>
          <w:rFonts w:ascii="黑体" w:hAnsi="宋体" w:eastAsia="黑体"/>
          <w:sz w:val="24"/>
        </w:rPr>
      </w:pPr>
      <w:r>
        <w:rPr>
          <w:rFonts w:hint="eastAsia" w:ascii="黑体" w:hAnsi="宋体" w:eastAsia="黑体"/>
          <w:sz w:val="24"/>
        </w:rPr>
        <w:t>22．投标人的替代方案</w:t>
      </w:r>
    </w:p>
    <w:p w14:paraId="4D01783C">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6728158">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67"/>
    <w:p w14:paraId="24A567B5">
      <w:pPr>
        <w:rPr>
          <w:rFonts w:ascii="黑体" w:hAnsi="宋体" w:eastAsia="黑体"/>
          <w:sz w:val="24"/>
        </w:rPr>
      </w:pPr>
      <w:r>
        <w:rPr>
          <w:rFonts w:hint="eastAsia" w:ascii="黑体" w:hAnsi="宋体" w:eastAsia="黑体"/>
          <w:sz w:val="24"/>
        </w:rPr>
        <w:t>23．</w:t>
      </w:r>
      <w:bookmarkStart w:id="68"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3CC031C0">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613203C9">
      <w:pPr>
        <w:ind w:firstLine="411" w:firstLineChars="196"/>
        <w:rPr>
          <w:rFonts w:ascii="宋体" w:hAnsi="宋体"/>
        </w:rPr>
      </w:pPr>
      <w:r>
        <w:rPr>
          <w:rFonts w:hint="eastAsia" w:ascii="宋体" w:hAnsi="宋体"/>
        </w:rPr>
        <w:t>23.2投标人在使用《投标书编制软件》编制投标书时须注意：</w:t>
      </w:r>
    </w:p>
    <w:p w14:paraId="29BC0A06">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1CC39B0C">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806423D">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518F2053">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6618EF5E">
      <w:pPr>
        <w:ind w:firstLine="411" w:firstLineChars="196"/>
        <w:rPr>
          <w:rFonts w:ascii="宋体" w:hAnsi="宋体"/>
        </w:rPr>
      </w:pPr>
      <w:r>
        <w:rPr>
          <w:rFonts w:hint="eastAsia" w:ascii="宋体" w:hAnsi="宋体"/>
        </w:rPr>
        <w:t>23.2.5完整填写“投标关键信息”，如下图所示：</w:t>
      </w:r>
    </w:p>
    <w:p w14:paraId="58255A5F">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7454908E">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4ED37459">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511EF6A5">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5EE7790">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1847E0CD">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3B0B5F72">
      <w:pPr>
        <w:ind w:firstLine="411" w:firstLineChars="196"/>
        <w:rPr>
          <w:rFonts w:ascii="宋体" w:hAnsi="宋体"/>
        </w:rPr>
      </w:pPr>
      <w:r>
        <w:rPr>
          <w:rFonts w:hint="eastAsia" w:ascii="宋体" w:hAnsi="宋体"/>
        </w:rPr>
        <w:t>23.3电报、电话、传真形式的投标概不接受。</w:t>
      </w:r>
    </w:p>
    <w:p w14:paraId="56E9CE26">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1E89E242">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bookmarkEnd w:id="68"/>
    </w:p>
    <w:p w14:paraId="4D0C28F3">
      <w:pPr>
        <w:ind w:firstLine="411" w:firstLineChars="196"/>
        <w:rPr>
          <w:rFonts w:ascii="宋体" w:hAnsi="宋体"/>
          <w:szCs w:val="21"/>
        </w:rPr>
      </w:pPr>
    </w:p>
    <w:p w14:paraId="59676456">
      <w:pPr>
        <w:pStyle w:val="3"/>
        <w:numPr>
          <w:ilvl w:val="0"/>
          <w:numId w:val="11"/>
        </w:numPr>
        <w:spacing w:before="120" w:beforeLines="50" w:after="120" w:afterLines="50"/>
        <w:ind w:left="562" w:hanging="562"/>
        <w:rPr>
          <w:sz w:val="28"/>
          <w:szCs w:val="28"/>
        </w:rPr>
      </w:pPr>
      <w:r>
        <w:rPr>
          <w:rFonts w:hint="eastAsia"/>
          <w:sz w:val="28"/>
          <w:szCs w:val="28"/>
        </w:rPr>
        <w:t>投标文件的递交</w:t>
      </w:r>
    </w:p>
    <w:p w14:paraId="006397D6">
      <w:pPr>
        <w:rPr>
          <w:rFonts w:ascii="黑体" w:hAnsi="宋体" w:eastAsia="黑体"/>
          <w:sz w:val="24"/>
        </w:rPr>
      </w:pPr>
      <w:bookmarkStart w:id="69" w:name="_Hlk72405459"/>
      <w:r>
        <w:rPr>
          <w:rFonts w:hint="eastAsia" w:ascii="黑体" w:hAnsi="宋体" w:eastAsia="黑体"/>
          <w:sz w:val="24"/>
        </w:rPr>
        <w:t>24．投标文件的保密</w:t>
      </w:r>
    </w:p>
    <w:p w14:paraId="5854C706">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4786460C">
      <w:pPr>
        <w:widowControl/>
        <w:jc w:val="left"/>
        <w:rPr>
          <w:rFonts w:ascii="宋体" w:hAnsi="宋体" w:cs="宋体"/>
          <w:kern w:val="0"/>
          <w:sz w:val="24"/>
        </w:rPr>
      </w:pPr>
      <w:r>
        <w:rPr>
          <w:rFonts w:ascii="宋体" w:hAnsi="宋体"/>
        </w:rPr>
        <w:drawing>
          <wp:inline distT="0" distB="0" distL="0" distR="0">
            <wp:extent cx="5278755" cy="2721610"/>
            <wp:effectExtent l="0" t="0" r="0" b="0"/>
            <wp:docPr id="1"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0738DDCB">
      <w:pPr>
        <w:ind w:firstLine="480" w:firstLineChars="200"/>
        <w:rPr>
          <w:sz w:val="24"/>
        </w:rPr>
      </w:pPr>
    </w:p>
    <w:p w14:paraId="14BC587F">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0D130C2">
      <w:pPr>
        <w:ind w:firstLine="411" w:firstLineChars="196"/>
        <w:rPr>
          <w:rFonts w:ascii="宋体" w:hAnsi="宋体"/>
        </w:rPr>
      </w:pPr>
    </w:p>
    <w:p w14:paraId="7AA05356">
      <w:pPr>
        <w:rPr>
          <w:rFonts w:ascii="宋体" w:hAnsi="宋体"/>
          <w:b/>
        </w:rPr>
      </w:pPr>
      <w:r>
        <w:rPr>
          <w:rFonts w:hint="eastAsia" w:ascii="黑体" w:hAnsi="宋体" w:eastAsia="黑体"/>
          <w:sz w:val="24"/>
        </w:rPr>
        <w:t>24.2若采购项目出现延期情况：</w:t>
      </w:r>
    </w:p>
    <w:p w14:paraId="1AB827C6">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w:t>
      </w:r>
      <w:r>
        <w:rPr>
          <w:rFonts w:hint="eastAsia" w:ascii="宋体" w:hAnsi="宋体"/>
          <w:b w:val="0"/>
          <w:bCs w:val="0"/>
          <w:lang w:eastAsia="zh-CN"/>
        </w:rPr>
        <w:t>确</w:t>
      </w:r>
      <w:r>
        <w:rPr>
          <w:rFonts w:hint="eastAsia" w:ascii="宋体" w:hAnsi="宋体"/>
          <w:b w:val="0"/>
          <w:bCs w:val="0"/>
        </w:rPr>
        <w:t>定</w:t>
      </w:r>
      <w:r>
        <w:rPr>
          <w:rFonts w:hint="eastAsia" w:ascii="宋体" w:hAnsi="宋体"/>
        </w:rPr>
        <w:t>）。否则，投标人自行承担投标文件无法解密导致投标无效的后果。</w:t>
      </w:r>
    </w:p>
    <w:p w14:paraId="4D13D427">
      <w:pPr>
        <w:rPr>
          <w:rFonts w:ascii="黑体" w:hAnsi="宋体" w:eastAsia="黑体"/>
          <w:sz w:val="24"/>
        </w:rPr>
      </w:pPr>
      <w:r>
        <w:rPr>
          <w:rFonts w:hint="eastAsia" w:ascii="黑体" w:hAnsi="宋体" w:eastAsia="黑体"/>
          <w:sz w:val="24"/>
        </w:rPr>
        <w:t>25．上传投标文件及投标截止日期</w:t>
      </w:r>
    </w:p>
    <w:p w14:paraId="3DF374D7">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40596A9B">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5FCB8C58">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501317B5">
      <w:pPr>
        <w:ind w:firstLine="411" w:firstLineChars="196"/>
        <w:rPr>
          <w:rFonts w:ascii="宋体" w:hAnsi="宋体"/>
        </w:rPr>
      </w:pPr>
    </w:p>
    <w:p w14:paraId="50A79703">
      <w:pPr>
        <w:ind w:firstLine="411" w:firstLineChars="196"/>
        <w:rPr>
          <w:rFonts w:ascii="宋体" w:hAnsi="宋体"/>
        </w:rPr>
      </w:pPr>
    </w:p>
    <w:bookmarkEnd w:id="69"/>
    <w:p w14:paraId="1B25E0EF">
      <w:pPr>
        <w:rPr>
          <w:rFonts w:ascii="黑体" w:hAnsi="宋体" w:eastAsia="黑体"/>
          <w:sz w:val="24"/>
        </w:rPr>
      </w:pPr>
      <w:r>
        <w:rPr>
          <w:rFonts w:hint="eastAsia" w:ascii="黑体" w:hAnsi="宋体" w:eastAsia="黑体"/>
          <w:sz w:val="24"/>
        </w:rPr>
        <w:t>26. 样品、现场演示、方案讲解</w:t>
      </w:r>
    </w:p>
    <w:p w14:paraId="506DFC49">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2962DE46">
      <w:pPr>
        <w:rPr>
          <w:rFonts w:ascii="黑体" w:hAnsi="宋体" w:eastAsia="黑体"/>
          <w:sz w:val="24"/>
        </w:rPr>
      </w:pPr>
      <w:bookmarkStart w:id="70"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6520DDB8">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7E56A8D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740D0BA8">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7D1F5D8B">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70"/>
    <w:p w14:paraId="5EA6ACBD">
      <w:pPr>
        <w:pStyle w:val="3"/>
        <w:numPr>
          <w:ilvl w:val="0"/>
          <w:numId w:val="11"/>
        </w:numPr>
        <w:spacing w:before="120" w:beforeLines="50" w:after="120" w:afterLines="50"/>
        <w:ind w:left="562" w:hanging="562"/>
        <w:rPr>
          <w:sz w:val="28"/>
          <w:szCs w:val="28"/>
        </w:rPr>
      </w:pPr>
      <w:r>
        <w:rPr>
          <w:rFonts w:hint="eastAsia"/>
          <w:sz w:val="28"/>
          <w:szCs w:val="28"/>
        </w:rPr>
        <w:t>开标</w:t>
      </w:r>
    </w:p>
    <w:p w14:paraId="6B76E3A1">
      <w:pPr>
        <w:rPr>
          <w:rFonts w:ascii="黑体" w:hAnsi="宋体" w:eastAsia="黑体"/>
          <w:sz w:val="24"/>
        </w:rPr>
      </w:pPr>
      <w:r>
        <w:rPr>
          <w:rFonts w:hint="eastAsia" w:ascii="黑体" w:hAnsi="宋体" w:eastAsia="黑体"/>
          <w:sz w:val="24"/>
        </w:rPr>
        <w:t>28．开标</w:t>
      </w:r>
    </w:p>
    <w:p w14:paraId="23F3F2BE">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F9CD358">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15006C5A">
      <w:pPr>
        <w:ind w:firstLine="315" w:firstLineChars="150"/>
        <w:rPr>
          <w:rFonts w:ascii="宋体" w:hAnsi="宋体"/>
          <w:szCs w:val="21"/>
        </w:rPr>
      </w:pPr>
    </w:p>
    <w:p w14:paraId="5968C368">
      <w:pPr>
        <w:pStyle w:val="3"/>
        <w:numPr>
          <w:ilvl w:val="0"/>
          <w:numId w:val="11"/>
        </w:numPr>
        <w:spacing w:before="120" w:beforeLines="50" w:after="120" w:afterLines="50"/>
        <w:ind w:left="562" w:hanging="562"/>
        <w:rPr>
          <w:sz w:val="28"/>
          <w:szCs w:val="28"/>
        </w:rPr>
      </w:pPr>
      <w:r>
        <w:rPr>
          <w:rFonts w:hint="eastAsia"/>
          <w:sz w:val="28"/>
          <w:szCs w:val="28"/>
        </w:rPr>
        <w:t>评审要求</w:t>
      </w:r>
    </w:p>
    <w:p w14:paraId="3A452FA5">
      <w:pPr>
        <w:rPr>
          <w:rFonts w:ascii="黑体" w:hAnsi="宋体" w:eastAsia="黑体"/>
          <w:sz w:val="24"/>
        </w:rPr>
      </w:pPr>
      <w:r>
        <w:rPr>
          <w:rFonts w:hint="eastAsia" w:ascii="黑体" w:hAnsi="宋体" w:eastAsia="黑体"/>
          <w:sz w:val="24"/>
        </w:rPr>
        <w:t>29．评审委员会组成</w:t>
      </w:r>
    </w:p>
    <w:p w14:paraId="574C7A4E">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17B6ED2D">
      <w:pPr>
        <w:ind w:firstLine="411" w:firstLineChars="196"/>
        <w:rPr>
          <w:rFonts w:ascii="宋体" w:hAnsi="宋体"/>
        </w:rPr>
      </w:pPr>
      <w:bookmarkStart w:id="71"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71"/>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64CDFBE4">
      <w:pPr>
        <w:ind w:firstLine="411" w:firstLineChars="196"/>
        <w:rPr>
          <w:rFonts w:ascii="宋体" w:hAnsi="宋体"/>
        </w:rPr>
      </w:pPr>
      <w:r>
        <w:rPr>
          <w:rFonts w:hint="eastAsia" w:ascii="宋体" w:hAnsi="宋体"/>
        </w:rPr>
        <w:t>29.2评审定标应当遵循公平、公正、科学、择优的原则。</w:t>
      </w:r>
    </w:p>
    <w:p w14:paraId="3859648F">
      <w:pPr>
        <w:ind w:firstLine="411" w:firstLineChars="196"/>
        <w:rPr>
          <w:rFonts w:ascii="宋体" w:hAnsi="宋体"/>
        </w:rPr>
      </w:pPr>
      <w:r>
        <w:rPr>
          <w:rFonts w:hint="eastAsia" w:ascii="宋体" w:hAnsi="宋体"/>
        </w:rPr>
        <w:t>29.3评审活动依法进行，任何单位和个人不得非法干预评标过程和结果。</w:t>
      </w:r>
    </w:p>
    <w:p w14:paraId="3E95309B">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21C3B740">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4410ED9F">
      <w:pPr>
        <w:rPr>
          <w:rFonts w:ascii="黑体" w:hAnsi="宋体" w:eastAsia="黑体"/>
          <w:sz w:val="24"/>
        </w:rPr>
      </w:pPr>
      <w:r>
        <w:rPr>
          <w:rFonts w:hint="eastAsia" w:ascii="黑体" w:hAnsi="宋体" w:eastAsia="黑体"/>
          <w:sz w:val="24"/>
        </w:rPr>
        <w:t>30．向评审委员会提供的资料</w:t>
      </w:r>
    </w:p>
    <w:p w14:paraId="090C0EAE">
      <w:pPr>
        <w:ind w:firstLine="411" w:firstLineChars="196"/>
        <w:rPr>
          <w:rFonts w:ascii="宋体" w:hAnsi="宋体"/>
        </w:rPr>
      </w:pPr>
      <w:r>
        <w:rPr>
          <w:rFonts w:hint="eastAsia" w:ascii="宋体" w:hAnsi="宋体"/>
        </w:rPr>
        <w:t>30.1公开发布的招标文件，包括图纸、服务清单、答疑文件等；</w:t>
      </w:r>
    </w:p>
    <w:p w14:paraId="4B0358CC">
      <w:pPr>
        <w:ind w:firstLine="411" w:firstLineChars="196"/>
        <w:rPr>
          <w:rFonts w:ascii="宋体" w:hAnsi="宋体"/>
        </w:rPr>
      </w:pPr>
      <w:r>
        <w:rPr>
          <w:rFonts w:hint="eastAsia" w:ascii="宋体" w:hAnsi="宋体"/>
        </w:rPr>
        <w:t>30.2其他评标</w:t>
      </w:r>
      <w:r>
        <w:rPr>
          <w:rFonts w:hint="eastAsia" w:ascii="宋体" w:hAnsi="宋体"/>
          <w:lang w:eastAsia="zh-CN"/>
        </w:rPr>
        <w:t>必需</w:t>
      </w:r>
      <w:r>
        <w:rPr>
          <w:rFonts w:hint="eastAsia" w:ascii="宋体" w:hAnsi="宋体"/>
        </w:rPr>
        <w:t>的资料。</w:t>
      </w:r>
    </w:p>
    <w:p w14:paraId="5D6B3FD6">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2D8BD3E3">
      <w:pPr>
        <w:ind w:firstLine="411" w:firstLineChars="196"/>
        <w:rPr>
          <w:rFonts w:ascii="宋体" w:hAnsi="宋体"/>
        </w:rPr>
      </w:pPr>
      <w:r>
        <w:rPr>
          <w:rFonts w:hint="eastAsia" w:ascii="宋体" w:hAnsi="宋体"/>
        </w:rPr>
        <w:t>（1）招标的目的；</w:t>
      </w:r>
    </w:p>
    <w:p w14:paraId="1D0B930D">
      <w:pPr>
        <w:ind w:firstLine="411" w:firstLineChars="196"/>
        <w:rPr>
          <w:rFonts w:ascii="宋体" w:hAnsi="宋体"/>
        </w:rPr>
      </w:pPr>
      <w:r>
        <w:rPr>
          <w:rFonts w:hint="eastAsia" w:ascii="宋体" w:hAnsi="宋体"/>
        </w:rPr>
        <w:t>（2）招标项目需求的范围和性质；</w:t>
      </w:r>
    </w:p>
    <w:p w14:paraId="6C25A6A5">
      <w:pPr>
        <w:ind w:firstLine="411" w:firstLineChars="196"/>
        <w:rPr>
          <w:rFonts w:ascii="宋体" w:hAnsi="宋体"/>
        </w:rPr>
      </w:pPr>
      <w:r>
        <w:rPr>
          <w:rFonts w:hint="eastAsia" w:ascii="宋体" w:hAnsi="宋体"/>
        </w:rPr>
        <w:t>（3）招标文件规定的投标人的资格、财政预算限额、商务条款；</w:t>
      </w:r>
    </w:p>
    <w:p w14:paraId="5F46D5E5">
      <w:pPr>
        <w:ind w:firstLine="411" w:firstLineChars="196"/>
        <w:rPr>
          <w:rFonts w:ascii="宋体" w:hAnsi="宋体"/>
        </w:rPr>
      </w:pPr>
      <w:r>
        <w:rPr>
          <w:rFonts w:hint="eastAsia" w:ascii="宋体" w:hAnsi="宋体"/>
        </w:rPr>
        <w:t>（4）招标文件规定的评标程序、评标方法和评标因素；</w:t>
      </w:r>
    </w:p>
    <w:p w14:paraId="553F6319">
      <w:pPr>
        <w:ind w:firstLine="411" w:firstLineChars="196"/>
        <w:rPr>
          <w:rFonts w:ascii="宋体" w:hAnsi="宋体"/>
        </w:rPr>
      </w:pPr>
      <w:r>
        <w:rPr>
          <w:rFonts w:hint="eastAsia" w:ascii="宋体" w:hAnsi="宋体"/>
        </w:rPr>
        <w:t>（5）招标文件所列示的资格性审查表及符合性审查表。</w:t>
      </w:r>
    </w:p>
    <w:p w14:paraId="7FD9AC0B">
      <w:pPr>
        <w:rPr>
          <w:rFonts w:ascii="黑体" w:hAnsi="宋体" w:eastAsia="黑体"/>
          <w:sz w:val="24"/>
        </w:rPr>
      </w:pPr>
      <w:r>
        <w:rPr>
          <w:rFonts w:hint="eastAsia" w:ascii="黑体" w:hAnsi="宋体" w:eastAsia="黑体"/>
          <w:sz w:val="24"/>
        </w:rPr>
        <w:t>31．独立评审</w:t>
      </w:r>
    </w:p>
    <w:p w14:paraId="4858AAB6">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3ECDCE0C">
      <w:pPr>
        <w:ind w:firstLine="411" w:firstLineChars="196"/>
        <w:rPr>
          <w:rFonts w:ascii="宋体" w:hAnsi="宋体"/>
          <w:bCs/>
          <w:szCs w:val="21"/>
        </w:rPr>
      </w:pPr>
    </w:p>
    <w:p w14:paraId="4FB80332">
      <w:pPr>
        <w:pStyle w:val="3"/>
        <w:numPr>
          <w:ilvl w:val="0"/>
          <w:numId w:val="11"/>
        </w:numPr>
        <w:spacing w:before="120" w:beforeLines="50" w:after="120" w:afterLines="50"/>
        <w:ind w:left="562" w:hanging="562"/>
        <w:rPr>
          <w:sz w:val="28"/>
          <w:szCs w:val="28"/>
        </w:rPr>
      </w:pPr>
      <w:r>
        <w:rPr>
          <w:rFonts w:hint="eastAsia"/>
          <w:sz w:val="28"/>
          <w:szCs w:val="28"/>
        </w:rPr>
        <w:t>评审程序及评审方法</w:t>
      </w:r>
    </w:p>
    <w:p w14:paraId="004482EC">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1BEF9CDC">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507843E9">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EBDEC7D">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A00B298">
      <w:pPr>
        <w:pStyle w:val="59"/>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0EDEF02C">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7054F924">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63208C08">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5F6B6F90">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65103393">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722D3000">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6F032605">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02749B30">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2E8715C2">
      <w:pPr>
        <w:ind w:firstLine="411" w:firstLineChars="196"/>
        <w:rPr>
          <w:rFonts w:ascii="宋体" w:hAnsi="宋体"/>
        </w:rPr>
      </w:pPr>
      <w:r>
        <w:rPr>
          <w:rFonts w:hint="eastAsia" w:ascii="宋体" w:hAnsi="宋体"/>
        </w:rPr>
        <w:t>32.4.3不同投标人的投标文件载明的项目管理成员或者联系人员为同一人；</w:t>
      </w:r>
    </w:p>
    <w:p w14:paraId="1BD6C21C">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61DE19C">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13EEA31E">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70CA6A47">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4FEAC7D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73B9D449">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7B86A897">
      <w:pPr>
        <w:ind w:firstLine="411" w:firstLineChars="196"/>
        <w:rPr>
          <w:rFonts w:ascii="宋体" w:hAnsi="宋体"/>
          <w:highlight w:val="none"/>
        </w:rPr>
      </w:pPr>
      <w:r>
        <w:rPr>
          <w:rFonts w:hint="eastAsia" w:ascii="宋体" w:hAnsi="宋体"/>
          <w:highlight w:val="none"/>
        </w:rPr>
        <w:t>32.4.10主管部门依照法律、法规认定的其他情形。</w:t>
      </w:r>
    </w:p>
    <w:p w14:paraId="7FEABCF4">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5744B09B">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74A54214">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77D89248">
      <w:pPr>
        <w:pStyle w:val="59"/>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59019986">
      <w:pPr>
        <w:pStyle w:val="59"/>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277650C4">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6C2F11EE">
      <w:pPr>
        <w:rPr>
          <w:rFonts w:hint="eastAsia" w:ascii="黑体" w:hAnsi="宋体" w:eastAsia="黑体"/>
          <w:sz w:val="24"/>
        </w:rPr>
      </w:pPr>
    </w:p>
    <w:p w14:paraId="38DE51FD">
      <w:pPr>
        <w:rPr>
          <w:rFonts w:ascii="黑体" w:hAnsi="宋体" w:eastAsia="黑体"/>
          <w:sz w:val="24"/>
        </w:rPr>
      </w:pPr>
      <w:r>
        <w:rPr>
          <w:rFonts w:hint="eastAsia" w:ascii="黑体" w:hAnsi="宋体" w:eastAsia="黑体"/>
          <w:sz w:val="24"/>
        </w:rPr>
        <w:t>33．澄清有关问题</w:t>
      </w:r>
    </w:p>
    <w:p w14:paraId="0F8A3793">
      <w:pPr>
        <w:ind w:firstLine="411" w:firstLineChars="196"/>
        <w:rPr>
          <w:rFonts w:ascii="宋体" w:hAnsi="宋体"/>
        </w:rPr>
      </w:pPr>
      <w:bookmarkStart w:id="72"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72"/>
    </w:p>
    <w:p w14:paraId="08830CA2">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68FC340E">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3F7BE4EE">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DDC3839">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6BB8E78C">
      <w:pPr>
        <w:rPr>
          <w:rFonts w:ascii="黑体" w:hAnsi="宋体" w:eastAsia="黑体"/>
          <w:sz w:val="24"/>
        </w:rPr>
      </w:pPr>
      <w:bookmarkStart w:id="73" w:name="_Toc73517673"/>
      <w:bookmarkStart w:id="74" w:name="_Toc73521581"/>
      <w:bookmarkStart w:id="75" w:name="_Toc100052400"/>
      <w:bookmarkStart w:id="76" w:name="_Toc73518151"/>
      <w:bookmarkStart w:id="77" w:name="_Toc73521669"/>
      <w:r>
        <w:rPr>
          <w:rFonts w:hint="eastAsia" w:ascii="黑体" w:hAnsi="宋体" w:eastAsia="黑体"/>
          <w:sz w:val="24"/>
        </w:rPr>
        <w:t>34．错误的修正</w:t>
      </w:r>
      <w:bookmarkEnd w:id="73"/>
      <w:bookmarkEnd w:id="74"/>
      <w:bookmarkEnd w:id="75"/>
      <w:bookmarkEnd w:id="76"/>
      <w:bookmarkEnd w:id="77"/>
    </w:p>
    <w:p w14:paraId="79A0E6CD">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06B7F715">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2C784BC">
      <w:pPr>
        <w:ind w:firstLine="411" w:firstLineChars="196"/>
        <w:rPr>
          <w:rFonts w:ascii="宋体" w:hAnsi="宋体"/>
          <w:szCs w:val="21"/>
        </w:rPr>
      </w:pPr>
      <w:r>
        <w:rPr>
          <w:rFonts w:hint="eastAsia" w:ascii="宋体" w:hAnsi="宋体"/>
          <w:szCs w:val="21"/>
        </w:rPr>
        <w:t>34.2大写金额和小写金额不一致的，以大写金额为准；</w:t>
      </w:r>
    </w:p>
    <w:p w14:paraId="4ACE089A">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6369F741">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6BED3A31">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w:t>
      </w:r>
      <w:r>
        <w:rPr>
          <w:rFonts w:hint="eastAsia" w:ascii="宋体" w:hAnsi="宋体"/>
          <w:szCs w:val="21"/>
          <w:lang w:eastAsia="zh-CN"/>
        </w:rPr>
        <w:t>第</w:t>
      </w:r>
      <w:r>
        <w:rPr>
          <w:rFonts w:hint="eastAsia" w:ascii="宋体" w:hAnsi="宋体"/>
          <w:szCs w:val="21"/>
        </w:rPr>
        <w:t>33条的规定，经投标人确认后产生约束力，投标人不确认的，其投标无效。</w:t>
      </w:r>
    </w:p>
    <w:p w14:paraId="0AC22BDD">
      <w:pPr>
        <w:rPr>
          <w:rFonts w:ascii="黑体" w:hAnsi="宋体" w:eastAsia="黑体"/>
          <w:sz w:val="24"/>
        </w:rPr>
      </w:pPr>
      <w:r>
        <w:rPr>
          <w:rFonts w:hint="eastAsia" w:ascii="黑体" w:hAnsi="宋体" w:eastAsia="黑体"/>
          <w:sz w:val="24"/>
        </w:rPr>
        <w:t>35．投标文件的比较与评价</w:t>
      </w:r>
    </w:p>
    <w:p w14:paraId="67AB4B3E">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2F4D3C9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788BA8D5">
      <w:pPr>
        <w:rPr>
          <w:rFonts w:ascii="黑体" w:hAnsi="宋体" w:eastAsia="黑体"/>
          <w:sz w:val="24"/>
        </w:rPr>
      </w:pPr>
      <w:r>
        <w:rPr>
          <w:rFonts w:hint="eastAsia" w:ascii="黑体" w:hAnsi="宋体" w:eastAsia="黑体"/>
          <w:sz w:val="24"/>
        </w:rPr>
        <w:t>3</w:t>
      </w:r>
      <w:r>
        <w:rPr>
          <w:rFonts w:hint="eastAsia" w:ascii="黑体" w:hAnsi="宋体" w:eastAsia="黑体"/>
          <w:sz w:val="24"/>
          <w:lang w:val="en-US" w:eastAsia="zh-CN"/>
        </w:rPr>
        <w:t>6</w:t>
      </w:r>
      <w:r>
        <w:rPr>
          <w:rFonts w:hint="eastAsia" w:ascii="黑体" w:hAnsi="宋体" w:eastAsia="黑体"/>
          <w:sz w:val="24"/>
        </w:rPr>
        <w:t>．评审方法</w:t>
      </w:r>
    </w:p>
    <w:p w14:paraId="215E5FB8">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D0BB6B4">
      <w:pPr>
        <w:ind w:firstLine="411" w:firstLineChars="196"/>
        <w:rPr>
          <w:rFonts w:ascii="ˎ̥" w:hAnsi="ˎ̥"/>
        </w:rPr>
      </w:pPr>
      <w:bookmarkStart w:id="78" w:name="_Hlk72438142"/>
      <w:r>
        <w:rPr>
          <w:rFonts w:ascii="ˎ̥" w:hAnsi="ˎ̥"/>
        </w:rPr>
        <w:t>最低价法，</w:t>
      </w:r>
      <w:r>
        <w:rPr>
          <w:rFonts w:hint="eastAsia" w:ascii="ˎ̥" w:hAnsi="ˎ̥"/>
        </w:rPr>
        <w:t>是指投标文件满足招标文件全部实质性要求，且投标报价最低的投标人为中标候选人的评标方法。</w:t>
      </w:r>
    </w:p>
    <w:p w14:paraId="260F0D52">
      <w:pPr>
        <w:ind w:firstLine="411" w:firstLineChars="196"/>
        <w:rPr>
          <w:rFonts w:ascii="ˎ̥" w:hAnsi="ˎ̥"/>
        </w:rPr>
      </w:pPr>
      <w:r>
        <w:rPr>
          <w:rFonts w:hint="eastAsia" w:ascii="ˎ̥" w:hAnsi="ˎ̥"/>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44E239CB">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3072584E">
      <w:pPr>
        <w:ind w:firstLine="411" w:firstLineChars="196"/>
        <w:rPr>
          <w:rFonts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78"/>
      <w:r>
        <w:rPr>
          <w:rFonts w:hint="eastAsia" w:ascii="ˎ̥" w:hAnsi="ˎ̥"/>
        </w:rPr>
        <w:t>。</w:t>
      </w:r>
    </w:p>
    <w:p w14:paraId="6B0779C0">
      <w:pPr>
        <w:ind w:firstLine="411" w:firstLineChars="196"/>
        <w:rPr>
          <w:rFonts w:ascii="ˎ̥" w:hAnsi="ˎ̥"/>
        </w:rPr>
      </w:pPr>
      <w:r>
        <w:rPr>
          <w:rFonts w:hint="eastAsia" w:ascii="ˎ̥" w:hAnsi="ˎ̥"/>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2930DDD2">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1DB0256C">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5D18163B">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04E7165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1F9DBD3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57A4C80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3597EA9E">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609D3B45">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31CBBE0F">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4D01E839">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4D75A42A">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9C0E72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65C627D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6B0AE253">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4FEA5FBF">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06C20222">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DAE4B4F">
      <w:pPr>
        <w:ind w:firstLine="411" w:firstLineChars="196"/>
        <w:rPr>
          <w:rFonts w:ascii="宋体" w:hAnsi="宋体"/>
          <w:szCs w:val="21"/>
        </w:rPr>
      </w:pPr>
    </w:p>
    <w:p w14:paraId="2DDD6B40">
      <w:pPr>
        <w:pStyle w:val="3"/>
        <w:numPr>
          <w:ilvl w:val="0"/>
          <w:numId w:val="11"/>
        </w:numPr>
        <w:spacing w:before="120" w:beforeLines="50" w:after="120" w:afterLines="50"/>
        <w:ind w:left="562" w:hanging="562"/>
        <w:rPr>
          <w:sz w:val="28"/>
          <w:szCs w:val="28"/>
        </w:rPr>
      </w:pPr>
      <w:r>
        <w:rPr>
          <w:rFonts w:hint="eastAsia"/>
          <w:sz w:val="28"/>
          <w:szCs w:val="28"/>
        </w:rPr>
        <w:t>定标及公示</w:t>
      </w:r>
    </w:p>
    <w:p w14:paraId="012F40F1">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2086101F">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52E79236">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0CE1A986">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47CC8ADB">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55B3241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0A3BBF1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DB374E3">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533F6A5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1BC888FF">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618F6027">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6D0AE9DC">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62BD4091">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5D258DC0">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5161176A">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577A974C">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7C5B2130">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5BF5E444">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7F7436CC">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1088E53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0D45D769">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3569C1B8">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p w14:paraId="0CAAF9BC">
      <w:pPr>
        <w:ind w:firstLine="411" w:firstLineChars="196"/>
        <w:rPr>
          <w:rFonts w:ascii="宋体" w:hAnsi="宋体"/>
          <w:szCs w:val="21"/>
        </w:rPr>
      </w:pPr>
    </w:p>
    <w:p w14:paraId="0897CD9E">
      <w:pPr>
        <w:pStyle w:val="3"/>
        <w:numPr>
          <w:ilvl w:val="0"/>
          <w:numId w:val="11"/>
        </w:numPr>
        <w:spacing w:before="120" w:beforeLines="50" w:after="120" w:afterLines="50"/>
        <w:ind w:left="562" w:hanging="562"/>
        <w:rPr>
          <w:sz w:val="28"/>
          <w:szCs w:val="28"/>
        </w:rPr>
      </w:pPr>
      <w:r>
        <w:rPr>
          <w:rFonts w:hint="eastAsia"/>
          <w:sz w:val="28"/>
          <w:szCs w:val="28"/>
        </w:rPr>
        <w:t>公开招标失败的后续处理</w:t>
      </w:r>
    </w:p>
    <w:p w14:paraId="4A9A3573">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1</w:t>
      </w:r>
      <w:r>
        <w:rPr>
          <w:rFonts w:hint="eastAsia" w:ascii="黑体" w:hAnsi="宋体" w:eastAsia="黑体"/>
          <w:sz w:val="24"/>
        </w:rPr>
        <w:t>．公开招标失败的处理</w:t>
      </w:r>
    </w:p>
    <w:p w14:paraId="709B9AE2">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116D63C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0AAC1763">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0EADD389">
      <w:pPr>
        <w:ind w:firstLine="411" w:firstLineChars="196"/>
        <w:rPr>
          <w:rFonts w:ascii="宋体" w:hAnsi="宋体"/>
        </w:rPr>
      </w:pPr>
      <w:r>
        <w:rPr>
          <w:rFonts w:hint="eastAsia" w:ascii="宋体" w:hAnsi="宋体"/>
        </w:rPr>
        <w:t>（1）由政府集中采购机构重新组织公开招标；</w:t>
      </w:r>
    </w:p>
    <w:p w14:paraId="540606F7">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6FDAA200">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6FEE2CC9">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2FE6E4A4">
      <w:pPr>
        <w:rPr>
          <w:rFonts w:ascii="黑体" w:hAnsi="宋体" w:eastAsia="黑体"/>
          <w:sz w:val="24"/>
        </w:rPr>
      </w:pPr>
    </w:p>
    <w:p w14:paraId="64C097D3">
      <w:pPr>
        <w:pStyle w:val="3"/>
        <w:numPr>
          <w:ilvl w:val="0"/>
          <w:numId w:val="11"/>
        </w:numPr>
        <w:spacing w:before="120" w:beforeLines="50" w:after="120" w:afterLines="50"/>
        <w:ind w:left="562" w:hanging="562"/>
        <w:rPr>
          <w:sz w:val="28"/>
          <w:szCs w:val="28"/>
        </w:rPr>
      </w:pPr>
      <w:bookmarkStart w:id="79" w:name="_Hlk72439043"/>
      <w:r>
        <w:rPr>
          <w:rFonts w:hint="eastAsia"/>
          <w:sz w:val="28"/>
          <w:szCs w:val="28"/>
        </w:rPr>
        <w:t>合同的授予与备案</w:t>
      </w:r>
      <w:bookmarkEnd w:id="79"/>
    </w:p>
    <w:p w14:paraId="078E4B4A">
      <w:pPr>
        <w:rPr>
          <w:rFonts w:ascii="黑体" w:hAnsi="宋体" w:eastAsia="黑体"/>
          <w:sz w:val="24"/>
        </w:rPr>
      </w:pPr>
      <w:bookmarkStart w:id="80" w:name="_Toc73521586"/>
      <w:bookmarkStart w:id="81" w:name="_Toc100052408"/>
      <w:bookmarkStart w:id="82" w:name="_Toc73518157"/>
      <w:bookmarkStart w:id="83" w:name="_Toc73517679"/>
      <w:bookmarkStart w:id="84" w:name="_Toc73521674"/>
      <w:bookmarkStart w:id="85" w:name="_Hlk72439088"/>
      <w:r>
        <w:rPr>
          <w:rFonts w:hint="eastAsia" w:ascii="黑体" w:hAnsi="宋体" w:eastAsia="黑体"/>
          <w:sz w:val="24"/>
        </w:rPr>
        <w:t>4</w:t>
      </w:r>
      <w:r>
        <w:rPr>
          <w:rFonts w:hint="eastAsia" w:ascii="黑体" w:hAnsi="宋体" w:eastAsia="黑体"/>
          <w:sz w:val="24"/>
          <w:lang w:val="en-US" w:eastAsia="zh-CN"/>
        </w:rPr>
        <w:t>2</w:t>
      </w:r>
      <w:r>
        <w:rPr>
          <w:rFonts w:hint="eastAsia" w:ascii="黑体" w:hAnsi="宋体" w:eastAsia="黑体"/>
          <w:sz w:val="24"/>
        </w:rPr>
        <w:t>．合同授予标准</w:t>
      </w:r>
      <w:bookmarkEnd w:id="80"/>
      <w:bookmarkEnd w:id="81"/>
      <w:bookmarkEnd w:id="82"/>
      <w:bookmarkEnd w:id="83"/>
      <w:bookmarkEnd w:id="84"/>
    </w:p>
    <w:p w14:paraId="622BFF90">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42D37E84">
      <w:pPr>
        <w:rPr>
          <w:rFonts w:ascii="黑体" w:hAnsi="宋体" w:eastAsia="黑体"/>
          <w:sz w:val="24"/>
        </w:rPr>
      </w:pPr>
      <w:bookmarkStart w:id="86" w:name="_Toc73518158"/>
      <w:bookmarkStart w:id="87" w:name="_Toc73521675"/>
      <w:bookmarkStart w:id="88" w:name="_Toc100052409"/>
      <w:bookmarkStart w:id="89" w:name="_Toc73521587"/>
      <w:bookmarkStart w:id="90" w:name="_Toc73517680"/>
      <w:r>
        <w:rPr>
          <w:rFonts w:hint="eastAsia" w:ascii="黑体" w:hAnsi="宋体" w:eastAsia="黑体"/>
          <w:sz w:val="24"/>
        </w:rPr>
        <w:t>4</w:t>
      </w:r>
      <w:r>
        <w:rPr>
          <w:rFonts w:hint="eastAsia" w:ascii="黑体" w:hAnsi="宋体" w:eastAsia="黑体"/>
          <w:sz w:val="24"/>
          <w:lang w:val="en-US" w:eastAsia="zh-CN"/>
        </w:rPr>
        <w:t>3</w:t>
      </w:r>
      <w:r>
        <w:rPr>
          <w:rFonts w:hint="eastAsia" w:ascii="黑体" w:hAnsi="宋体" w:eastAsia="黑体"/>
          <w:sz w:val="24"/>
        </w:rPr>
        <w:t>．</w:t>
      </w:r>
      <w:bookmarkEnd w:id="86"/>
      <w:bookmarkEnd w:id="87"/>
      <w:bookmarkEnd w:id="88"/>
      <w:bookmarkEnd w:id="89"/>
      <w:bookmarkEnd w:id="90"/>
      <w:r>
        <w:rPr>
          <w:rFonts w:hint="eastAsia" w:ascii="黑体" w:hAnsi="宋体" w:eastAsia="黑体"/>
          <w:sz w:val="24"/>
        </w:rPr>
        <w:t>接受和拒绝任何或所有投标的</w:t>
      </w:r>
      <w:r>
        <w:rPr>
          <w:rFonts w:hint="eastAsia" w:ascii="黑体" w:hAnsi="宋体" w:eastAsia="黑体"/>
          <w:sz w:val="24"/>
          <w:lang w:eastAsia="zh-CN"/>
        </w:rPr>
        <w:t>权利</w:t>
      </w:r>
    </w:p>
    <w:p w14:paraId="78F384C3">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0544BF90">
      <w:pPr>
        <w:rPr>
          <w:rFonts w:ascii="黑体" w:hAnsi="宋体" w:eastAsia="黑体"/>
          <w:sz w:val="24"/>
        </w:rPr>
      </w:pPr>
      <w:bookmarkStart w:id="91" w:name="_Toc73521677"/>
      <w:bookmarkStart w:id="92" w:name="_Toc73518160"/>
      <w:bookmarkStart w:id="93" w:name="_Toc73521589"/>
      <w:bookmarkStart w:id="94" w:name="_Toc73517682"/>
      <w:bookmarkStart w:id="95" w:name="_Toc100052410"/>
      <w:r>
        <w:rPr>
          <w:rFonts w:hint="eastAsia" w:ascii="黑体" w:hAnsi="宋体" w:eastAsia="黑体"/>
          <w:sz w:val="24"/>
        </w:rPr>
        <w:t>4</w:t>
      </w:r>
      <w:r>
        <w:rPr>
          <w:rFonts w:hint="eastAsia" w:ascii="黑体" w:hAnsi="宋体" w:eastAsia="黑体"/>
          <w:sz w:val="24"/>
          <w:lang w:val="en-US" w:eastAsia="zh-CN"/>
        </w:rPr>
        <w:t>4</w:t>
      </w:r>
      <w:r>
        <w:rPr>
          <w:rFonts w:hint="eastAsia" w:ascii="黑体" w:hAnsi="宋体" w:eastAsia="黑体"/>
          <w:sz w:val="24"/>
        </w:rPr>
        <w:t>．合同的签订</w:t>
      </w:r>
      <w:bookmarkEnd w:id="91"/>
      <w:bookmarkEnd w:id="92"/>
      <w:bookmarkEnd w:id="93"/>
      <w:bookmarkEnd w:id="94"/>
      <w:bookmarkEnd w:id="95"/>
    </w:p>
    <w:p w14:paraId="75877818">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0297CC9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1A15F8F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2D242568">
      <w:pPr>
        <w:rPr>
          <w:rFonts w:ascii="黑体" w:hAnsi="宋体" w:eastAsia="黑体"/>
          <w:sz w:val="24"/>
        </w:rPr>
      </w:pPr>
      <w:bookmarkStart w:id="96" w:name="_Toc73517683"/>
      <w:bookmarkStart w:id="97" w:name="_Toc73521678"/>
      <w:bookmarkStart w:id="98" w:name="_Toc100052411"/>
      <w:bookmarkStart w:id="99" w:name="_Toc73518161"/>
      <w:bookmarkStart w:id="100" w:name="_Toc73521590"/>
      <w:r>
        <w:rPr>
          <w:rFonts w:hint="eastAsia" w:ascii="黑体" w:hAnsi="宋体" w:eastAsia="黑体"/>
          <w:sz w:val="24"/>
        </w:rPr>
        <w:t>4</w:t>
      </w:r>
      <w:r>
        <w:rPr>
          <w:rFonts w:hint="eastAsia" w:ascii="黑体" w:hAnsi="宋体" w:eastAsia="黑体"/>
          <w:sz w:val="24"/>
          <w:lang w:val="en-US" w:eastAsia="zh-CN"/>
        </w:rPr>
        <w:t>5</w:t>
      </w:r>
      <w:r>
        <w:rPr>
          <w:rFonts w:hint="eastAsia" w:ascii="黑体" w:hAnsi="宋体" w:eastAsia="黑体"/>
          <w:sz w:val="24"/>
        </w:rPr>
        <w:t>．履约担保</w:t>
      </w:r>
      <w:bookmarkEnd w:id="96"/>
      <w:bookmarkEnd w:id="97"/>
      <w:bookmarkEnd w:id="98"/>
      <w:bookmarkEnd w:id="99"/>
      <w:bookmarkEnd w:id="100"/>
    </w:p>
    <w:p w14:paraId="1CFDCD51">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5D8822C1">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5F28294">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6225D20E">
      <w:pPr>
        <w:ind w:firstLine="420" w:firstLineChars="200"/>
        <w:rPr>
          <w:rFonts w:ascii="宋体" w:hAnsi="宋体"/>
          <w:szCs w:val="21"/>
        </w:rPr>
      </w:pPr>
      <w:r>
        <w:rPr>
          <w:rFonts w:hint="eastAsia" w:ascii="宋体" w:hAnsi="宋体"/>
          <w:szCs w:val="21"/>
        </w:rPr>
        <w:t>采购人与中标供应商自中标通知书发出之日起10个工作日内签订政府采购合同，并按财政部门规定提交备案。</w:t>
      </w:r>
    </w:p>
    <w:p w14:paraId="670CBBA0">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5CC01EC5">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1889C638">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714D5AAF">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16550E23">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78AE145F">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1641D1E5">
      <w:pPr>
        <w:ind w:left="210" w:leftChars="100" w:firstLine="411" w:firstLineChars="196"/>
        <w:rPr>
          <w:rFonts w:ascii="宋体" w:hAnsi="宋体"/>
        </w:rPr>
      </w:pPr>
      <w:r>
        <w:rPr>
          <w:rFonts w:ascii="宋体" w:hAnsi="宋体"/>
        </w:rPr>
        <w:t>a.名片、宣传册、广告标语等；</w:t>
      </w:r>
    </w:p>
    <w:p w14:paraId="67314E74">
      <w:pPr>
        <w:ind w:left="210" w:leftChars="100" w:firstLine="411" w:firstLineChars="196"/>
        <w:rPr>
          <w:rFonts w:ascii="宋体" w:hAnsi="宋体"/>
        </w:rPr>
      </w:pPr>
      <w:r>
        <w:rPr>
          <w:rFonts w:ascii="宋体" w:hAnsi="宋体"/>
        </w:rPr>
        <w:t>b.案例介绍、推广等；</w:t>
      </w:r>
    </w:p>
    <w:p w14:paraId="7D390E16">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2701F537">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40CA3972">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01D964F5">
      <w:pPr>
        <w:ind w:firstLine="411" w:firstLineChars="196"/>
        <w:rPr>
          <w:rFonts w:ascii="宋体" w:hAnsi="宋体"/>
          <w:szCs w:val="21"/>
        </w:rPr>
      </w:pPr>
      <w:r>
        <w:rPr>
          <w:rFonts w:hint="eastAsia" w:ascii="宋体" w:hAnsi="宋体"/>
          <w:szCs w:val="21"/>
        </w:rPr>
        <w:t>（1）在采购活动中应当回避而未回避的；</w:t>
      </w:r>
    </w:p>
    <w:p w14:paraId="0708BCE7">
      <w:pPr>
        <w:ind w:firstLine="411" w:firstLineChars="196"/>
        <w:rPr>
          <w:rFonts w:ascii="宋体" w:hAnsi="宋体"/>
          <w:szCs w:val="21"/>
        </w:rPr>
      </w:pPr>
      <w:r>
        <w:rPr>
          <w:rFonts w:hint="eastAsia" w:ascii="宋体" w:hAnsi="宋体"/>
          <w:szCs w:val="21"/>
        </w:rPr>
        <w:t>（2）未按本条例规定签订、履行采购合同，造成严重后果的；</w:t>
      </w:r>
    </w:p>
    <w:p w14:paraId="5965F1C2">
      <w:pPr>
        <w:ind w:firstLine="411" w:firstLineChars="196"/>
        <w:rPr>
          <w:rFonts w:ascii="宋体" w:hAnsi="宋体"/>
          <w:szCs w:val="21"/>
        </w:rPr>
      </w:pPr>
      <w:r>
        <w:rPr>
          <w:rFonts w:hint="eastAsia" w:ascii="宋体" w:hAnsi="宋体"/>
          <w:szCs w:val="21"/>
        </w:rPr>
        <w:t>（3）隐瞒真实情况，提供虚假资料的；</w:t>
      </w:r>
    </w:p>
    <w:p w14:paraId="7C4C1FBB">
      <w:pPr>
        <w:ind w:firstLine="411" w:firstLineChars="196"/>
        <w:rPr>
          <w:rFonts w:ascii="宋体" w:hAnsi="宋体"/>
          <w:szCs w:val="21"/>
        </w:rPr>
      </w:pPr>
      <w:r>
        <w:rPr>
          <w:rFonts w:hint="eastAsia" w:ascii="宋体" w:hAnsi="宋体"/>
          <w:szCs w:val="21"/>
        </w:rPr>
        <w:t>（4）以非法手段排斥其他供应商参与竞争的；</w:t>
      </w:r>
    </w:p>
    <w:p w14:paraId="1E4F1C9B">
      <w:pPr>
        <w:ind w:firstLine="411" w:firstLineChars="196"/>
        <w:rPr>
          <w:rFonts w:ascii="宋体" w:hAnsi="宋体"/>
          <w:szCs w:val="21"/>
        </w:rPr>
      </w:pPr>
      <w:r>
        <w:rPr>
          <w:rFonts w:hint="eastAsia" w:ascii="宋体" w:hAnsi="宋体"/>
          <w:szCs w:val="21"/>
        </w:rPr>
        <w:t>（5）与其他采购参加人串通投标的；</w:t>
      </w:r>
    </w:p>
    <w:p w14:paraId="74A95DEC">
      <w:pPr>
        <w:ind w:firstLine="411" w:firstLineChars="196"/>
        <w:rPr>
          <w:rFonts w:ascii="宋体" w:hAnsi="宋体"/>
          <w:szCs w:val="21"/>
        </w:rPr>
      </w:pPr>
      <w:r>
        <w:rPr>
          <w:rFonts w:hint="eastAsia" w:ascii="宋体" w:hAnsi="宋体"/>
          <w:szCs w:val="21"/>
        </w:rPr>
        <w:t>（6）恶意投诉的；</w:t>
      </w:r>
    </w:p>
    <w:p w14:paraId="0C70C012">
      <w:pPr>
        <w:ind w:firstLine="411" w:firstLineChars="196"/>
        <w:rPr>
          <w:rFonts w:ascii="宋体" w:hAnsi="宋体"/>
          <w:szCs w:val="21"/>
        </w:rPr>
      </w:pPr>
      <w:r>
        <w:rPr>
          <w:rFonts w:hint="eastAsia" w:ascii="宋体" w:hAnsi="宋体"/>
          <w:szCs w:val="21"/>
        </w:rPr>
        <w:t>（7）向采购项目相关人行贿或者提供其他不当利益的；</w:t>
      </w:r>
    </w:p>
    <w:p w14:paraId="0415EB76">
      <w:pPr>
        <w:ind w:firstLine="411" w:firstLineChars="196"/>
        <w:rPr>
          <w:rFonts w:ascii="宋体" w:hAnsi="宋体"/>
          <w:szCs w:val="21"/>
        </w:rPr>
      </w:pPr>
      <w:r>
        <w:rPr>
          <w:rFonts w:hint="eastAsia" w:ascii="宋体" w:hAnsi="宋体"/>
          <w:szCs w:val="21"/>
        </w:rPr>
        <w:t>（8）阻碍、抗拒主管部门监督检查的；</w:t>
      </w:r>
    </w:p>
    <w:p w14:paraId="7A234663">
      <w:pPr>
        <w:ind w:firstLine="411" w:firstLineChars="196"/>
        <w:rPr>
          <w:rFonts w:ascii="宋体" w:hAnsi="宋体"/>
          <w:szCs w:val="21"/>
        </w:rPr>
      </w:pPr>
      <w:r>
        <w:rPr>
          <w:rFonts w:hint="eastAsia" w:ascii="宋体" w:hAnsi="宋体"/>
          <w:szCs w:val="21"/>
        </w:rPr>
        <w:t>（9）其他违反本条例规定的行为。</w:t>
      </w:r>
    </w:p>
    <w:p w14:paraId="3B5EDD01">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01" w:name="_Hlk72440769"/>
      <w:r>
        <w:rPr>
          <w:rFonts w:hint="eastAsia" w:ascii="宋体" w:hAnsi="宋体"/>
          <w:szCs w:val="21"/>
        </w:rPr>
        <w:t>政府集中采购机构或采购人不予退还其交纳的谈判保证金，情节严重的，并由主管部门</w:t>
      </w:r>
      <w:bookmarkEnd w:id="101"/>
      <w:r>
        <w:rPr>
          <w:rFonts w:hint="eastAsia" w:ascii="宋体" w:hAnsi="宋体"/>
          <w:szCs w:val="21"/>
        </w:rPr>
        <w:t>记入供应商诚信档案，予以通报：</w:t>
      </w:r>
    </w:p>
    <w:p w14:paraId="06B62E4B">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0B9A09FA">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B8A7216">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452AB9D4">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85"/>
    <w:p w14:paraId="5D6C2CF1">
      <w:pPr>
        <w:pStyle w:val="3"/>
        <w:numPr>
          <w:ilvl w:val="0"/>
          <w:numId w:val="11"/>
        </w:numPr>
        <w:spacing w:before="120" w:beforeLines="50" w:after="120" w:afterLines="50"/>
        <w:ind w:left="562" w:hanging="562"/>
        <w:rPr>
          <w:sz w:val="28"/>
          <w:szCs w:val="28"/>
        </w:rPr>
      </w:pPr>
      <w:r>
        <w:rPr>
          <w:rFonts w:hint="eastAsia"/>
          <w:sz w:val="28"/>
          <w:szCs w:val="28"/>
        </w:rPr>
        <w:t>质疑处理</w:t>
      </w:r>
    </w:p>
    <w:p w14:paraId="7C5235A9">
      <w:pPr>
        <w:rPr>
          <w:rFonts w:ascii="黑体" w:hAnsi="宋体" w:eastAsia="黑体"/>
          <w:sz w:val="24"/>
        </w:rPr>
      </w:pPr>
      <w:bookmarkStart w:id="102"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68FE38C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03471C94">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572FF19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.2法律依据</w:t>
      </w:r>
    </w:p>
    <w:p w14:paraId="12A63AFA">
      <w:pPr>
        <w:rPr>
          <w:rFonts w:ascii="宋体" w:hAnsi="宋体"/>
          <w:szCs w:val="21"/>
        </w:rPr>
      </w:pPr>
      <w:r>
        <w:rPr>
          <w:rFonts w:hint="eastAsia" w:ascii="宋体" w:hAnsi="宋体"/>
          <w:szCs w:val="21"/>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73DB0FF3">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.3质疑条件</w:t>
      </w:r>
    </w:p>
    <w:p w14:paraId="2F72EA8D">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w:t>
      </w:r>
      <w:bookmarkStart w:id="103" w:name="_Hlk75374941"/>
      <w:r>
        <w:rPr>
          <w:rFonts w:hint="eastAsia" w:ascii="宋体" w:hAnsi="宋体"/>
          <w:szCs w:val="21"/>
        </w:rPr>
        <w:t>以联合体形式参与的，质疑应当由组成联合体的所有成员共同提出</w:t>
      </w:r>
      <w:bookmarkEnd w:id="103"/>
      <w:r>
        <w:rPr>
          <w:rFonts w:hint="eastAsia" w:ascii="宋体" w:hAnsi="宋体"/>
          <w:szCs w:val="21"/>
        </w:rPr>
        <w:t>（如供应商采用线上提交质疑方式的，由牵头单位在系统发起，根据本采购文件第5</w:t>
      </w:r>
      <w:r>
        <w:rPr>
          <w:rFonts w:hint="eastAsia" w:ascii="宋体" w:hAnsi="宋体"/>
          <w:szCs w:val="21"/>
          <w:lang w:val="en-US" w:eastAsia="zh-CN"/>
        </w:rPr>
        <w:t>1</w:t>
      </w:r>
      <w:r>
        <w:rPr>
          <w:rFonts w:hint="eastAsia" w:ascii="宋体" w:hAnsi="宋体"/>
          <w:szCs w:val="21"/>
        </w:rPr>
        <w:t>.3.3条、5</w:t>
      </w:r>
      <w:r>
        <w:rPr>
          <w:rFonts w:hint="eastAsia" w:ascii="宋体" w:hAnsi="宋体"/>
          <w:szCs w:val="21"/>
          <w:lang w:val="en-US" w:eastAsia="zh-CN"/>
        </w:rPr>
        <w:t>1</w:t>
      </w:r>
      <w:r>
        <w:rPr>
          <w:rFonts w:hint="eastAsia" w:ascii="宋体" w:hAnsi="宋体"/>
          <w:szCs w:val="21"/>
        </w:rPr>
        <w:t>.4条的要求，提供所有联合体成员共同签字盖章的质疑函、授权委托书，所有联合体成员的营业执照或者其他证明文件（如事业单位法人证书等）、法定代表人（负责人）证明书）；</w:t>
      </w:r>
    </w:p>
    <w:p w14:paraId="59FFF130">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2650016D">
      <w:pPr>
        <w:ind w:firstLine="42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 xml:space="preserve">.3.3应提交书面质疑函，质疑函应当包括以下内容： </w:t>
      </w:r>
    </w:p>
    <w:p w14:paraId="4CCBCDED">
      <w:pPr>
        <w:ind w:firstLine="420"/>
        <w:rPr>
          <w:rFonts w:ascii="宋体" w:hAnsi="宋体"/>
          <w:szCs w:val="21"/>
        </w:rPr>
      </w:pPr>
      <w:r>
        <w:rPr>
          <w:rFonts w:hint="eastAsia" w:ascii="宋体" w:hAnsi="宋体"/>
          <w:szCs w:val="21"/>
        </w:rPr>
        <w:t>（1）供应商的名称（或者姓名）、地址、邮编、邮箱、联系人及联系电话；</w:t>
      </w:r>
    </w:p>
    <w:p w14:paraId="1FD8508F">
      <w:pPr>
        <w:ind w:firstLine="420" w:firstLineChars="200"/>
        <w:rPr>
          <w:rFonts w:ascii="宋体" w:hAnsi="宋体"/>
          <w:szCs w:val="21"/>
        </w:rPr>
      </w:pPr>
      <w:r>
        <w:rPr>
          <w:rFonts w:hint="eastAsia" w:ascii="宋体" w:hAnsi="宋体"/>
          <w:szCs w:val="21"/>
        </w:rPr>
        <w:t>（2）质疑项目的名称、编号；</w:t>
      </w:r>
    </w:p>
    <w:p w14:paraId="291BBEF1">
      <w:pPr>
        <w:ind w:firstLine="420" w:firstLineChars="200"/>
        <w:rPr>
          <w:rFonts w:ascii="宋体" w:hAnsi="宋体"/>
          <w:szCs w:val="21"/>
        </w:rPr>
      </w:pPr>
      <w:r>
        <w:rPr>
          <w:rFonts w:hint="eastAsia" w:ascii="宋体" w:hAnsi="宋体"/>
          <w:szCs w:val="21"/>
        </w:rPr>
        <w:t>（3）具体、明确的质疑对象、质疑事项和质疑请求；</w:t>
      </w:r>
    </w:p>
    <w:p w14:paraId="30E4DBCE">
      <w:pPr>
        <w:ind w:firstLine="420" w:firstLineChars="200"/>
        <w:rPr>
          <w:rFonts w:ascii="宋体" w:hAnsi="宋体"/>
          <w:szCs w:val="21"/>
        </w:rPr>
      </w:pPr>
      <w:r>
        <w:rPr>
          <w:rFonts w:hint="eastAsia" w:ascii="宋体" w:hAnsi="宋体"/>
          <w:szCs w:val="21"/>
        </w:rPr>
        <w:t>（4）因质疑事项而受损害的权益；</w:t>
      </w:r>
    </w:p>
    <w:p w14:paraId="17136AD6">
      <w:pPr>
        <w:ind w:firstLine="420" w:firstLineChars="200"/>
        <w:rPr>
          <w:rFonts w:ascii="宋体" w:hAnsi="宋体"/>
          <w:szCs w:val="21"/>
        </w:rPr>
      </w:pPr>
      <w:r>
        <w:rPr>
          <w:rFonts w:hint="eastAsia" w:ascii="宋体" w:hAnsi="宋体"/>
          <w:szCs w:val="21"/>
        </w:rPr>
        <w:t>（5）事实依据；</w:t>
      </w:r>
    </w:p>
    <w:p w14:paraId="649BFF31">
      <w:pPr>
        <w:ind w:firstLine="420" w:firstLineChars="200"/>
        <w:rPr>
          <w:rFonts w:ascii="宋体" w:hAnsi="宋体"/>
          <w:szCs w:val="21"/>
        </w:rPr>
      </w:pPr>
      <w:r>
        <w:rPr>
          <w:rFonts w:hint="eastAsia" w:ascii="宋体" w:hAnsi="宋体"/>
          <w:szCs w:val="21"/>
        </w:rPr>
        <w:t>（6）必要的法律依据；</w:t>
      </w:r>
    </w:p>
    <w:p w14:paraId="0F7169B2">
      <w:pPr>
        <w:ind w:firstLine="420" w:firstLineChars="200"/>
        <w:rPr>
          <w:rFonts w:ascii="宋体" w:hAnsi="宋体"/>
          <w:szCs w:val="21"/>
        </w:rPr>
      </w:pPr>
      <w:r>
        <w:rPr>
          <w:rFonts w:hint="eastAsia" w:ascii="宋体" w:hAnsi="宋体"/>
          <w:szCs w:val="21"/>
        </w:rPr>
        <w:t>（7）提出质疑的日期。</w:t>
      </w:r>
    </w:p>
    <w:p w14:paraId="2055AECE">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37C317E7">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.4提交材料</w:t>
      </w:r>
    </w:p>
    <w:p w14:paraId="1687F7F9">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4CBBFCFE">
      <w:pPr>
        <w:ind w:firstLine="420" w:firstLineChars="200"/>
        <w:rPr>
          <w:rFonts w:ascii="宋体" w:hAnsi="宋体"/>
          <w:szCs w:val="21"/>
        </w:rPr>
      </w:pPr>
      <w:r>
        <w:rPr>
          <w:rFonts w:hint="eastAsia" w:ascii="宋体" w:hAnsi="宋体"/>
          <w:szCs w:val="21"/>
        </w:rPr>
        <w:t>供应商可以委托代理人进行质疑。其授权委托书应当载明代理人的姓名或者名称、代理事项、具体权限、期限和相关事项，并附上加盖公章的代理人身份证复印件。供应商为自然人的，应当由本人签字；供应商为法人或者其他组织的，应当由法定代表人、主要负责人签字或者盖章，并加盖公章。</w:t>
      </w:r>
    </w:p>
    <w:p w14:paraId="75DB8461">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 提交方式</w:t>
      </w:r>
    </w:p>
    <w:p w14:paraId="5CA6D2F9">
      <w:pPr>
        <w:ind w:firstLine="420" w:firstLineChars="200"/>
        <w:rPr>
          <w:rFonts w:ascii="Calibri" w:hAnsi="Calibri"/>
          <w:szCs w:val="22"/>
        </w:rPr>
      </w:pPr>
      <w:r>
        <w:rPr>
          <w:rFonts w:hint="eastAsia" w:ascii="Calibri" w:hAnsi="Calibri"/>
          <w:szCs w:val="22"/>
        </w:rPr>
        <w:t>针对采购公告、结果公告或者更正结果公告的质疑，质疑提交可以采用现场或邮寄或线上方式。供应商选择其中一种方式提交。</w:t>
      </w:r>
      <w:bookmarkStart w:id="104" w:name="OLE_LINK2"/>
      <w:r>
        <w:rPr>
          <w:rFonts w:hint="eastAsia" w:ascii="Calibri" w:hAnsi="Calibri"/>
          <w:szCs w:val="22"/>
        </w:rPr>
        <w:t>若</w:t>
      </w:r>
      <w:bookmarkEnd w:id="104"/>
      <w:r>
        <w:rPr>
          <w:rFonts w:hint="eastAsia" w:ascii="Calibri" w:hAnsi="Calibri"/>
          <w:szCs w:val="22"/>
        </w:rPr>
        <w:t>采用多种方式提交的，以我中心第一次收到完整无误的质疑材料的日期为收文日期。采用邮寄方式提交的，交邮时间应在公告发布之日起七个工作日内。</w:t>
      </w:r>
    </w:p>
    <w:p w14:paraId="0CE69D53">
      <w:pPr>
        <w:ind w:firstLine="420" w:firstLineChars="200"/>
        <w:rPr>
          <w:rFonts w:ascii="Calibri" w:hAnsi="Calibri"/>
          <w:szCs w:val="22"/>
        </w:rPr>
      </w:pPr>
      <w:r>
        <w:rPr>
          <w:rFonts w:hint="eastAsia" w:ascii="Calibri" w:hAnsi="Calibri"/>
          <w:szCs w:val="22"/>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0C9A8E3B">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.5.1现场或邮寄提交</w:t>
      </w:r>
    </w:p>
    <w:p w14:paraId="6714F325">
      <w:pPr>
        <w:ind w:firstLine="420" w:firstLineChars="200"/>
        <w:rPr>
          <w:rFonts w:ascii="宋体" w:hAnsi="宋体"/>
          <w:szCs w:val="21"/>
        </w:rPr>
      </w:pPr>
      <w:r>
        <w:rPr>
          <w:rFonts w:hint="eastAsia" w:ascii="宋体" w:hAnsi="宋体"/>
          <w:szCs w:val="21"/>
        </w:rPr>
        <w:t>收文地址：深圳公共资源交易中心（深圳交易集团有限公司政府采购业务分公司）深圳市南山区沙河西路3185号南山智谷A座（深圳交易集团总部大楼）27楼，质疑咨询电话：0755-86500050、0755-86500054。</w:t>
      </w:r>
    </w:p>
    <w:p w14:paraId="433216F9">
      <w:pPr>
        <w:ind w:firstLine="420" w:firstLineChars="200"/>
        <w:rPr>
          <w:rFonts w:ascii="宋体" w:hAnsi="宋体"/>
          <w:szCs w:val="21"/>
        </w:rPr>
      </w:pPr>
      <w:r>
        <w:rPr>
          <w:rFonts w:hint="eastAsia" w:ascii="宋体" w:hAnsi="宋体"/>
          <w:szCs w:val="21"/>
        </w:rPr>
        <w:t>请质疑供应商根据深圳公共资源交易中心网页（https://www.szggzy.com/globalSearch/details.html?contentId=1211037）所发布的质疑指引、质疑函模板填写质疑函并提交质疑材料。</w:t>
      </w:r>
    </w:p>
    <w:p w14:paraId="62B01780">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.5.2线上提交</w:t>
      </w:r>
    </w:p>
    <w:p w14:paraId="3658908A">
      <w:pPr>
        <w:ind w:firstLine="420" w:firstLineChars="200"/>
        <w:rPr>
          <w:rFonts w:ascii="宋体" w:hAnsi="宋体"/>
          <w:szCs w:val="21"/>
        </w:rPr>
      </w:pPr>
      <w:r>
        <w:rPr>
          <w:rFonts w:hint="eastAsia" w:ascii="宋体" w:hAnsi="宋体"/>
          <w:szCs w:val="21"/>
        </w:rPr>
        <w:t>登录深圳政府采购智慧(监管)平台（http://zfcg.szggzy.com:8081/）→“深圳政府采购智慧(监管)平台用户网上办事子系统（http://zfcg.szggzy.com:8081/TPBidder/memberLogin）”，在“【我的项目】→【项目流程】→【质疑】”功能点中提交质疑。</w:t>
      </w:r>
    </w:p>
    <w:p w14:paraId="5891F34D">
      <w:pPr>
        <w:ind w:firstLine="422" w:firstLineChars="200"/>
        <w:rPr>
          <w:rFonts w:ascii="宋体" w:hAnsi="宋体"/>
          <w:b/>
          <w:bCs/>
          <w:color w:val="FF0000"/>
          <w:szCs w:val="21"/>
        </w:rPr>
      </w:pPr>
      <w:r>
        <w:rPr>
          <w:rFonts w:hint="eastAsia" w:ascii="宋体" w:hAnsi="宋体"/>
          <w:b/>
          <w:bCs/>
          <w:color w:val="FF0000"/>
          <w:szCs w:val="21"/>
        </w:rPr>
        <w:t>线上质疑的系统功能初次上线，正处试运行完善阶段。使用期间遇任何问题，欢迎来电联系0755-36568999 转1转1、0755-86500050、0755-86500054。如因系统功能原因导致无法提交质疑材料，请及时选择其他提交方式（现场或者邮寄提交）。如未及时选择其他提交方式导致质疑函超过法定质疑期（七个工作日内）提交，将导致质疑材料不被受理并承担相关不利后果。</w:t>
      </w:r>
    </w:p>
    <w:p w14:paraId="330DC656">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.6收文办理程序</w:t>
      </w:r>
    </w:p>
    <w:p w14:paraId="4DC03696">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267E9712">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083234FD">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57D25DA1">
      <w:pPr>
        <w:ind w:firstLine="420" w:firstLineChars="200"/>
        <w:rPr>
          <w:rFonts w:ascii="宋体" w:hAnsi="宋体"/>
          <w:szCs w:val="21"/>
        </w:rPr>
      </w:pPr>
      <w:r>
        <w:rPr>
          <w:rFonts w:hint="eastAsia" w:ascii="宋体" w:hAnsi="宋体"/>
          <w:szCs w:val="21"/>
        </w:rPr>
        <w:t>供应商提交的质疑存在下列情形之一的，不予受理：</w:t>
      </w:r>
    </w:p>
    <w:p w14:paraId="45A2CA46">
      <w:pPr>
        <w:ind w:firstLine="420" w:firstLineChars="200"/>
        <w:rPr>
          <w:rFonts w:ascii="宋体" w:hAnsi="宋体"/>
          <w:szCs w:val="21"/>
        </w:rPr>
      </w:pPr>
      <w:r>
        <w:rPr>
          <w:rFonts w:hint="eastAsia" w:ascii="宋体" w:hAnsi="宋体"/>
          <w:szCs w:val="21"/>
        </w:rPr>
        <w:t>（1）质疑主体不满足要求的；</w:t>
      </w:r>
    </w:p>
    <w:p w14:paraId="11F45B2A">
      <w:pPr>
        <w:ind w:firstLine="420" w:firstLineChars="200"/>
        <w:rPr>
          <w:rFonts w:ascii="宋体" w:hAnsi="宋体"/>
          <w:szCs w:val="21"/>
        </w:rPr>
      </w:pPr>
      <w:r>
        <w:rPr>
          <w:rFonts w:hint="eastAsia" w:ascii="宋体" w:hAnsi="宋体"/>
          <w:szCs w:val="21"/>
        </w:rPr>
        <w:t>（2）供应商自身权益未受到损害的；</w:t>
      </w:r>
    </w:p>
    <w:p w14:paraId="7D556386">
      <w:pPr>
        <w:ind w:firstLine="420" w:firstLineChars="200"/>
        <w:rPr>
          <w:rFonts w:ascii="宋体" w:hAnsi="宋体"/>
          <w:szCs w:val="21"/>
        </w:rPr>
      </w:pPr>
      <w:r>
        <w:rPr>
          <w:rFonts w:hint="eastAsia" w:ascii="宋体" w:hAnsi="宋体"/>
          <w:szCs w:val="21"/>
        </w:rPr>
        <w:t>（3）供应商未在法定质疑期限内提出质疑的；</w:t>
      </w:r>
    </w:p>
    <w:p w14:paraId="3FE4AF88">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067ACABB">
      <w:pPr>
        <w:ind w:firstLine="420" w:firstLineChars="200"/>
        <w:rPr>
          <w:rFonts w:ascii="宋体" w:hAnsi="宋体"/>
          <w:szCs w:val="21"/>
        </w:rPr>
      </w:pPr>
      <w:r>
        <w:rPr>
          <w:rFonts w:hint="eastAsia" w:ascii="宋体" w:hAnsi="宋体"/>
          <w:szCs w:val="21"/>
        </w:rPr>
        <w:t>（5）其他不符合受理条件情形的。</w:t>
      </w:r>
    </w:p>
    <w:p w14:paraId="116A4008">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质疑事项不予受理的，政府集中采购机构应当向供应商出具不符合质疑条件告知书或系统中说明不符合质疑条件的理由。</w:t>
      </w:r>
    </w:p>
    <w:p w14:paraId="09586D2D">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05AB8697">
      <w:pPr>
        <w:rPr>
          <w:rFonts w:ascii="宋体" w:hAnsi="宋体"/>
          <w:szCs w:val="21"/>
        </w:rPr>
      </w:pPr>
      <w:r>
        <w:rPr>
          <w:rFonts w:hint="eastAsia" w:ascii="宋体" w:hAnsi="宋体"/>
          <w:szCs w:val="21"/>
        </w:rPr>
        <w:t xml:space="preserve">    自收文之日起七个工作日内。</w:t>
      </w:r>
    </w:p>
    <w:p w14:paraId="1F3B1AA4">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6BDBC20E">
      <w:pPr>
        <w:ind w:firstLine="420"/>
        <w:rPr>
          <w:rFonts w:ascii="宋体" w:hAnsi="宋体"/>
          <w:szCs w:val="21"/>
        </w:rPr>
      </w:pPr>
      <w:r>
        <w:rPr>
          <w:rFonts w:hint="eastAsia" w:ascii="宋体" w:hAnsi="宋体"/>
          <w:szCs w:val="21"/>
        </w:rPr>
        <w:t>对质疑答复不满意或者未在规定时间内答复的，提出质疑的供应商可以在答复期满后15个工作日内向同级财政部门投诉。</w:t>
      </w:r>
    </w:p>
    <w:p w14:paraId="3E441F3D">
      <w:pPr>
        <w:ind w:firstLine="420"/>
        <w:rPr>
          <w:rFonts w:ascii="Calibri" w:hAnsi="Calibri"/>
          <w:szCs w:val="22"/>
        </w:rPr>
      </w:pPr>
      <w:bookmarkStart w:id="105" w:name="OLE_LINK4"/>
      <w:r>
        <w:rPr>
          <w:rFonts w:hint="eastAsia" w:ascii="Calibri" w:hAnsi="Calibri"/>
          <w:szCs w:val="22"/>
        </w:rPr>
        <w:t>如供应商采用线上提交质疑方式的，</w:t>
      </w:r>
      <w:bookmarkEnd w:id="105"/>
      <w:r>
        <w:rPr>
          <w:rFonts w:hint="eastAsia" w:ascii="Calibri" w:hAnsi="Calibri"/>
          <w:szCs w:val="22"/>
        </w:rPr>
        <w:t>可以登录深圳政府采购智慧</w:t>
      </w:r>
      <w:r>
        <w:rPr>
          <w:rFonts w:ascii="Calibri" w:hAnsi="Calibri"/>
          <w:szCs w:val="22"/>
        </w:rPr>
        <w:t>(</w:t>
      </w:r>
      <w:r>
        <w:rPr>
          <w:rFonts w:hint="eastAsia" w:ascii="Calibri" w:hAnsi="Calibri"/>
          <w:szCs w:val="22"/>
        </w:rPr>
        <w:t>监管</w:t>
      </w:r>
      <w:r>
        <w:rPr>
          <w:rFonts w:ascii="Calibri" w:hAnsi="Calibri"/>
          <w:szCs w:val="22"/>
        </w:rPr>
        <w:t>)</w:t>
      </w:r>
      <w:r>
        <w:rPr>
          <w:rFonts w:hint="eastAsia" w:ascii="Calibri" w:hAnsi="Calibri"/>
          <w:szCs w:val="22"/>
        </w:rPr>
        <w:t>平台（</w:t>
      </w:r>
      <w:r>
        <w:rPr>
          <w:rFonts w:ascii="Calibri" w:hAnsi="Calibri"/>
          <w:szCs w:val="22"/>
        </w:rPr>
        <w:t>http://zfcg.szggzy.com:8081/</w:t>
      </w:r>
      <w:r>
        <w:rPr>
          <w:rFonts w:hint="eastAsia" w:ascii="Calibri" w:hAnsi="Calibri"/>
          <w:szCs w:val="22"/>
        </w:rPr>
        <w:t>）→“深圳政府采购智慧</w:t>
      </w:r>
      <w:r>
        <w:rPr>
          <w:rFonts w:ascii="Calibri" w:hAnsi="Calibri"/>
          <w:szCs w:val="22"/>
        </w:rPr>
        <w:t>(</w:t>
      </w:r>
      <w:r>
        <w:rPr>
          <w:rFonts w:hint="eastAsia" w:ascii="Calibri" w:hAnsi="Calibri"/>
          <w:szCs w:val="22"/>
        </w:rPr>
        <w:t>监管</w:t>
      </w:r>
      <w:r>
        <w:rPr>
          <w:rFonts w:ascii="Calibri" w:hAnsi="Calibri"/>
          <w:szCs w:val="22"/>
        </w:rPr>
        <w:t>)</w:t>
      </w:r>
      <w:r>
        <w:rPr>
          <w:rFonts w:hint="eastAsia" w:ascii="Calibri" w:hAnsi="Calibri"/>
          <w:szCs w:val="22"/>
        </w:rPr>
        <w:t>平台用户网上办事子系统（</w:t>
      </w:r>
      <w:r>
        <w:rPr>
          <w:rFonts w:ascii="Calibri" w:hAnsi="Calibri"/>
          <w:szCs w:val="22"/>
        </w:rPr>
        <w:t>http://zfcg.szggzy.com:8081/TPBidder/memberLogin</w:t>
      </w:r>
      <w:r>
        <w:rPr>
          <w:rFonts w:hint="eastAsia" w:ascii="Calibri" w:hAnsi="Calibri"/>
          <w:szCs w:val="22"/>
        </w:rPr>
        <w:t>）”，在“【我的项目】→【项目流程】→【投诉】”功能点中提交投诉。</w:t>
      </w:r>
    </w:p>
    <w:p w14:paraId="34502ECC">
      <w:pPr>
        <w:rPr>
          <w:rFonts w:ascii="黑体" w:hAnsi="宋体" w:eastAsia="黑体"/>
          <w:sz w:val="24"/>
        </w:rPr>
      </w:pPr>
      <w:r>
        <w:rPr>
          <w:rFonts w:hint="eastAsia" w:ascii="黑体" w:hAnsi="宋体" w:eastAsia="黑体"/>
          <w:sz w:val="24"/>
        </w:rPr>
        <w:t>53. 质疑后续处理</w:t>
      </w:r>
    </w:p>
    <w:p w14:paraId="7EBE8E14">
      <w:pPr>
        <w:rPr>
          <w:rFonts w:ascii="宋体" w:hAnsi="宋体"/>
          <w:szCs w:val="21"/>
        </w:rPr>
      </w:pPr>
      <w:r>
        <w:rPr>
          <w:rFonts w:hint="eastAsia" w:ascii="宋体" w:hAnsi="宋体"/>
          <w:szCs w:val="21"/>
        </w:rPr>
        <w:t xml:space="preserve">    53.1供应商质疑不成立，或者成立但未对中标、成交结果构成影响的，继续开展采购活动。</w:t>
      </w:r>
    </w:p>
    <w:p w14:paraId="044D3CB3">
      <w:pPr>
        <w:ind w:firstLine="420"/>
        <w:rPr>
          <w:rFonts w:ascii="宋体" w:hAnsi="宋体"/>
          <w:szCs w:val="21"/>
        </w:rPr>
      </w:pPr>
      <w:r>
        <w:rPr>
          <w:rFonts w:hint="eastAsia" w:ascii="宋体" w:hAnsi="宋体"/>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30CC7F63">
      <w:pPr>
        <w:ind w:firstLine="420"/>
        <w:rPr>
          <w:rFonts w:ascii="宋体" w:hAnsi="宋体"/>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71E191E5">
      <w:pPr>
        <w:jc w:val="center"/>
      </w:pPr>
      <w:r>
        <w:t>---- END ----</w:t>
      </w:r>
      <w:bookmarkEnd w:id="102"/>
    </w:p>
    <w:p w14:paraId="37EB9867">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6A4F061-87AC-474C-804D-27A6AADB987F}"/>
  </w:font>
  <w:font w:name="黑体">
    <w:panose1 w:val="02010609060101010101"/>
    <w:charset w:val="86"/>
    <w:family w:val="auto"/>
    <w:pitch w:val="default"/>
    <w:sig w:usb0="800002BF" w:usb1="38CF7CFA" w:usb2="00000016" w:usb3="00000000" w:csb0="00040001" w:csb1="00000000"/>
    <w:embedRegular r:id="rId2" w:fontKey="{4739F891-A363-4A1B-B7EF-98A9046A2C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1859776-754F-4026-9042-A5AE8266CC69}"/>
  </w:font>
  <w:font w:name="Arial Unicode MS">
    <w:altName w:val="宋体"/>
    <w:panose1 w:val="020B0604020202020204"/>
    <w:charset w:val="86"/>
    <w:family w:val="swiss"/>
    <w:pitch w:val="default"/>
    <w:sig w:usb0="00000000" w:usb1="00000000"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6039D4F7-409C-48A0-813C-42047D8822CA}"/>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5" w:fontKey="{C1FFC633-7DC8-4B70-9EE2-48CBF826E7C3}"/>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Noto Sans SC"/>
    <w:panose1 w:val="00000000000000000000"/>
    <w:charset w:val="00"/>
    <w:family w:val="roman"/>
    <w:pitch w:val="default"/>
    <w:sig w:usb0="00000000" w:usb1="00000000" w:usb2="00000000" w:usb3="00000000" w:csb0="00040001" w:csb1="00000000"/>
    <w:embedRegular r:id="rId6" w:fontKey="{C6ED4050-D421-439B-A28B-E2B3BC5D6E62}"/>
  </w:font>
  <w:font w:name="Noto Sans SC">
    <w:panose1 w:val="020B0200000000000000"/>
    <w:charset w:val="86"/>
    <w:family w:val="auto"/>
    <w:pitch w:val="default"/>
    <w:sig w:usb0="20000083" w:usb1="2ADF3C10" w:usb2="00000016" w:usb3="00000000" w:csb0="60060107" w:csb1="00000000"/>
  </w:font>
  <w:font w:name="??">
    <w:altName w:val="Noto Sans SC"/>
    <w:panose1 w:val="00000000000000000000"/>
    <w:charset w:val="01"/>
    <w:family w:val="auto"/>
    <w:pitch w:val="default"/>
    <w:sig w:usb0="00000000" w:usb1="00000000" w:usb2="00000000" w:usb3="00000000" w:csb0="00040001" w:csb1="00000000"/>
  </w:font>
  <w:font w:name="汉仪细等线简">
    <w:panose1 w:val="00020600040101010101"/>
    <w:charset w:val="86"/>
    <w:family w:val="modern"/>
    <w:pitch w:val="default"/>
    <w:sig w:usb0="800002BF" w:usb1="1A4F6CF8" w:usb2="00000012" w:usb3="00000000" w:csb0="0004009F" w:csb1="DFD70000"/>
  </w:font>
  <w:font w:name="H Yb 2gj">
    <w:altName w:val="宋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舒体">
    <w:panose1 w:val="02010601030101010101"/>
    <w:charset w:val="86"/>
    <w:family w:val="auto"/>
    <w:pitch w:val="default"/>
    <w:sig w:usb0="00000003" w:usb1="080E0000" w:usb2="00000000" w:usb3="00000000" w:csb0="00040000" w:csb1="00000000"/>
    <w:embedRegular r:id="rId7" w:fontKey="{D51BEB83-7BB7-49DD-B56A-916600D98614}"/>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69E47">
    <w:pPr>
      <w:pStyle w:val="27"/>
      <w:framePr w:wrap="around" w:vAnchor="text" w:hAnchor="margin" w:xAlign="center" w:y="1"/>
      <w:rPr>
        <w:rStyle w:val="46"/>
      </w:rPr>
    </w:pPr>
    <w:r>
      <w:t xml:space="preserve">- </w:t>
    </w:r>
    <w:r>
      <w:fldChar w:fldCharType="begin"/>
    </w:r>
    <w:r>
      <w:instrText xml:space="preserve"> PAGE </w:instrText>
    </w:r>
    <w:r>
      <w:fldChar w:fldCharType="separate"/>
    </w:r>
    <w:r>
      <w:t>73</w:t>
    </w:r>
    <w:r>
      <w:fldChar w:fldCharType="end"/>
    </w:r>
    <w:r>
      <w:t xml:space="preserve"> -</w:t>
    </w:r>
  </w:p>
  <w:p w14:paraId="520B084D">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7F61B">
    <w:pPr>
      <w:pStyle w:val="27"/>
      <w:framePr w:wrap="around" w:vAnchor="text" w:hAnchor="margin" w:xAlign="center" w:y="1"/>
      <w:rPr>
        <w:rStyle w:val="46"/>
      </w:rPr>
    </w:pPr>
    <w:r>
      <w:rPr>
        <w:rStyle w:val="46"/>
      </w:rPr>
      <w:fldChar w:fldCharType="begin"/>
    </w:r>
    <w:r>
      <w:rPr>
        <w:rStyle w:val="46"/>
      </w:rPr>
      <w:instrText xml:space="preserve">PAGE  </w:instrText>
    </w:r>
    <w:r>
      <w:rPr>
        <w:rStyle w:val="46"/>
      </w:rPr>
      <w:fldChar w:fldCharType="separate"/>
    </w:r>
    <w:r>
      <w:rPr>
        <w:rStyle w:val="46"/>
      </w:rPr>
      <w:fldChar w:fldCharType="end"/>
    </w:r>
  </w:p>
  <w:p w14:paraId="7416709C">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39D4A">
    <w:pPr>
      <w:pStyle w:val="28"/>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F2659F"/>
    <w:multiLevelType w:val="singleLevel"/>
    <w:tmpl w:val="96F2659F"/>
    <w:lvl w:ilvl="0" w:tentative="0">
      <w:start w:val="8"/>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3">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C6973FF"/>
    <w:multiLevelType w:val="singleLevel"/>
    <w:tmpl w:val="0C6973FF"/>
    <w:lvl w:ilvl="0" w:tentative="0">
      <w:start w:val="10"/>
      <w:numFmt w:val="decimal"/>
      <w:lvlText w:val="%1."/>
      <w:lvlJc w:val="left"/>
      <w:pPr>
        <w:tabs>
          <w:tab w:val="left" w:pos="312"/>
        </w:tabs>
      </w:pPr>
    </w:lvl>
  </w:abstractNum>
  <w:abstractNum w:abstractNumId="6">
    <w:nsid w:val="12503483"/>
    <w:multiLevelType w:val="multilevel"/>
    <w:tmpl w:val="12503483"/>
    <w:lvl w:ilvl="0" w:tentative="0">
      <w:start w:val="1"/>
      <w:numFmt w:val="bullet"/>
      <w:pStyle w:val="114"/>
      <w:lvlText w:val=""/>
      <w:lvlJc w:val="left"/>
      <w:pPr>
        <w:tabs>
          <w:tab w:val="left" w:pos="420"/>
        </w:tabs>
        <w:ind w:left="420" w:hanging="420"/>
      </w:pPr>
      <w:rPr>
        <w:rFonts w:hint="default" w:ascii="Wingdings" w:hAnsi="Wingdings"/>
      </w:rPr>
    </w:lvl>
    <w:lvl w:ilvl="1" w:tentative="0">
      <w:start w:val="1"/>
      <w:numFmt w:val="bullet"/>
      <w:pStyle w:val="11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60D20D0"/>
    <w:multiLevelType w:val="multilevel"/>
    <w:tmpl w:val="160D20D0"/>
    <w:lvl w:ilvl="0" w:tentative="0">
      <w:start w:val="1"/>
      <w:numFmt w:val="bullet"/>
      <w:pStyle w:val="82"/>
      <w:lvlText w:val=""/>
      <w:lvlJc w:val="left"/>
      <w:pPr>
        <w:tabs>
          <w:tab w:val="left" w:pos="840"/>
        </w:tabs>
        <w:ind w:left="840" w:hanging="420"/>
      </w:pPr>
      <w:rPr>
        <w:rFonts w:hint="default" w:ascii="Wingdings" w:hAnsi="Wingdings"/>
      </w:rPr>
    </w:lvl>
    <w:lvl w:ilvl="1" w:tentative="0">
      <w:start w:val="1"/>
      <w:numFmt w:val="bullet"/>
      <w:pStyle w:val="8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8">
    <w:nsid w:val="16227C58"/>
    <w:multiLevelType w:val="singleLevel"/>
    <w:tmpl w:val="16227C58"/>
    <w:lvl w:ilvl="0" w:tentative="0">
      <w:start w:val="1"/>
      <w:numFmt w:val="decimal"/>
      <w:lvlText w:val="%1."/>
      <w:lvlJc w:val="left"/>
      <w:pPr>
        <w:tabs>
          <w:tab w:val="left" w:pos="312"/>
        </w:tabs>
      </w:pPr>
    </w:lvl>
  </w:abstractNum>
  <w:abstractNum w:abstractNumId="9">
    <w:nsid w:val="2F395B7B"/>
    <w:multiLevelType w:val="multilevel"/>
    <w:tmpl w:val="2F395B7B"/>
    <w:lvl w:ilvl="0" w:tentative="0">
      <w:start w:val="1"/>
      <w:numFmt w:val="bullet"/>
      <w:pStyle w:val="1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0">
    <w:nsid w:val="7AEF7716"/>
    <w:multiLevelType w:val="multilevel"/>
    <w:tmpl w:val="7AEF7716"/>
    <w:lvl w:ilvl="0" w:tentative="0">
      <w:start w:val="1"/>
      <w:numFmt w:val="chineseCountingThousand"/>
      <w:pStyle w:val="12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7"/>
  </w:num>
  <w:num w:numId="4">
    <w:abstractNumId w:val="6"/>
  </w:num>
  <w:num w:numId="5">
    <w:abstractNumId w:val="10"/>
  </w:num>
  <w:num w:numId="6">
    <w:abstractNumId w:val="9"/>
  </w:num>
  <w:num w:numId="7">
    <w:abstractNumId w:val="8"/>
  </w:num>
  <w:num w:numId="8">
    <w:abstractNumId w:val="0"/>
  </w:num>
  <w:num w:numId="9">
    <w:abstractNumId w:val="5"/>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EyMTY5YmNhMTdmMTgxMWFjM2UyN2UwOTU2YzQ4ODUifQ=="/>
  </w:docVars>
  <w:rsids>
    <w:rsidRoot w:val="00000000"/>
    <w:rsid w:val="00155351"/>
    <w:rsid w:val="002410F1"/>
    <w:rsid w:val="003A4DB8"/>
    <w:rsid w:val="00B57B36"/>
    <w:rsid w:val="00BF706B"/>
    <w:rsid w:val="00C34DAD"/>
    <w:rsid w:val="00F1191B"/>
    <w:rsid w:val="00F72CA9"/>
    <w:rsid w:val="01853E11"/>
    <w:rsid w:val="01CF7782"/>
    <w:rsid w:val="02021905"/>
    <w:rsid w:val="034918BF"/>
    <w:rsid w:val="03B24C65"/>
    <w:rsid w:val="03E868D9"/>
    <w:rsid w:val="043A35D9"/>
    <w:rsid w:val="0458132A"/>
    <w:rsid w:val="047D5273"/>
    <w:rsid w:val="04AE7B23"/>
    <w:rsid w:val="05500BDA"/>
    <w:rsid w:val="05880374"/>
    <w:rsid w:val="05946D18"/>
    <w:rsid w:val="05BE76EA"/>
    <w:rsid w:val="0600615C"/>
    <w:rsid w:val="064A387B"/>
    <w:rsid w:val="06896151"/>
    <w:rsid w:val="06936FD0"/>
    <w:rsid w:val="06B036DE"/>
    <w:rsid w:val="06F55595"/>
    <w:rsid w:val="071023CF"/>
    <w:rsid w:val="071F0D4C"/>
    <w:rsid w:val="07247C28"/>
    <w:rsid w:val="07630750"/>
    <w:rsid w:val="07672E32"/>
    <w:rsid w:val="07726BE5"/>
    <w:rsid w:val="07746E01"/>
    <w:rsid w:val="078E30D8"/>
    <w:rsid w:val="078F59E9"/>
    <w:rsid w:val="079F3753"/>
    <w:rsid w:val="07C531B9"/>
    <w:rsid w:val="07F92E63"/>
    <w:rsid w:val="0802440D"/>
    <w:rsid w:val="080A32C2"/>
    <w:rsid w:val="084C5688"/>
    <w:rsid w:val="0865674A"/>
    <w:rsid w:val="08931509"/>
    <w:rsid w:val="08C22D3E"/>
    <w:rsid w:val="08C77405"/>
    <w:rsid w:val="08D15B8E"/>
    <w:rsid w:val="08DB07BA"/>
    <w:rsid w:val="08E27D9B"/>
    <w:rsid w:val="092263E9"/>
    <w:rsid w:val="0923288D"/>
    <w:rsid w:val="095F3199"/>
    <w:rsid w:val="097C01EF"/>
    <w:rsid w:val="09AA6B0A"/>
    <w:rsid w:val="09DA157E"/>
    <w:rsid w:val="09F71624"/>
    <w:rsid w:val="0A026946"/>
    <w:rsid w:val="0A0414FD"/>
    <w:rsid w:val="0A110938"/>
    <w:rsid w:val="0A2C39C3"/>
    <w:rsid w:val="0A402FCB"/>
    <w:rsid w:val="0A60366D"/>
    <w:rsid w:val="0A670558"/>
    <w:rsid w:val="0A6D7B38"/>
    <w:rsid w:val="0A8F3F52"/>
    <w:rsid w:val="0AE147AE"/>
    <w:rsid w:val="0B3F0AB5"/>
    <w:rsid w:val="0B7B191B"/>
    <w:rsid w:val="0B80386F"/>
    <w:rsid w:val="0B837613"/>
    <w:rsid w:val="0B9E43C0"/>
    <w:rsid w:val="0BE04A65"/>
    <w:rsid w:val="0BE11588"/>
    <w:rsid w:val="0C230DF6"/>
    <w:rsid w:val="0C4574AD"/>
    <w:rsid w:val="0C6322E0"/>
    <w:rsid w:val="0CB06B5C"/>
    <w:rsid w:val="0CBF0B1F"/>
    <w:rsid w:val="0CC82D13"/>
    <w:rsid w:val="0CD65E68"/>
    <w:rsid w:val="0CF4009D"/>
    <w:rsid w:val="0CFF53BF"/>
    <w:rsid w:val="0D173089"/>
    <w:rsid w:val="0D2070E4"/>
    <w:rsid w:val="0D2A6D3B"/>
    <w:rsid w:val="0D2E1801"/>
    <w:rsid w:val="0D3A63F7"/>
    <w:rsid w:val="0D5A43A4"/>
    <w:rsid w:val="0D957AD2"/>
    <w:rsid w:val="0DD21FFC"/>
    <w:rsid w:val="0DFF4F4B"/>
    <w:rsid w:val="0E197DBB"/>
    <w:rsid w:val="0E680D42"/>
    <w:rsid w:val="0E7B0A75"/>
    <w:rsid w:val="0E7C659C"/>
    <w:rsid w:val="0E8042DE"/>
    <w:rsid w:val="0EB977F0"/>
    <w:rsid w:val="0ECF4784"/>
    <w:rsid w:val="0EE26D46"/>
    <w:rsid w:val="0F13466D"/>
    <w:rsid w:val="0F3B6457"/>
    <w:rsid w:val="0F4672D5"/>
    <w:rsid w:val="0F931DEF"/>
    <w:rsid w:val="0FD541B5"/>
    <w:rsid w:val="0FDF6DE2"/>
    <w:rsid w:val="0FE10DAC"/>
    <w:rsid w:val="0FFF7484"/>
    <w:rsid w:val="100E1475"/>
    <w:rsid w:val="1053332C"/>
    <w:rsid w:val="106979AE"/>
    <w:rsid w:val="1074577C"/>
    <w:rsid w:val="10C2298C"/>
    <w:rsid w:val="10C95A18"/>
    <w:rsid w:val="10D17073"/>
    <w:rsid w:val="10D43EBB"/>
    <w:rsid w:val="11020FDA"/>
    <w:rsid w:val="1109680C"/>
    <w:rsid w:val="115D0906"/>
    <w:rsid w:val="117235B3"/>
    <w:rsid w:val="11943BFC"/>
    <w:rsid w:val="11A42091"/>
    <w:rsid w:val="11BF336F"/>
    <w:rsid w:val="11D5049D"/>
    <w:rsid w:val="11DA5AB3"/>
    <w:rsid w:val="120B0362"/>
    <w:rsid w:val="12105979"/>
    <w:rsid w:val="12337F00"/>
    <w:rsid w:val="12353631"/>
    <w:rsid w:val="12366503"/>
    <w:rsid w:val="123C051C"/>
    <w:rsid w:val="127C300E"/>
    <w:rsid w:val="127F48AC"/>
    <w:rsid w:val="12875AA3"/>
    <w:rsid w:val="12C329EB"/>
    <w:rsid w:val="12E666D9"/>
    <w:rsid w:val="130C25E4"/>
    <w:rsid w:val="133713EF"/>
    <w:rsid w:val="135B70C7"/>
    <w:rsid w:val="13620456"/>
    <w:rsid w:val="136E0BA9"/>
    <w:rsid w:val="13DF3B37"/>
    <w:rsid w:val="13E22109"/>
    <w:rsid w:val="140B289C"/>
    <w:rsid w:val="141B2FC4"/>
    <w:rsid w:val="142B6A9A"/>
    <w:rsid w:val="144753BE"/>
    <w:rsid w:val="14861F22"/>
    <w:rsid w:val="14D233B9"/>
    <w:rsid w:val="14DF1632"/>
    <w:rsid w:val="15205ED3"/>
    <w:rsid w:val="153876C0"/>
    <w:rsid w:val="157F52EF"/>
    <w:rsid w:val="15910B7E"/>
    <w:rsid w:val="15A00DC2"/>
    <w:rsid w:val="15C01464"/>
    <w:rsid w:val="15C22F17"/>
    <w:rsid w:val="15FA2BC8"/>
    <w:rsid w:val="16153F8D"/>
    <w:rsid w:val="162223F5"/>
    <w:rsid w:val="16287735"/>
    <w:rsid w:val="162E2871"/>
    <w:rsid w:val="168D7598"/>
    <w:rsid w:val="16CB6312"/>
    <w:rsid w:val="17771FF6"/>
    <w:rsid w:val="17A032FB"/>
    <w:rsid w:val="17A80401"/>
    <w:rsid w:val="17B50BF9"/>
    <w:rsid w:val="17D17958"/>
    <w:rsid w:val="17EC672B"/>
    <w:rsid w:val="181066D2"/>
    <w:rsid w:val="18117D55"/>
    <w:rsid w:val="18673E19"/>
    <w:rsid w:val="18694035"/>
    <w:rsid w:val="18875CCD"/>
    <w:rsid w:val="18BA663E"/>
    <w:rsid w:val="18C82B09"/>
    <w:rsid w:val="18D3325C"/>
    <w:rsid w:val="18E216F1"/>
    <w:rsid w:val="193261D5"/>
    <w:rsid w:val="194E494A"/>
    <w:rsid w:val="19820916"/>
    <w:rsid w:val="19E41BC5"/>
    <w:rsid w:val="1A1F1ECF"/>
    <w:rsid w:val="1A202266"/>
    <w:rsid w:val="1A2521DD"/>
    <w:rsid w:val="1A27385F"/>
    <w:rsid w:val="1A8769F4"/>
    <w:rsid w:val="1AA82DC6"/>
    <w:rsid w:val="1AAC0209"/>
    <w:rsid w:val="1AE6371B"/>
    <w:rsid w:val="1AFD2812"/>
    <w:rsid w:val="1B102545"/>
    <w:rsid w:val="1B26620D"/>
    <w:rsid w:val="1B2E20E8"/>
    <w:rsid w:val="1B4B7A22"/>
    <w:rsid w:val="1B6F54BE"/>
    <w:rsid w:val="1B903686"/>
    <w:rsid w:val="1BE418EF"/>
    <w:rsid w:val="1C0302FC"/>
    <w:rsid w:val="1C3B7A96"/>
    <w:rsid w:val="1C4526C3"/>
    <w:rsid w:val="1C4C57FF"/>
    <w:rsid w:val="1C5A616E"/>
    <w:rsid w:val="1C5B5A42"/>
    <w:rsid w:val="1C654B13"/>
    <w:rsid w:val="1C931680"/>
    <w:rsid w:val="1C9F202D"/>
    <w:rsid w:val="1CBF06C7"/>
    <w:rsid w:val="1CC57360"/>
    <w:rsid w:val="1CEB326A"/>
    <w:rsid w:val="1CF33ECD"/>
    <w:rsid w:val="1D085BCA"/>
    <w:rsid w:val="1D175E0D"/>
    <w:rsid w:val="1D3A5FA0"/>
    <w:rsid w:val="1D4B1F5B"/>
    <w:rsid w:val="1D7F39B2"/>
    <w:rsid w:val="1DB47B00"/>
    <w:rsid w:val="1DEB1048"/>
    <w:rsid w:val="1E0433AB"/>
    <w:rsid w:val="1E197963"/>
    <w:rsid w:val="1E1E0F06"/>
    <w:rsid w:val="1E310498"/>
    <w:rsid w:val="1E380731"/>
    <w:rsid w:val="1E5D1F46"/>
    <w:rsid w:val="1E605592"/>
    <w:rsid w:val="1E786D7F"/>
    <w:rsid w:val="1E8A6AB3"/>
    <w:rsid w:val="1E984D2C"/>
    <w:rsid w:val="1EC024D4"/>
    <w:rsid w:val="1EE47F71"/>
    <w:rsid w:val="1EE7180F"/>
    <w:rsid w:val="1EF81C6E"/>
    <w:rsid w:val="1EFA59E6"/>
    <w:rsid w:val="1F6F17AF"/>
    <w:rsid w:val="1F7C464D"/>
    <w:rsid w:val="2021768B"/>
    <w:rsid w:val="20531852"/>
    <w:rsid w:val="20773208"/>
    <w:rsid w:val="208239E9"/>
    <w:rsid w:val="208C2D42"/>
    <w:rsid w:val="20AD7527"/>
    <w:rsid w:val="20BE2A44"/>
    <w:rsid w:val="20C94C45"/>
    <w:rsid w:val="20CE0ED9"/>
    <w:rsid w:val="20D109C9"/>
    <w:rsid w:val="21001530"/>
    <w:rsid w:val="210B3EDB"/>
    <w:rsid w:val="2117612A"/>
    <w:rsid w:val="21731A80"/>
    <w:rsid w:val="217C26E3"/>
    <w:rsid w:val="21BE3625"/>
    <w:rsid w:val="21D544E9"/>
    <w:rsid w:val="21D73DBD"/>
    <w:rsid w:val="21DA565B"/>
    <w:rsid w:val="21E770B7"/>
    <w:rsid w:val="222F1E4B"/>
    <w:rsid w:val="223F06D7"/>
    <w:rsid w:val="226A24A2"/>
    <w:rsid w:val="228A7081"/>
    <w:rsid w:val="22D36C7A"/>
    <w:rsid w:val="22D8603F"/>
    <w:rsid w:val="23152DEF"/>
    <w:rsid w:val="23566F63"/>
    <w:rsid w:val="235A6A54"/>
    <w:rsid w:val="23616034"/>
    <w:rsid w:val="23737B15"/>
    <w:rsid w:val="237815D0"/>
    <w:rsid w:val="237F64BA"/>
    <w:rsid w:val="23C91E2B"/>
    <w:rsid w:val="23E17175"/>
    <w:rsid w:val="23E46C65"/>
    <w:rsid w:val="246922C3"/>
    <w:rsid w:val="24AF7273"/>
    <w:rsid w:val="24CA19B7"/>
    <w:rsid w:val="24E567F1"/>
    <w:rsid w:val="24EC7B7F"/>
    <w:rsid w:val="250F1AC0"/>
    <w:rsid w:val="25180974"/>
    <w:rsid w:val="253420EC"/>
    <w:rsid w:val="255B2F57"/>
    <w:rsid w:val="256516E0"/>
    <w:rsid w:val="25897AC4"/>
    <w:rsid w:val="259049AF"/>
    <w:rsid w:val="25EB6089"/>
    <w:rsid w:val="26347A30"/>
    <w:rsid w:val="26393298"/>
    <w:rsid w:val="263A491A"/>
    <w:rsid w:val="26A56238"/>
    <w:rsid w:val="26CD578F"/>
    <w:rsid w:val="27007912"/>
    <w:rsid w:val="270A0791"/>
    <w:rsid w:val="27221F7E"/>
    <w:rsid w:val="2749750B"/>
    <w:rsid w:val="275F6D2E"/>
    <w:rsid w:val="276460F3"/>
    <w:rsid w:val="27BA5D13"/>
    <w:rsid w:val="27EC60E8"/>
    <w:rsid w:val="27F82CDF"/>
    <w:rsid w:val="2829733C"/>
    <w:rsid w:val="28441A80"/>
    <w:rsid w:val="28523FA2"/>
    <w:rsid w:val="28545792"/>
    <w:rsid w:val="2859377E"/>
    <w:rsid w:val="285C14C0"/>
    <w:rsid w:val="28612632"/>
    <w:rsid w:val="28626E9C"/>
    <w:rsid w:val="286A785E"/>
    <w:rsid w:val="289C7B0E"/>
    <w:rsid w:val="28B60BD0"/>
    <w:rsid w:val="28E00389"/>
    <w:rsid w:val="28E60D8A"/>
    <w:rsid w:val="28F90ABD"/>
    <w:rsid w:val="293C0468"/>
    <w:rsid w:val="298F0B0A"/>
    <w:rsid w:val="29B155F7"/>
    <w:rsid w:val="29BF3AB4"/>
    <w:rsid w:val="2A007C29"/>
    <w:rsid w:val="2A027E45"/>
    <w:rsid w:val="2A180D58"/>
    <w:rsid w:val="2A21651D"/>
    <w:rsid w:val="2A2D15F4"/>
    <w:rsid w:val="2A6308E4"/>
    <w:rsid w:val="2A8D5961"/>
    <w:rsid w:val="2A930A9D"/>
    <w:rsid w:val="2AA773EF"/>
    <w:rsid w:val="2B165956"/>
    <w:rsid w:val="2B3109E2"/>
    <w:rsid w:val="2B5621F6"/>
    <w:rsid w:val="2B7D3C27"/>
    <w:rsid w:val="2B886128"/>
    <w:rsid w:val="2B9920E3"/>
    <w:rsid w:val="2B994154"/>
    <w:rsid w:val="2BAE2033"/>
    <w:rsid w:val="2BB62C95"/>
    <w:rsid w:val="2BF33EE9"/>
    <w:rsid w:val="2BF81500"/>
    <w:rsid w:val="2C471B3F"/>
    <w:rsid w:val="2C5F157F"/>
    <w:rsid w:val="2C641FE4"/>
    <w:rsid w:val="2C9254B0"/>
    <w:rsid w:val="2CAD22EA"/>
    <w:rsid w:val="2CBD0053"/>
    <w:rsid w:val="2CDA29B3"/>
    <w:rsid w:val="2D4B28DF"/>
    <w:rsid w:val="2D7626DC"/>
    <w:rsid w:val="2D80355B"/>
    <w:rsid w:val="2DDB69E3"/>
    <w:rsid w:val="2DE55AB4"/>
    <w:rsid w:val="2E19750B"/>
    <w:rsid w:val="2E2C723F"/>
    <w:rsid w:val="2E5C271C"/>
    <w:rsid w:val="2E9E418E"/>
    <w:rsid w:val="2EA414CB"/>
    <w:rsid w:val="2EAB6DE2"/>
    <w:rsid w:val="2EC97183"/>
    <w:rsid w:val="2F302D5E"/>
    <w:rsid w:val="2F324D29"/>
    <w:rsid w:val="2F3F11F4"/>
    <w:rsid w:val="2F7470EF"/>
    <w:rsid w:val="2FA774C5"/>
    <w:rsid w:val="2FDD4085"/>
    <w:rsid w:val="300761B5"/>
    <w:rsid w:val="3038011D"/>
    <w:rsid w:val="309F019C"/>
    <w:rsid w:val="30A04ED5"/>
    <w:rsid w:val="30E107B4"/>
    <w:rsid w:val="30E65649"/>
    <w:rsid w:val="30FF3BAB"/>
    <w:rsid w:val="3115045E"/>
    <w:rsid w:val="3115220C"/>
    <w:rsid w:val="316136A3"/>
    <w:rsid w:val="31662A68"/>
    <w:rsid w:val="31880C30"/>
    <w:rsid w:val="31E3055C"/>
    <w:rsid w:val="31FE58BD"/>
    <w:rsid w:val="320944A7"/>
    <w:rsid w:val="321150C9"/>
    <w:rsid w:val="322B465C"/>
    <w:rsid w:val="322C5A5F"/>
    <w:rsid w:val="328C11AC"/>
    <w:rsid w:val="32AC3044"/>
    <w:rsid w:val="32BD2B5B"/>
    <w:rsid w:val="32D103B5"/>
    <w:rsid w:val="32E04926"/>
    <w:rsid w:val="32E0684A"/>
    <w:rsid w:val="32E225C2"/>
    <w:rsid w:val="32E427DE"/>
    <w:rsid w:val="32E4458C"/>
    <w:rsid w:val="32F50547"/>
    <w:rsid w:val="33024A12"/>
    <w:rsid w:val="33380434"/>
    <w:rsid w:val="33445815"/>
    <w:rsid w:val="334B63B9"/>
    <w:rsid w:val="33E04D53"/>
    <w:rsid w:val="33E16D1D"/>
    <w:rsid w:val="340A0022"/>
    <w:rsid w:val="34C24459"/>
    <w:rsid w:val="34E00D83"/>
    <w:rsid w:val="34F812F7"/>
    <w:rsid w:val="352B64A2"/>
    <w:rsid w:val="353E5B49"/>
    <w:rsid w:val="35472BB0"/>
    <w:rsid w:val="355359F9"/>
    <w:rsid w:val="35747E49"/>
    <w:rsid w:val="3598340C"/>
    <w:rsid w:val="35BA15D4"/>
    <w:rsid w:val="361E7DB5"/>
    <w:rsid w:val="366A2FFA"/>
    <w:rsid w:val="36743E79"/>
    <w:rsid w:val="368C2F70"/>
    <w:rsid w:val="36910587"/>
    <w:rsid w:val="3699568D"/>
    <w:rsid w:val="36AC3612"/>
    <w:rsid w:val="36B50719"/>
    <w:rsid w:val="36BE6EA2"/>
    <w:rsid w:val="36C50230"/>
    <w:rsid w:val="36D466C5"/>
    <w:rsid w:val="36EC4386"/>
    <w:rsid w:val="370C2303"/>
    <w:rsid w:val="3715036C"/>
    <w:rsid w:val="3727795D"/>
    <w:rsid w:val="37373E5E"/>
    <w:rsid w:val="379A6BE4"/>
    <w:rsid w:val="37E56DDC"/>
    <w:rsid w:val="3822288D"/>
    <w:rsid w:val="382673F4"/>
    <w:rsid w:val="386D0B7F"/>
    <w:rsid w:val="387463B2"/>
    <w:rsid w:val="38A5656B"/>
    <w:rsid w:val="38A74091"/>
    <w:rsid w:val="38AD71CE"/>
    <w:rsid w:val="38BE762D"/>
    <w:rsid w:val="38D429AD"/>
    <w:rsid w:val="38D66725"/>
    <w:rsid w:val="38ED3A6E"/>
    <w:rsid w:val="390C2146"/>
    <w:rsid w:val="39243934"/>
    <w:rsid w:val="393670ED"/>
    <w:rsid w:val="39657AA9"/>
    <w:rsid w:val="39C742BF"/>
    <w:rsid w:val="39CE564E"/>
    <w:rsid w:val="39DA3FF3"/>
    <w:rsid w:val="39E76710"/>
    <w:rsid w:val="39F24CDB"/>
    <w:rsid w:val="3A2E433E"/>
    <w:rsid w:val="3A2F180C"/>
    <w:rsid w:val="3A7D77A0"/>
    <w:rsid w:val="3A935D24"/>
    <w:rsid w:val="3AAF36D1"/>
    <w:rsid w:val="3B2E0A9A"/>
    <w:rsid w:val="3B716BD9"/>
    <w:rsid w:val="3B7B1805"/>
    <w:rsid w:val="3BCF1898"/>
    <w:rsid w:val="3BD553B9"/>
    <w:rsid w:val="3BDC04F6"/>
    <w:rsid w:val="3C6E4F9F"/>
    <w:rsid w:val="3C722C08"/>
    <w:rsid w:val="3CAB1C76"/>
    <w:rsid w:val="3CEA6C43"/>
    <w:rsid w:val="3D2263DC"/>
    <w:rsid w:val="3D566086"/>
    <w:rsid w:val="3E1A3557"/>
    <w:rsid w:val="3E3E7246"/>
    <w:rsid w:val="3E416592"/>
    <w:rsid w:val="3E42660A"/>
    <w:rsid w:val="3E497999"/>
    <w:rsid w:val="3E725142"/>
    <w:rsid w:val="3E7762B4"/>
    <w:rsid w:val="3EB5502E"/>
    <w:rsid w:val="3EBA43F3"/>
    <w:rsid w:val="3F454604"/>
    <w:rsid w:val="3F6727CC"/>
    <w:rsid w:val="3F732F1F"/>
    <w:rsid w:val="3F7D7534"/>
    <w:rsid w:val="40152228"/>
    <w:rsid w:val="4050500F"/>
    <w:rsid w:val="40866C82"/>
    <w:rsid w:val="40890521"/>
    <w:rsid w:val="409311FD"/>
    <w:rsid w:val="409F1AF2"/>
    <w:rsid w:val="40B27A77"/>
    <w:rsid w:val="40D04926"/>
    <w:rsid w:val="41265D6F"/>
    <w:rsid w:val="413E57AF"/>
    <w:rsid w:val="41586871"/>
    <w:rsid w:val="417D4381"/>
    <w:rsid w:val="417E7959"/>
    <w:rsid w:val="41831414"/>
    <w:rsid w:val="418D5DEE"/>
    <w:rsid w:val="41F67E38"/>
    <w:rsid w:val="420F2CA7"/>
    <w:rsid w:val="42482572"/>
    <w:rsid w:val="42552DB0"/>
    <w:rsid w:val="42775F1B"/>
    <w:rsid w:val="42931FC8"/>
    <w:rsid w:val="42AF2292"/>
    <w:rsid w:val="42B31885"/>
    <w:rsid w:val="42CE6296"/>
    <w:rsid w:val="42DF08CC"/>
    <w:rsid w:val="432E715D"/>
    <w:rsid w:val="43362BE2"/>
    <w:rsid w:val="436F39FE"/>
    <w:rsid w:val="43917875"/>
    <w:rsid w:val="43C26223"/>
    <w:rsid w:val="43C53F65"/>
    <w:rsid w:val="43DE0B83"/>
    <w:rsid w:val="43FE4D82"/>
    <w:rsid w:val="440910F8"/>
    <w:rsid w:val="440920A4"/>
    <w:rsid w:val="440A1978"/>
    <w:rsid w:val="44134CD1"/>
    <w:rsid w:val="447D039C"/>
    <w:rsid w:val="448740F3"/>
    <w:rsid w:val="44BC2C73"/>
    <w:rsid w:val="45525385"/>
    <w:rsid w:val="456B28EB"/>
    <w:rsid w:val="45EF7078"/>
    <w:rsid w:val="45F428E0"/>
    <w:rsid w:val="461D5993"/>
    <w:rsid w:val="462C5BD6"/>
    <w:rsid w:val="467F664E"/>
    <w:rsid w:val="46805F22"/>
    <w:rsid w:val="46853538"/>
    <w:rsid w:val="46893028"/>
    <w:rsid w:val="46AE6F33"/>
    <w:rsid w:val="46AF05B5"/>
    <w:rsid w:val="46CB1CD5"/>
    <w:rsid w:val="46D511F0"/>
    <w:rsid w:val="46D83FB0"/>
    <w:rsid w:val="46FD43E7"/>
    <w:rsid w:val="470D5A07"/>
    <w:rsid w:val="4714323A"/>
    <w:rsid w:val="47190850"/>
    <w:rsid w:val="471E5E67"/>
    <w:rsid w:val="4729480B"/>
    <w:rsid w:val="473311E6"/>
    <w:rsid w:val="474D22A8"/>
    <w:rsid w:val="47A10846"/>
    <w:rsid w:val="47E36768"/>
    <w:rsid w:val="482254E2"/>
    <w:rsid w:val="482D3E87"/>
    <w:rsid w:val="482F5E51"/>
    <w:rsid w:val="483A3C91"/>
    <w:rsid w:val="48557C0E"/>
    <w:rsid w:val="486024AF"/>
    <w:rsid w:val="48C7608A"/>
    <w:rsid w:val="48DB38E3"/>
    <w:rsid w:val="48EA3B26"/>
    <w:rsid w:val="4913307D"/>
    <w:rsid w:val="492C413F"/>
    <w:rsid w:val="49496A9F"/>
    <w:rsid w:val="498D470B"/>
    <w:rsid w:val="49ED7D72"/>
    <w:rsid w:val="4A1672C9"/>
    <w:rsid w:val="4A301A0D"/>
    <w:rsid w:val="4A812C74"/>
    <w:rsid w:val="4A875AD1"/>
    <w:rsid w:val="4AA61333"/>
    <w:rsid w:val="4AD279A5"/>
    <w:rsid w:val="4AF3760A"/>
    <w:rsid w:val="4B125CE2"/>
    <w:rsid w:val="4B1C090F"/>
    <w:rsid w:val="4B490FD8"/>
    <w:rsid w:val="4B4E4840"/>
    <w:rsid w:val="4B524331"/>
    <w:rsid w:val="4B6B71A0"/>
    <w:rsid w:val="4B83098E"/>
    <w:rsid w:val="4B83273C"/>
    <w:rsid w:val="4B897627"/>
    <w:rsid w:val="4B8A54FE"/>
    <w:rsid w:val="4BB52B12"/>
    <w:rsid w:val="4BF52F0E"/>
    <w:rsid w:val="4C0D2006"/>
    <w:rsid w:val="4C15710C"/>
    <w:rsid w:val="4C1C049B"/>
    <w:rsid w:val="4C2A2BB8"/>
    <w:rsid w:val="4C2F01CE"/>
    <w:rsid w:val="4C3103EA"/>
    <w:rsid w:val="4C404189"/>
    <w:rsid w:val="4C592E7C"/>
    <w:rsid w:val="4C5B7215"/>
    <w:rsid w:val="4C8C3872"/>
    <w:rsid w:val="4C975D73"/>
    <w:rsid w:val="4CAA019C"/>
    <w:rsid w:val="4CB93F3C"/>
    <w:rsid w:val="4CCE5C39"/>
    <w:rsid w:val="4D526309"/>
    <w:rsid w:val="4D677E3B"/>
    <w:rsid w:val="4D9329DF"/>
    <w:rsid w:val="4E5D6597"/>
    <w:rsid w:val="4E6F51FA"/>
    <w:rsid w:val="4E7520E4"/>
    <w:rsid w:val="4E9702AC"/>
    <w:rsid w:val="4EB95E4F"/>
    <w:rsid w:val="4ED11A10"/>
    <w:rsid w:val="4EEA4880"/>
    <w:rsid w:val="4F0A0D33"/>
    <w:rsid w:val="4F1E452A"/>
    <w:rsid w:val="4F471ABA"/>
    <w:rsid w:val="4F5166AD"/>
    <w:rsid w:val="4F5B1891"/>
    <w:rsid w:val="4FE64B1A"/>
    <w:rsid w:val="4FE65048"/>
    <w:rsid w:val="4FEB4D54"/>
    <w:rsid w:val="50067498"/>
    <w:rsid w:val="50484B47"/>
    <w:rsid w:val="50485D02"/>
    <w:rsid w:val="506F7733"/>
    <w:rsid w:val="507568C3"/>
    <w:rsid w:val="510A745C"/>
    <w:rsid w:val="510F668F"/>
    <w:rsid w:val="51932FAD"/>
    <w:rsid w:val="519F1876"/>
    <w:rsid w:val="520E0886"/>
    <w:rsid w:val="52187956"/>
    <w:rsid w:val="52302EF2"/>
    <w:rsid w:val="528943B0"/>
    <w:rsid w:val="52A03BD4"/>
    <w:rsid w:val="52B77529"/>
    <w:rsid w:val="52D63A99"/>
    <w:rsid w:val="531F6EC4"/>
    <w:rsid w:val="53226CDE"/>
    <w:rsid w:val="536C7F5A"/>
    <w:rsid w:val="53B611D5"/>
    <w:rsid w:val="53F32429"/>
    <w:rsid w:val="54063F0A"/>
    <w:rsid w:val="5411465D"/>
    <w:rsid w:val="5415239F"/>
    <w:rsid w:val="5415414D"/>
    <w:rsid w:val="5431698C"/>
    <w:rsid w:val="545D5AF4"/>
    <w:rsid w:val="54921C42"/>
    <w:rsid w:val="54D23DEC"/>
    <w:rsid w:val="54F16968"/>
    <w:rsid w:val="550A7F4A"/>
    <w:rsid w:val="55222FC6"/>
    <w:rsid w:val="55346855"/>
    <w:rsid w:val="55536D3D"/>
    <w:rsid w:val="55542498"/>
    <w:rsid w:val="555E7D76"/>
    <w:rsid w:val="556E620B"/>
    <w:rsid w:val="55782BE6"/>
    <w:rsid w:val="55AA2FBB"/>
    <w:rsid w:val="55BA31FE"/>
    <w:rsid w:val="55CC1183"/>
    <w:rsid w:val="561623FF"/>
    <w:rsid w:val="564B20A8"/>
    <w:rsid w:val="564E7DEA"/>
    <w:rsid w:val="56680EAC"/>
    <w:rsid w:val="56927CD7"/>
    <w:rsid w:val="56951575"/>
    <w:rsid w:val="56A812A9"/>
    <w:rsid w:val="57236B81"/>
    <w:rsid w:val="574B53EC"/>
    <w:rsid w:val="57631674"/>
    <w:rsid w:val="57811AFA"/>
    <w:rsid w:val="58062066"/>
    <w:rsid w:val="582F1556"/>
    <w:rsid w:val="5856541F"/>
    <w:rsid w:val="58692CBA"/>
    <w:rsid w:val="58A81A34"/>
    <w:rsid w:val="58B8154B"/>
    <w:rsid w:val="58D740C7"/>
    <w:rsid w:val="58DF11CE"/>
    <w:rsid w:val="58E6430A"/>
    <w:rsid w:val="58EF7663"/>
    <w:rsid w:val="5943797D"/>
    <w:rsid w:val="594A4899"/>
    <w:rsid w:val="595219A0"/>
    <w:rsid w:val="59531120"/>
    <w:rsid w:val="59A71CEC"/>
    <w:rsid w:val="5A096502"/>
    <w:rsid w:val="5A382944"/>
    <w:rsid w:val="5A407A4A"/>
    <w:rsid w:val="5AD9312C"/>
    <w:rsid w:val="5ADE798F"/>
    <w:rsid w:val="5AF2343A"/>
    <w:rsid w:val="5B344348"/>
    <w:rsid w:val="5B7420A1"/>
    <w:rsid w:val="5B765E19"/>
    <w:rsid w:val="5BA92B95"/>
    <w:rsid w:val="5BC96F10"/>
    <w:rsid w:val="5BDB7A2A"/>
    <w:rsid w:val="5BFD2097"/>
    <w:rsid w:val="5C0351D3"/>
    <w:rsid w:val="5C0C53B9"/>
    <w:rsid w:val="5C1E200D"/>
    <w:rsid w:val="5C294C3A"/>
    <w:rsid w:val="5C761E49"/>
    <w:rsid w:val="5C763BF7"/>
    <w:rsid w:val="5CAB38A1"/>
    <w:rsid w:val="5CB65E1C"/>
    <w:rsid w:val="5CC901CB"/>
    <w:rsid w:val="5CCC3817"/>
    <w:rsid w:val="5CE2303B"/>
    <w:rsid w:val="5D2C42B6"/>
    <w:rsid w:val="5D344751"/>
    <w:rsid w:val="5D415FB3"/>
    <w:rsid w:val="5DAD53F7"/>
    <w:rsid w:val="5E0019CA"/>
    <w:rsid w:val="5E053485"/>
    <w:rsid w:val="5E156237"/>
    <w:rsid w:val="5E421FE3"/>
    <w:rsid w:val="5E512226"/>
    <w:rsid w:val="5E561A5C"/>
    <w:rsid w:val="5E7225D1"/>
    <w:rsid w:val="5E802B0B"/>
    <w:rsid w:val="5E8819C0"/>
    <w:rsid w:val="5EA95C11"/>
    <w:rsid w:val="5EAE7678"/>
    <w:rsid w:val="5EDC2437"/>
    <w:rsid w:val="5EE412EC"/>
    <w:rsid w:val="5F0F7504"/>
    <w:rsid w:val="5F6C401A"/>
    <w:rsid w:val="5F6D7533"/>
    <w:rsid w:val="5FD72BFF"/>
    <w:rsid w:val="5FF90DC7"/>
    <w:rsid w:val="601479AF"/>
    <w:rsid w:val="60234096"/>
    <w:rsid w:val="60795A64"/>
    <w:rsid w:val="60A2320D"/>
    <w:rsid w:val="60BA75A0"/>
    <w:rsid w:val="60CA62C0"/>
    <w:rsid w:val="611B7C3E"/>
    <w:rsid w:val="618B1EF3"/>
    <w:rsid w:val="61C62F2B"/>
    <w:rsid w:val="61CD6067"/>
    <w:rsid w:val="62051CA5"/>
    <w:rsid w:val="62261C1B"/>
    <w:rsid w:val="62266B62"/>
    <w:rsid w:val="62402CDD"/>
    <w:rsid w:val="6273205D"/>
    <w:rsid w:val="62BC7C0A"/>
    <w:rsid w:val="6315416A"/>
    <w:rsid w:val="634E142A"/>
    <w:rsid w:val="635C6DA5"/>
    <w:rsid w:val="6372336A"/>
    <w:rsid w:val="63862972"/>
    <w:rsid w:val="6393116A"/>
    <w:rsid w:val="63C17E4E"/>
    <w:rsid w:val="63D00091"/>
    <w:rsid w:val="63F21DB5"/>
    <w:rsid w:val="63F91396"/>
    <w:rsid w:val="64065861"/>
    <w:rsid w:val="64370110"/>
    <w:rsid w:val="649B069F"/>
    <w:rsid w:val="64D43BB1"/>
    <w:rsid w:val="652E32C1"/>
    <w:rsid w:val="6554084E"/>
    <w:rsid w:val="65A76BCF"/>
    <w:rsid w:val="65B71508"/>
    <w:rsid w:val="65B80DDC"/>
    <w:rsid w:val="65CB0B10"/>
    <w:rsid w:val="66044BBB"/>
    <w:rsid w:val="66134265"/>
    <w:rsid w:val="66171FA7"/>
    <w:rsid w:val="66252916"/>
    <w:rsid w:val="663E784C"/>
    <w:rsid w:val="66590925"/>
    <w:rsid w:val="665F74AA"/>
    <w:rsid w:val="669D548E"/>
    <w:rsid w:val="66A001EE"/>
    <w:rsid w:val="66C043ED"/>
    <w:rsid w:val="66DE4873"/>
    <w:rsid w:val="670F05EC"/>
    <w:rsid w:val="673B4734"/>
    <w:rsid w:val="67452B44"/>
    <w:rsid w:val="67650AF0"/>
    <w:rsid w:val="67A23AF2"/>
    <w:rsid w:val="67D26A1E"/>
    <w:rsid w:val="67DF6AF4"/>
    <w:rsid w:val="67E4235D"/>
    <w:rsid w:val="67ED7463"/>
    <w:rsid w:val="67F14786"/>
    <w:rsid w:val="682D5AB2"/>
    <w:rsid w:val="683F3A37"/>
    <w:rsid w:val="688D5F16"/>
    <w:rsid w:val="68C1444C"/>
    <w:rsid w:val="68C55CEA"/>
    <w:rsid w:val="691D5B26"/>
    <w:rsid w:val="69230C63"/>
    <w:rsid w:val="692D388F"/>
    <w:rsid w:val="692E469B"/>
    <w:rsid w:val="693815E6"/>
    <w:rsid w:val="695B21AB"/>
    <w:rsid w:val="69D16911"/>
    <w:rsid w:val="69E60343"/>
    <w:rsid w:val="6A645398"/>
    <w:rsid w:val="6A7971CC"/>
    <w:rsid w:val="6A9A31A7"/>
    <w:rsid w:val="6AAB53B4"/>
    <w:rsid w:val="6AEB3524"/>
    <w:rsid w:val="6AF1726A"/>
    <w:rsid w:val="6BC06C3D"/>
    <w:rsid w:val="6BD9385B"/>
    <w:rsid w:val="6BDB3A77"/>
    <w:rsid w:val="6BE40B7D"/>
    <w:rsid w:val="6BE566A3"/>
    <w:rsid w:val="6C0528A2"/>
    <w:rsid w:val="6C0B435C"/>
    <w:rsid w:val="6C1A00FB"/>
    <w:rsid w:val="6C1D5E3D"/>
    <w:rsid w:val="6C6F4DB2"/>
    <w:rsid w:val="6C8934D3"/>
    <w:rsid w:val="6D2A0812"/>
    <w:rsid w:val="6D30394E"/>
    <w:rsid w:val="6D480C98"/>
    <w:rsid w:val="6D4C69DA"/>
    <w:rsid w:val="6D5B6C1D"/>
    <w:rsid w:val="6D5C4F9D"/>
    <w:rsid w:val="6D65184A"/>
    <w:rsid w:val="6D8A7502"/>
    <w:rsid w:val="6DE07122"/>
    <w:rsid w:val="6E111DA9"/>
    <w:rsid w:val="6E1F7C4B"/>
    <w:rsid w:val="6E201C15"/>
    <w:rsid w:val="6E292877"/>
    <w:rsid w:val="6E331948"/>
    <w:rsid w:val="6E46167B"/>
    <w:rsid w:val="6E5C0E9F"/>
    <w:rsid w:val="6E881C94"/>
    <w:rsid w:val="6E8E24BE"/>
    <w:rsid w:val="6EA10013"/>
    <w:rsid w:val="6EA96517"/>
    <w:rsid w:val="6EB365E5"/>
    <w:rsid w:val="6EBD1212"/>
    <w:rsid w:val="6EE26A42"/>
    <w:rsid w:val="6EE64C0C"/>
    <w:rsid w:val="6F437969"/>
    <w:rsid w:val="6F5C4ECE"/>
    <w:rsid w:val="6F71097A"/>
    <w:rsid w:val="6F834209"/>
    <w:rsid w:val="6F8C2F13"/>
    <w:rsid w:val="6FA36659"/>
    <w:rsid w:val="6FA67291"/>
    <w:rsid w:val="6FAC7C04"/>
    <w:rsid w:val="6FBC4FF3"/>
    <w:rsid w:val="6FD44A65"/>
    <w:rsid w:val="702013D9"/>
    <w:rsid w:val="704B11CB"/>
    <w:rsid w:val="706E6C67"/>
    <w:rsid w:val="709A5CAE"/>
    <w:rsid w:val="70F058CE"/>
    <w:rsid w:val="71025602"/>
    <w:rsid w:val="711A6FFF"/>
    <w:rsid w:val="71290DE0"/>
    <w:rsid w:val="71535E5D"/>
    <w:rsid w:val="715A71EC"/>
    <w:rsid w:val="716A38D3"/>
    <w:rsid w:val="71771B4C"/>
    <w:rsid w:val="719C3171"/>
    <w:rsid w:val="71A232F6"/>
    <w:rsid w:val="71CD79BE"/>
    <w:rsid w:val="72086C48"/>
    <w:rsid w:val="72127AC6"/>
    <w:rsid w:val="723B0DCB"/>
    <w:rsid w:val="72450ADE"/>
    <w:rsid w:val="724F0D1A"/>
    <w:rsid w:val="725974A3"/>
    <w:rsid w:val="72732D17"/>
    <w:rsid w:val="727918F3"/>
    <w:rsid w:val="72924577"/>
    <w:rsid w:val="72B9146C"/>
    <w:rsid w:val="72DF209E"/>
    <w:rsid w:val="72E2393D"/>
    <w:rsid w:val="72E70F53"/>
    <w:rsid w:val="73025D8D"/>
    <w:rsid w:val="730438B3"/>
    <w:rsid w:val="730E64E0"/>
    <w:rsid w:val="73102258"/>
    <w:rsid w:val="731C0BFD"/>
    <w:rsid w:val="732301DD"/>
    <w:rsid w:val="733A1083"/>
    <w:rsid w:val="735E1215"/>
    <w:rsid w:val="736425A4"/>
    <w:rsid w:val="73974727"/>
    <w:rsid w:val="73A82490"/>
    <w:rsid w:val="73B07597"/>
    <w:rsid w:val="73C20CC3"/>
    <w:rsid w:val="743D707D"/>
    <w:rsid w:val="749D3FBF"/>
    <w:rsid w:val="74A40EAA"/>
    <w:rsid w:val="74A94712"/>
    <w:rsid w:val="74D379E1"/>
    <w:rsid w:val="75385A96"/>
    <w:rsid w:val="7544443B"/>
    <w:rsid w:val="75660855"/>
    <w:rsid w:val="757840E4"/>
    <w:rsid w:val="757E5B9F"/>
    <w:rsid w:val="759A04FF"/>
    <w:rsid w:val="75A35605"/>
    <w:rsid w:val="75D94B83"/>
    <w:rsid w:val="76197675"/>
    <w:rsid w:val="761C322D"/>
    <w:rsid w:val="76375D4D"/>
    <w:rsid w:val="763E532E"/>
    <w:rsid w:val="767B20DE"/>
    <w:rsid w:val="76A258BD"/>
    <w:rsid w:val="76A41635"/>
    <w:rsid w:val="76AF1D88"/>
    <w:rsid w:val="76C05D43"/>
    <w:rsid w:val="76C375E1"/>
    <w:rsid w:val="76CC0B8C"/>
    <w:rsid w:val="7718792D"/>
    <w:rsid w:val="772B48CC"/>
    <w:rsid w:val="773E2931"/>
    <w:rsid w:val="776B3F01"/>
    <w:rsid w:val="77A25449"/>
    <w:rsid w:val="77A80CB1"/>
    <w:rsid w:val="77AB254F"/>
    <w:rsid w:val="77C67389"/>
    <w:rsid w:val="77D31AA6"/>
    <w:rsid w:val="77F637F9"/>
    <w:rsid w:val="7808174F"/>
    <w:rsid w:val="780D6D66"/>
    <w:rsid w:val="78174088"/>
    <w:rsid w:val="78864A2F"/>
    <w:rsid w:val="78A3591C"/>
    <w:rsid w:val="78B673FD"/>
    <w:rsid w:val="78BD078C"/>
    <w:rsid w:val="78C27FDF"/>
    <w:rsid w:val="78D87374"/>
    <w:rsid w:val="78FA2322"/>
    <w:rsid w:val="791365FE"/>
    <w:rsid w:val="7919798C"/>
    <w:rsid w:val="79202AC9"/>
    <w:rsid w:val="79366790"/>
    <w:rsid w:val="79534C4C"/>
    <w:rsid w:val="798B6ADC"/>
    <w:rsid w:val="79986B03"/>
    <w:rsid w:val="79A436FA"/>
    <w:rsid w:val="79A47B9E"/>
    <w:rsid w:val="79AB6836"/>
    <w:rsid w:val="79DC497A"/>
    <w:rsid w:val="7A2B1F18"/>
    <w:rsid w:val="7A2F56B9"/>
    <w:rsid w:val="7A6115EB"/>
    <w:rsid w:val="7A6D2327"/>
    <w:rsid w:val="7AEC7106"/>
    <w:rsid w:val="7B187EFC"/>
    <w:rsid w:val="7B3B1E3C"/>
    <w:rsid w:val="7B5573A2"/>
    <w:rsid w:val="7B5F5B2A"/>
    <w:rsid w:val="7BA75723"/>
    <w:rsid w:val="7BB3231A"/>
    <w:rsid w:val="7BD77DB7"/>
    <w:rsid w:val="7C43544C"/>
    <w:rsid w:val="7C7048CD"/>
    <w:rsid w:val="7C705B15"/>
    <w:rsid w:val="7C741AA9"/>
    <w:rsid w:val="7C8B294F"/>
    <w:rsid w:val="7CD23631"/>
    <w:rsid w:val="7CE107C1"/>
    <w:rsid w:val="7D3618DB"/>
    <w:rsid w:val="7D3E5C13"/>
    <w:rsid w:val="7D4C3528"/>
    <w:rsid w:val="7D52346D"/>
    <w:rsid w:val="7D63567A"/>
    <w:rsid w:val="7D6C452F"/>
    <w:rsid w:val="7D6C5685"/>
    <w:rsid w:val="7D8263A3"/>
    <w:rsid w:val="7D957F29"/>
    <w:rsid w:val="7E12095F"/>
    <w:rsid w:val="7E1370A0"/>
    <w:rsid w:val="7E2412AD"/>
    <w:rsid w:val="7E6873EC"/>
    <w:rsid w:val="7EC87E8B"/>
    <w:rsid w:val="7ECA3C03"/>
    <w:rsid w:val="7ED93E46"/>
    <w:rsid w:val="7F263665"/>
    <w:rsid w:val="7FE74340"/>
    <w:rsid w:val="7FF8654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3"/>
    <w:qFormat/>
    <w:uiPriority w:val="0"/>
    <w:pPr>
      <w:spacing w:before="340" w:after="330" w:line="360" w:lineRule="auto"/>
      <w:jc w:val="center"/>
      <w:outlineLvl w:val="0"/>
    </w:pPr>
    <w:rPr>
      <w:rFonts w:eastAsia="黑体"/>
      <w:kern w:val="44"/>
      <w:szCs w:val="44"/>
    </w:rPr>
  </w:style>
  <w:style w:type="paragraph" w:styleId="3">
    <w:name w:val="heading 2"/>
    <w:basedOn w:val="4"/>
    <w:next w:val="5"/>
    <w:link w:val="78"/>
    <w:qFormat/>
    <w:uiPriority w:val="0"/>
    <w:pPr>
      <w:adjustRightInd w:val="0"/>
      <w:jc w:val="center"/>
      <w:textAlignment w:val="baseline"/>
      <w:outlineLvl w:val="1"/>
    </w:pPr>
    <w:rPr>
      <w:kern w:val="0"/>
      <w:sz w:val="24"/>
      <w:szCs w:val="20"/>
    </w:rPr>
  </w:style>
  <w:style w:type="paragraph" w:styleId="4">
    <w:name w:val="heading 3"/>
    <w:basedOn w:val="5"/>
    <w:next w:val="1"/>
    <w:link w:val="62"/>
    <w:qFormat/>
    <w:uiPriority w:val="9"/>
    <w:pPr>
      <w:spacing w:before="260" w:after="260" w:line="240" w:lineRule="auto"/>
      <w:outlineLvl w:val="2"/>
    </w:pPr>
    <w:rPr>
      <w:rFonts w:ascii="宋体" w:hAnsi="宋体" w:eastAsia="宋体"/>
      <w:szCs w:val="32"/>
    </w:rPr>
  </w:style>
  <w:style w:type="paragraph" w:styleId="5">
    <w:name w:val="heading 4"/>
    <w:basedOn w:val="1"/>
    <w:next w:val="1"/>
    <w:link w:val="60"/>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7"/>
    <w:qFormat/>
    <w:uiPriority w:val="0"/>
    <w:pPr>
      <w:keepNext/>
      <w:keepLines/>
      <w:spacing w:before="280" w:after="290" w:line="376" w:lineRule="auto"/>
      <w:outlineLvl w:val="4"/>
    </w:pPr>
    <w:rPr>
      <w:b/>
      <w:sz w:val="28"/>
      <w:szCs w:val="20"/>
    </w:rPr>
  </w:style>
  <w:style w:type="paragraph" w:styleId="8">
    <w:name w:val="heading 6"/>
    <w:basedOn w:val="1"/>
    <w:next w:val="7"/>
    <w:link w:val="90"/>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91"/>
    <w:qFormat/>
    <w:uiPriority w:val="0"/>
    <w:pPr>
      <w:keepNext/>
      <w:keepLines/>
      <w:spacing w:before="240" w:after="64" w:line="320" w:lineRule="auto"/>
      <w:outlineLvl w:val="6"/>
    </w:pPr>
    <w:rPr>
      <w:b/>
      <w:sz w:val="24"/>
      <w:szCs w:val="20"/>
    </w:rPr>
  </w:style>
  <w:style w:type="paragraph" w:styleId="10">
    <w:name w:val="heading 8"/>
    <w:basedOn w:val="1"/>
    <w:next w:val="7"/>
    <w:link w:val="92"/>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9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4"/>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91"/>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5"/>
    <w:qFormat/>
    <w:uiPriority w:val="0"/>
    <w:pPr>
      <w:spacing w:after="120"/>
    </w:pPr>
    <w:rPr>
      <w:sz w:val="16"/>
      <w:szCs w:val="16"/>
    </w:rPr>
  </w:style>
  <w:style w:type="paragraph" w:styleId="18">
    <w:name w:val="Body Text"/>
    <w:basedOn w:val="1"/>
    <w:link w:val="99"/>
    <w:qFormat/>
    <w:uiPriority w:val="0"/>
    <w:pPr>
      <w:spacing w:line="360" w:lineRule="auto"/>
    </w:pPr>
    <w:rPr>
      <w:b/>
      <w:bCs/>
      <w:sz w:val="24"/>
    </w:rPr>
  </w:style>
  <w:style w:type="paragraph" w:styleId="19">
    <w:name w:val="Body Text Indent"/>
    <w:basedOn w:val="1"/>
    <w:link w:val="86"/>
    <w:qFormat/>
    <w:uiPriority w:val="0"/>
    <w:pPr>
      <w:spacing w:line="360" w:lineRule="auto"/>
      <w:ind w:firstLine="420" w:firstLineChars="200"/>
    </w:p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rPr>
  </w:style>
  <w:style w:type="paragraph" w:styleId="22">
    <w:name w:val="Plain Text"/>
    <w:basedOn w:val="1"/>
    <w:link w:val="97"/>
    <w:qFormat/>
    <w:uiPriority w:val="0"/>
    <w:rPr>
      <w:rFonts w:ascii="宋体" w:hAnsi="Courier New"/>
      <w:szCs w:val="20"/>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95"/>
    <w:qFormat/>
    <w:uiPriority w:val="0"/>
    <w:rPr>
      <w:rFonts w:ascii="宋体" w:hAnsi="Courier New"/>
      <w:sz w:val="32"/>
      <w:szCs w:val="20"/>
    </w:rPr>
  </w:style>
  <w:style w:type="paragraph" w:styleId="25">
    <w:name w:val="Body Text Indent 2"/>
    <w:basedOn w:val="1"/>
    <w:link w:val="100"/>
    <w:qFormat/>
    <w:uiPriority w:val="0"/>
    <w:pPr>
      <w:spacing w:beforeLines="50" w:afterLines="50" w:line="120" w:lineRule="auto"/>
      <w:ind w:firstLine="840" w:firstLineChars="400"/>
      <w:jc w:val="left"/>
    </w:pPr>
    <w:rPr>
      <w:rFonts w:ascii="宋体" w:hAnsi="宋体"/>
    </w:rPr>
  </w:style>
  <w:style w:type="paragraph" w:styleId="26">
    <w:name w:val="Balloon Text"/>
    <w:basedOn w:val="1"/>
    <w:link w:val="106"/>
    <w:semiHidden/>
    <w:qFormat/>
    <w:uiPriority w:val="99"/>
    <w:rPr>
      <w:sz w:val="18"/>
      <w:szCs w:val="18"/>
    </w:rPr>
  </w:style>
  <w:style w:type="paragraph" w:styleId="27">
    <w:name w:val="footer"/>
    <w:basedOn w:val="1"/>
    <w:link w:val="104"/>
    <w:qFormat/>
    <w:uiPriority w:val="0"/>
    <w:pPr>
      <w:tabs>
        <w:tab w:val="center" w:pos="4153"/>
        <w:tab w:val="right" w:pos="8306"/>
      </w:tabs>
      <w:snapToGrid w:val="0"/>
      <w:jc w:val="left"/>
    </w:pPr>
    <w:rPr>
      <w:sz w:val="18"/>
      <w:szCs w:val="18"/>
    </w:rPr>
  </w:style>
  <w:style w:type="paragraph" w:styleId="28">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spacing w:before="120" w:after="120"/>
      <w:jc w:val="left"/>
    </w:pPr>
    <w:rPr>
      <w:b/>
      <w:bCs/>
      <w:caps/>
    </w:rPr>
  </w:style>
  <w:style w:type="paragraph" w:styleId="30">
    <w:name w:val="toc 4"/>
    <w:basedOn w:val="1"/>
    <w:next w:val="1"/>
    <w:semiHidden/>
    <w:qFormat/>
    <w:uiPriority w:val="0"/>
    <w:pPr>
      <w:ind w:left="630"/>
      <w:jc w:val="left"/>
    </w:pPr>
    <w:rPr>
      <w:szCs w:val="21"/>
    </w:rPr>
  </w:style>
  <w:style w:type="paragraph" w:styleId="31">
    <w:name w:val="toc 6"/>
    <w:basedOn w:val="1"/>
    <w:next w:val="1"/>
    <w:semiHidden/>
    <w:qFormat/>
    <w:uiPriority w:val="0"/>
    <w:pPr>
      <w:ind w:left="1050"/>
      <w:jc w:val="left"/>
    </w:pPr>
    <w:rPr>
      <w:szCs w:val="21"/>
    </w:rPr>
  </w:style>
  <w:style w:type="paragraph" w:styleId="32">
    <w:name w:val="Body Text Indent 3"/>
    <w:basedOn w:val="1"/>
    <w:link w:val="102"/>
    <w:qFormat/>
    <w:uiPriority w:val="0"/>
    <w:pPr>
      <w:spacing w:line="360" w:lineRule="auto"/>
      <w:ind w:firstLine="482" w:firstLineChars="200"/>
    </w:pPr>
    <w:rPr>
      <w:rFonts w:ascii="宋体"/>
      <w:b/>
      <w:bCs/>
      <w:sz w:val="24"/>
    </w:rPr>
  </w:style>
  <w:style w:type="paragraph" w:styleId="33">
    <w:name w:val="toc 2"/>
    <w:basedOn w:val="1"/>
    <w:next w:val="1"/>
    <w:semiHidden/>
    <w:qFormat/>
    <w:uiPriority w:val="0"/>
    <w:pPr>
      <w:tabs>
        <w:tab w:val="right" w:leader="dot" w:pos="8296"/>
      </w:tabs>
      <w:ind w:left="210"/>
      <w:jc w:val="left"/>
    </w:pPr>
    <w:rPr>
      <w:smallCaps/>
    </w:rPr>
  </w:style>
  <w:style w:type="paragraph" w:styleId="34">
    <w:name w:val="toc 9"/>
    <w:basedOn w:val="1"/>
    <w:next w:val="1"/>
    <w:semiHidden/>
    <w:qFormat/>
    <w:uiPriority w:val="0"/>
    <w:pPr>
      <w:ind w:left="1680"/>
      <w:jc w:val="left"/>
    </w:pPr>
    <w:rPr>
      <w:szCs w:val="21"/>
    </w:rPr>
  </w:style>
  <w:style w:type="paragraph" w:styleId="35">
    <w:name w:val="Body Text 2"/>
    <w:basedOn w:val="1"/>
    <w:link w:val="103"/>
    <w:qFormat/>
    <w:uiPriority w:val="0"/>
    <w:pPr>
      <w:spacing w:line="360" w:lineRule="auto"/>
    </w:pPr>
    <w:rPr>
      <w:sz w:val="24"/>
    </w:rPr>
  </w:style>
  <w:style w:type="paragraph" w:styleId="36">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7"/>
    <w:qFormat/>
    <w:uiPriority w:val="99"/>
    <w:pPr>
      <w:spacing w:before="0" w:beforeAutospacing="1" w:after="0" w:afterAutospacing="1"/>
      <w:ind w:left="0" w:right="0"/>
      <w:jc w:val="left"/>
    </w:pPr>
    <w:rPr>
      <w:kern w:val="0"/>
      <w:sz w:val="24"/>
      <w:lang w:val="en-US" w:eastAsia="zh-CN" w:bidi="ar"/>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4"/>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92"/>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3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qFormat/>
    <w:uiPriority w:val="0"/>
  </w:style>
  <w:style w:type="character" w:styleId="53">
    <w:name w:val="Hyperlink"/>
    <w:basedOn w:val="44"/>
    <w:qFormat/>
    <w:uiPriority w:val="0"/>
    <w:rPr>
      <w:color w:val="0000FF"/>
      <w:u w:val="single"/>
    </w:rPr>
  </w:style>
  <w:style w:type="character" w:styleId="54">
    <w:name w:val="HTML Code"/>
    <w:basedOn w:val="44"/>
    <w:semiHidden/>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hint="default" w:ascii="monospace" w:hAnsi="monospace" w:eastAsia="monospace" w:cs="monospace"/>
      <w:sz w:val="20"/>
    </w:rPr>
  </w:style>
  <w:style w:type="character" w:styleId="58">
    <w:name w:val="HTML Sample"/>
    <w:basedOn w:val="44"/>
    <w:semiHidden/>
    <w:unhideWhenUsed/>
    <w:qFormat/>
    <w:uiPriority w:val="0"/>
    <w:rPr>
      <w:rFonts w:hint="default" w:ascii="monospace" w:hAnsi="monospace" w:eastAsia="monospace" w:cs="monospace"/>
    </w:rPr>
  </w:style>
  <w:style w:type="paragraph" w:styleId="5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0">
    <w:name w:val="标题 4 Char"/>
    <w:link w:val="5"/>
    <w:qFormat/>
    <w:uiPriority w:val="9"/>
    <w:rPr>
      <w:rFonts w:ascii="Arial" w:hAnsi="Arial" w:eastAsia="黑体"/>
      <w:b/>
      <w:bCs/>
      <w:kern w:val="2"/>
      <w:sz w:val="28"/>
      <w:szCs w:val="28"/>
      <w:lang w:val="en-US" w:eastAsia="zh-CN" w:bidi="ar-SA"/>
    </w:rPr>
  </w:style>
  <w:style w:type="paragraph" w:customStyle="1" w:styleId="6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2">
    <w:name w:val="标题 3 Char1"/>
    <w:link w:val="4"/>
    <w:qFormat/>
    <w:uiPriority w:val="9"/>
    <w:rPr>
      <w:rFonts w:ascii="宋体" w:hAnsi="宋体" w:eastAsia="宋体"/>
      <w:b/>
      <w:bCs/>
      <w:kern w:val="2"/>
      <w:sz w:val="28"/>
      <w:szCs w:val="32"/>
      <w:lang w:val="en-US" w:eastAsia="zh-CN" w:bidi="ar-SA"/>
    </w:rPr>
  </w:style>
  <w:style w:type="character" w:customStyle="1" w:styleId="63">
    <w:name w:val="标题 1 Char"/>
    <w:link w:val="2"/>
    <w:qFormat/>
    <w:uiPriority w:val="0"/>
    <w:rPr>
      <w:rFonts w:ascii="宋体" w:hAnsi="宋体" w:eastAsia="黑体"/>
      <w:b/>
      <w:bCs/>
      <w:kern w:val="44"/>
      <w:sz w:val="28"/>
      <w:szCs w:val="44"/>
      <w:lang w:val="en-US" w:eastAsia="zh-CN" w:bidi="ar-SA"/>
    </w:rPr>
  </w:style>
  <w:style w:type="character" w:customStyle="1" w:styleId="64">
    <w:name w:val="正文缩进 Char"/>
    <w:link w:val="7"/>
    <w:qFormat/>
    <w:uiPriority w:val="0"/>
    <w:rPr>
      <w:rFonts w:eastAsia="宋体"/>
      <w:kern w:val="2"/>
      <w:sz w:val="21"/>
      <w:lang w:val="en-US" w:eastAsia="zh-CN" w:bidi="ar-SA"/>
    </w:rPr>
  </w:style>
  <w:style w:type="character" w:customStyle="1" w:styleId="65">
    <w:name w:val="标题 3 Char"/>
    <w:qFormat/>
    <w:uiPriority w:val="0"/>
    <w:rPr>
      <w:rFonts w:ascii="黑体" w:eastAsia="黑体"/>
      <w:bCs/>
      <w:sz w:val="30"/>
    </w:rPr>
  </w:style>
  <w:style w:type="paragraph" w:customStyle="1" w:styleId="6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自定义正文"/>
    <w:basedOn w:val="1"/>
    <w:qFormat/>
    <w:uiPriority w:val="0"/>
    <w:pPr>
      <w:spacing w:afterLines="50"/>
      <w:ind w:left="600" w:leftChars="600"/>
    </w:pPr>
  </w:style>
  <w:style w:type="paragraph" w:customStyle="1" w:styleId="74">
    <w:name w:val="Char Char Char Char Char"/>
    <w:basedOn w:val="1"/>
    <w:qFormat/>
    <w:uiPriority w:val="0"/>
    <w:rPr>
      <w:rFonts w:ascii="Tahoma" w:hAnsi="Tahoma"/>
      <w:sz w:val="24"/>
      <w:szCs w:val="20"/>
    </w:rPr>
  </w:style>
  <w:style w:type="paragraph" w:customStyle="1" w:styleId="7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6">
    <w:name w:val="Char Char"/>
    <w:basedOn w:val="1"/>
    <w:qFormat/>
    <w:uiPriority w:val="0"/>
    <w:rPr>
      <w:rFonts w:ascii="Tahoma" w:hAnsi="Tahoma"/>
      <w:sz w:val="24"/>
      <w:szCs w:val="20"/>
    </w:rPr>
  </w:style>
  <w:style w:type="paragraph" w:customStyle="1" w:styleId="7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8">
    <w:name w:val="标题 2 Char"/>
    <w:link w:val="3"/>
    <w:qFormat/>
    <w:uiPriority w:val="0"/>
    <w:rPr>
      <w:rFonts w:ascii="宋体" w:hAnsi="宋体" w:eastAsia="宋体"/>
      <w:b/>
      <w:bCs/>
      <w:sz w:val="24"/>
      <w:lang w:val="en-US" w:eastAsia="zh-CN" w:bidi="ar-SA"/>
    </w:rPr>
  </w:style>
  <w:style w:type="paragraph" w:customStyle="1" w:styleId="7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0">
    <w:name w:val="List Paragraph"/>
    <w:basedOn w:val="1"/>
    <w:qFormat/>
    <w:uiPriority w:val="34"/>
    <w:pPr>
      <w:ind w:firstLine="420" w:firstLineChars="200"/>
    </w:pPr>
    <w:rPr>
      <w:rFonts w:ascii="Calibri" w:hAnsi="Calibri"/>
      <w:szCs w:val="22"/>
    </w:rPr>
  </w:style>
  <w:style w:type="paragraph" w:customStyle="1" w:styleId="81">
    <w:name w:val="USE 1"/>
    <w:basedOn w:val="1"/>
    <w:qFormat/>
    <w:uiPriority w:val="0"/>
    <w:pPr>
      <w:spacing w:line="200" w:lineRule="atLeast"/>
      <w:jc w:val="left"/>
    </w:pPr>
    <w:rPr>
      <w:rFonts w:ascii="宋体" w:hAnsi="宋体"/>
      <w:b/>
      <w:sz w:val="24"/>
      <w:szCs w:val="28"/>
    </w:rPr>
  </w:style>
  <w:style w:type="paragraph" w:customStyle="1" w:styleId="8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3">
    <w:name w:val="正文文字缩进项目"/>
    <w:basedOn w:val="19"/>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4">
    <w:name w:val="样式 标题 2 + 段前: 13 磅 段后: 13 磅 行距: 单倍行距"/>
    <w:basedOn w:val="3"/>
    <w:qFormat/>
    <w:uiPriority w:val="0"/>
    <w:pPr>
      <w:adjustRightInd/>
      <w:spacing w:before="0" w:after="0"/>
      <w:jc w:val="both"/>
      <w:textAlignment w:val="auto"/>
    </w:pPr>
    <w:rPr>
      <w:rFonts w:ascii="Cambria" w:hAnsi="Cambria" w:cs="宋体"/>
      <w:kern w:val="2"/>
      <w:sz w:val="32"/>
    </w:rPr>
  </w:style>
  <w:style w:type="character" w:customStyle="1" w:styleId="85">
    <w:name w:val="H4 Char2"/>
    <w:qFormat/>
    <w:uiPriority w:val="0"/>
    <w:rPr>
      <w:rFonts w:ascii="Arial" w:hAnsi="Arial" w:eastAsia="黑体"/>
      <w:b/>
      <w:bCs/>
      <w:kern w:val="2"/>
      <w:sz w:val="28"/>
      <w:szCs w:val="28"/>
      <w:lang w:val="en-US" w:eastAsia="zh-CN" w:bidi="ar-SA"/>
    </w:rPr>
  </w:style>
  <w:style w:type="character" w:customStyle="1" w:styleId="86">
    <w:name w:val="正文文本缩进 Char"/>
    <w:link w:val="19"/>
    <w:qFormat/>
    <w:uiPriority w:val="0"/>
    <w:rPr>
      <w:rFonts w:eastAsia="宋体"/>
      <w:kern w:val="2"/>
      <w:sz w:val="21"/>
      <w:szCs w:val="24"/>
      <w:lang w:val="en-US" w:eastAsia="zh-CN" w:bidi="ar-SA"/>
    </w:rPr>
  </w:style>
  <w:style w:type="character" w:customStyle="1" w:styleId="87">
    <w:name w:val="标题 5 Char"/>
    <w:link w:val="6"/>
    <w:qFormat/>
    <w:uiPriority w:val="0"/>
    <w:rPr>
      <w:rFonts w:eastAsia="宋体"/>
      <w:b/>
      <w:kern w:val="2"/>
      <w:sz w:val="28"/>
      <w:lang w:val="en-US" w:eastAsia="zh-CN" w:bidi="ar-SA"/>
    </w:rPr>
  </w:style>
  <w:style w:type="character" w:customStyle="1" w:styleId="88">
    <w:name w:val="第*章 Char"/>
    <w:qFormat/>
    <w:uiPriority w:val="0"/>
    <w:rPr>
      <w:rFonts w:ascii="Arial" w:hAnsi="Arial" w:eastAsia="黑体"/>
      <w:b/>
      <w:bCs/>
      <w:kern w:val="2"/>
      <w:sz w:val="32"/>
      <w:szCs w:val="32"/>
    </w:rPr>
  </w:style>
  <w:style w:type="character" w:customStyle="1" w:styleId="89">
    <w:name w:val="章标题1 Char"/>
    <w:qFormat/>
    <w:uiPriority w:val="0"/>
    <w:rPr>
      <w:rFonts w:eastAsia="宋体"/>
      <w:b/>
      <w:bCs/>
      <w:kern w:val="2"/>
      <w:sz w:val="32"/>
      <w:szCs w:val="32"/>
      <w:lang w:val="en-US" w:eastAsia="zh-CN" w:bidi="ar-SA"/>
    </w:rPr>
  </w:style>
  <w:style w:type="character" w:customStyle="1" w:styleId="90">
    <w:name w:val="标题 6 Char"/>
    <w:link w:val="8"/>
    <w:qFormat/>
    <w:uiPriority w:val="0"/>
    <w:rPr>
      <w:rFonts w:ascii="Arial" w:hAnsi="Arial" w:eastAsia="黑体"/>
      <w:b/>
      <w:kern w:val="2"/>
      <w:sz w:val="24"/>
      <w:lang w:val="en-US" w:eastAsia="zh-CN" w:bidi="ar-SA"/>
    </w:rPr>
  </w:style>
  <w:style w:type="character" w:customStyle="1" w:styleId="91">
    <w:name w:val="标题 7 Char"/>
    <w:link w:val="9"/>
    <w:qFormat/>
    <w:uiPriority w:val="0"/>
    <w:rPr>
      <w:rFonts w:eastAsia="宋体"/>
      <w:b/>
      <w:kern w:val="2"/>
      <w:sz w:val="24"/>
      <w:lang w:val="en-US" w:eastAsia="zh-CN" w:bidi="ar-SA"/>
    </w:rPr>
  </w:style>
  <w:style w:type="character" w:customStyle="1" w:styleId="92">
    <w:name w:val="标题 8 Char"/>
    <w:link w:val="10"/>
    <w:qFormat/>
    <w:uiPriority w:val="0"/>
    <w:rPr>
      <w:rFonts w:ascii="Arial" w:hAnsi="Arial" w:eastAsia="黑体"/>
      <w:kern w:val="2"/>
      <w:sz w:val="24"/>
      <w:lang w:val="en-US" w:eastAsia="zh-CN" w:bidi="ar-SA"/>
    </w:rPr>
  </w:style>
  <w:style w:type="character" w:customStyle="1" w:styleId="93">
    <w:name w:val="标题 9 Char"/>
    <w:link w:val="11"/>
    <w:qFormat/>
    <w:uiPriority w:val="0"/>
    <w:rPr>
      <w:rFonts w:ascii="Arial" w:hAnsi="Arial" w:eastAsia="黑体"/>
      <w:kern w:val="2"/>
      <w:sz w:val="21"/>
      <w:lang w:val="en-US" w:eastAsia="zh-CN" w:bidi="ar-SA"/>
    </w:rPr>
  </w:style>
  <w:style w:type="character" w:customStyle="1" w:styleId="94">
    <w:name w:val="标题 Char"/>
    <w:link w:val="39"/>
    <w:qFormat/>
    <w:uiPriority w:val="0"/>
    <w:rPr>
      <w:rFonts w:ascii="Arial" w:hAnsi="Arial" w:eastAsia="隶书" w:cs="Arial"/>
      <w:b/>
      <w:bCs/>
      <w:kern w:val="2"/>
      <w:sz w:val="32"/>
      <w:szCs w:val="32"/>
      <w:lang w:val="en-US" w:eastAsia="zh-CN" w:bidi="ar-SA"/>
    </w:rPr>
  </w:style>
  <w:style w:type="character" w:customStyle="1" w:styleId="95">
    <w:name w:val="日期 Char"/>
    <w:link w:val="24"/>
    <w:qFormat/>
    <w:uiPriority w:val="0"/>
    <w:rPr>
      <w:rFonts w:ascii="宋体" w:hAnsi="Courier New" w:eastAsia="宋体"/>
      <w:kern w:val="2"/>
      <w:sz w:val="32"/>
      <w:lang w:val="en-US" w:eastAsia="zh-CN" w:bidi="ar-SA"/>
    </w:rPr>
  </w:style>
  <w:style w:type="character" w:customStyle="1" w:styleId="96">
    <w:name w:val="HTML 预设格式 Char"/>
    <w:link w:val="36"/>
    <w:qFormat/>
    <w:uiPriority w:val="0"/>
    <w:rPr>
      <w:rFonts w:ascii="Arial Unicode MS" w:hAnsi="Arial Unicode MS" w:eastAsia="Arial Unicode MS"/>
      <w:color w:val="000000"/>
      <w:lang w:val="en-US" w:eastAsia="zh-CN" w:bidi="ar-SA"/>
    </w:rPr>
  </w:style>
  <w:style w:type="character" w:customStyle="1" w:styleId="97">
    <w:name w:val="纯文本 Char"/>
    <w:link w:val="22"/>
    <w:qFormat/>
    <w:uiPriority w:val="0"/>
    <w:rPr>
      <w:rFonts w:ascii="宋体" w:hAnsi="Courier New" w:eastAsia="宋体"/>
      <w:kern w:val="2"/>
      <w:sz w:val="21"/>
      <w:lang w:val="en-US" w:eastAsia="zh-CN" w:bidi="ar-SA"/>
    </w:rPr>
  </w:style>
  <w:style w:type="character" w:customStyle="1" w:styleId="98">
    <w:name w:val="正文文字首行缩进 Char"/>
    <w:qFormat/>
    <w:uiPriority w:val="0"/>
    <w:rPr>
      <w:kern w:val="2"/>
      <w:sz w:val="21"/>
      <w:szCs w:val="24"/>
    </w:rPr>
  </w:style>
  <w:style w:type="character" w:customStyle="1" w:styleId="99">
    <w:name w:val="正文文本 Char"/>
    <w:link w:val="18"/>
    <w:qFormat/>
    <w:uiPriority w:val="0"/>
    <w:rPr>
      <w:rFonts w:eastAsia="宋体"/>
      <w:b/>
      <w:bCs/>
      <w:kern w:val="2"/>
      <w:sz w:val="24"/>
      <w:szCs w:val="24"/>
      <w:lang w:val="en-US" w:eastAsia="zh-CN" w:bidi="ar-SA"/>
    </w:rPr>
  </w:style>
  <w:style w:type="character" w:customStyle="1" w:styleId="100">
    <w:name w:val="正文文本缩进 2 Char"/>
    <w:link w:val="25"/>
    <w:qFormat/>
    <w:uiPriority w:val="0"/>
    <w:rPr>
      <w:rFonts w:ascii="宋体" w:hAnsi="宋体" w:eastAsia="宋体"/>
      <w:kern w:val="2"/>
      <w:sz w:val="21"/>
      <w:szCs w:val="24"/>
      <w:lang w:val="en-US" w:eastAsia="zh-CN" w:bidi="ar-SA"/>
    </w:rPr>
  </w:style>
  <w:style w:type="character" w:customStyle="1" w:styleId="101">
    <w:name w:val="页眉 Char"/>
    <w:link w:val="28"/>
    <w:qFormat/>
    <w:uiPriority w:val="99"/>
    <w:rPr>
      <w:rFonts w:eastAsia="宋体"/>
      <w:kern w:val="2"/>
      <w:sz w:val="18"/>
      <w:szCs w:val="18"/>
      <w:lang w:val="en-US" w:eastAsia="zh-CN" w:bidi="ar-SA"/>
    </w:rPr>
  </w:style>
  <w:style w:type="character" w:customStyle="1" w:styleId="102">
    <w:name w:val="正文文本缩进 3 Char"/>
    <w:link w:val="32"/>
    <w:qFormat/>
    <w:uiPriority w:val="0"/>
    <w:rPr>
      <w:rFonts w:ascii="宋体" w:eastAsia="宋体"/>
      <w:b/>
      <w:bCs/>
      <w:kern w:val="2"/>
      <w:sz w:val="24"/>
      <w:szCs w:val="24"/>
      <w:lang w:val="en-US" w:eastAsia="zh-CN" w:bidi="ar-SA"/>
    </w:rPr>
  </w:style>
  <w:style w:type="character" w:customStyle="1" w:styleId="103">
    <w:name w:val="正文文本 2 Char"/>
    <w:link w:val="35"/>
    <w:qFormat/>
    <w:uiPriority w:val="0"/>
    <w:rPr>
      <w:rFonts w:eastAsia="宋体"/>
      <w:kern w:val="2"/>
      <w:sz w:val="24"/>
      <w:szCs w:val="24"/>
      <w:lang w:val="en-US" w:eastAsia="zh-CN" w:bidi="ar-SA"/>
    </w:rPr>
  </w:style>
  <w:style w:type="character" w:customStyle="1" w:styleId="104">
    <w:name w:val="页脚 Char"/>
    <w:link w:val="27"/>
    <w:qFormat/>
    <w:uiPriority w:val="0"/>
    <w:rPr>
      <w:rFonts w:eastAsia="宋体"/>
      <w:kern w:val="2"/>
      <w:sz w:val="18"/>
      <w:szCs w:val="18"/>
      <w:lang w:val="en-US" w:eastAsia="zh-CN" w:bidi="ar-SA"/>
    </w:rPr>
  </w:style>
  <w:style w:type="character" w:customStyle="1" w:styleId="105">
    <w:name w:val="正文文本 3 Char"/>
    <w:link w:val="17"/>
    <w:qFormat/>
    <w:uiPriority w:val="0"/>
    <w:rPr>
      <w:rFonts w:eastAsia="宋体"/>
      <w:kern w:val="2"/>
      <w:sz w:val="16"/>
      <w:szCs w:val="16"/>
      <w:lang w:val="en-US" w:eastAsia="zh-CN" w:bidi="ar-SA"/>
    </w:rPr>
  </w:style>
  <w:style w:type="character" w:customStyle="1" w:styleId="106">
    <w:name w:val="批注框文本 Char"/>
    <w:link w:val="26"/>
    <w:semiHidden/>
    <w:qFormat/>
    <w:uiPriority w:val="99"/>
    <w:rPr>
      <w:rFonts w:eastAsia="宋体"/>
      <w:kern w:val="2"/>
      <w:sz w:val="18"/>
      <w:szCs w:val="18"/>
      <w:lang w:val="en-US" w:eastAsia="zh-CN" w:bidi="ar-SA"/>
    </w:rPr>
  </w:style>
  <w:style w:type="paragraph" w:customStyle="1" w:styleId="107">
    <w:name w:val="样式1"/>
    <w:basedOn w:val="39"/>
    <w:qFormat/>
    <w:uiPriority w:val="0"/>
    <w:pPr>
      <w:spacing w:before="120" w:after="120"/>
    </w:pPr>
    <w:rPr>
      <w:rFonts w:eastAsia="黑体"/>
      <w:b w:val="0"/>
      <w:sz w:val="30"/>
      <w:szCs w:val="21"/>
    </w:rPr>
  </w:style>
  <w:style w:type="paragraph" w:customStyle="1" w:styleId="108">
    <w:name w:val="样式2"/>
    <w:basedOn w:val="39"/>
    <w:next w:val="107"/>
    <w:qFormat/>
    <w:uiPriority w:val="0"/>
    <w:pPr>
      <w:spacing w:before="120" w:after="120"/>
    </w:pPr>
    <w:rPr>
      <w:rFonts w:eastAsia="黑体"/>
      <w:b w:val="0"/>
      <w:sz w:val="30"/>
      <w:szCs w:val="30"/>
    </w:rPr>
  </w:style>
  <w:style w:type="character" w:customStyle="1" w:styleId="109">
    <w:name w:val="标题 3 Char Char"/>
    <w:qFormat/>
    <w:uiPriority w:val="0"/>
    <w:rPr>
      <w:rFonts w:eastAsia="宋体"/>
      <w:b/>
      <w:bCs/>
      <w:kern w:val="2"/>
      <w:sz w:val="32"/>
      <w:szCs w:val="32"/>
      <w:lang w:val="en-US" w:eastAsia="zh-CN" w:bidi="ar-SA"/>
    </w:rPr>
  </w:style>
  <w:style w:type="paragraph" w:customStyle="1" w:styleId="11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2">
    <w:name w:val="--规划正文"/>
    <w:basedOn w:val="1"/>
    <w:qFormat/>
    <w:uiPriority w:val="0"/>
    <w:pPr>
      <w:spacing w:line="360" w:lineRule="auto"/>
      <w:ind w:firstLine="200" w:firstLineChars="200"/>
    </w:pPr>
    <w:rPr>
      <w:szCs w:val="20"/>
    </w:rPr>
  </w:style>
  <w:style w:type="paragraph" w:customStyle="1" w:styleId="113">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5">
    <w:name w:val="样式4"/>
    <w:basedOn w:val="1"/>
    <w:qFormat/>
    <w:uiPriority w:val="0"/>
    <w:pPr>
      <w:tabs>
        <w:tab w:val="left" w:pos="842"/>
      </w:tabs>
      <w:spacing w:line="360" w:lineRule="auto"/>
      <w:ind w:left="842" w:hanging="420"/>
    </w:pPr>
    <w:rPr>
      <w:sz w:val="24"/>
    </w:rPr>
  </w:style>
  <w:style w:type="paragraph" w:customStyle="1" w:styleId="116">
    <w:name w:val="文字"/>
    <w:basedOn w:val="1"/>
    <w:qFormat/>
    <w:uiPriority w:val="0"/>
    <w:pPr>
      <w:tabs>
        <w:tab w:val="left" w:pos="8520"/>
      </w:tabs>
      <w:spacing w:line="312" w:lineRule="auto"/>
      <w:ind w:right="-210" w:firstLine="556"/>
    </w:pPr>
    <w:rPr>
      <w:rFonts w:ascii="宋体"/>
      <w:sz w:val="28"/>
      <w:szCs w:val="20"/>
    </w:rPr>
  </w:style>
  <w:style w:type="paragraph" w:customStyle="1" w:styleId="117">
    <w:name w:val="--规划-表格-居左"/>
    <w:basedOn w:val="112"/>
    <w:qFormat/>
    <w:uiPriority w:val="0"/>
    <w:pPr>
      <w:spacing w:line="240" w:lineRule="auto"/>
      <w:ind w:firstLine="0" w:firstLineChars="0"/>
    </w:pPr>
    <w:rPr>
      <w:sz w:val="20"/>
    </w:rPr>
  </w:style>
  <w:style w:type="paragraph" w:customStyle="1" w:styleId="118">
    <w:name w:val="--规划-表格-居中"/>
    <w:basedOn w:val="112"/>
    <w:qFormat/>
    <w:uiPriority w:val="0"/>
    <w:pPr>
      <w:spacing w:line="240" w:lineRule="auto"/>
      <w:ind w:firstLine="0" w:firstLineChars="0"/>
      <w:jc w:val="center"/>
    </w:pPr>
    <w:rPr>
      <w:sz w:val="20"/>
    </w:rPr>
  </w:style>
  <w:style w:type="paragraph" w:customStyle="1" w:styleId="119">
    <w:name w:val="--编号内缩进"/>
    <w:basedOn w:val="1"/>
    <w:qFormat/>
    <w:uiPriority w:val="0"/>
    <w:pPr>
      <w:spacing w:line="360" w:lineRule="auto"/>
      <w:ind w:left="420" w:firstLine="200" w:firstLineChars="200"/>
    </w:pPr>
    <w:rPr>
      <w:szCs w:val="21"/>
    </w:rPr>
  </w:style>
  <w:style w:type="paragraph" w:customStyle="1" w:styleId="120">
    <w:name w:val="--规划-题注"/>
    <w:basedOn w:val="1"/>
    <w:next w:val="112"/>
    <w:qFormat/>
    <w:uiPriority w:val="0"/>
    <w:pPr>
      <w:spacing w:line="360" w:lineRule="auto"/>
      <w:jc w:val="center"/>
    </w:pPr>
    <w:rPr>
      <w:rFonts w:eastAsia="黑体"/>
    </w:rPr>
  </w:style>
  <w:style w:type="paragraph" w:customStyle="1" w:styleId="121">
    <w:name w:val="--规划-图和表"/>
    <w:next w:val="112"/>
    <w:qFormat/>
    <w:uiPriority w:val="0"/>
    <w:pPr>
      <w:jc w:val="center"/>
    </w:pPr>
    <w:rPr>
      <w:rFonts w:ascii="Times New Roman" w:hAnsi="Times New Roman" w:eastAsia="宋体" w:cs="Times New Roman"/>
      <w:kern w:val="2"/>
      <w:sz w:val="21"/>
      <w:lang w:val="en-US" w:eastAsia="zh-CN" w:bidi="ar-SA"/>
    </w:rPr>
  </w:style>
  <w:style w:type="paragraph" w:customStyle="1" w:styleId="122">
    <w:name w:val="--规划-小标题"/>
    <w:basedOn w:val="1"/>
    <w:next w:val="112"/>
    <w:qFormat/>
    <w:uiPriority w:val="0"/>
    <w:pPr>
      <w:keepNext/>
      <w:keepLines/>
      <w:spacing w:line="360" w:lineRule="auto"/>
      <w:outlineLvl w:val="4"/>
    </w:pPr>
    <w:rPr>
      <w:rFonts w:eastAsia="黑体"/>
    </w:rPr>
  </w:style>
  <w:style w:type="paragraph" w:customStyle="1" w:styleId="123">
    <w:name w:val="--规划正文 Char"/>
    <w:basedOn w:val="1"/>
    <w:qFormat/>
    <w:uiPriority w:val="0"/>
    <w:pPr>
      <w:spacing w:line="360" w:lineRule="auto"/>
      <w:ind w:firstLine="200" w:firstLineChars="200"/>
    </w:pPr>
    <w:rPr>
      <w:sz w:val="24"/>
    </w:rPr>
  </w:style>
  <w:style w:type="paragraph" w:customStyle="1" w:styleId="124">
    <w:name w:val="缺省文本"/>
    <w:basedOn w:val="1"/>
    <w:qFormat/>
    <w:uiPriority w:val="0"/>
    <w:pPr>
      <w:autoSpaceDE w:val="0"/>
      <w:autoSpaceDN w:val="0"/>
      <w:adjustRightInd w:val="0"/>
      <w:jc w:val="left"/>
    </w:pPr>
    <w:rPr>
      <w:kern w:val="0"/>
    </w:rPr>
  </w:style>
  <w:style w:type="paragraph" w:customStyle="1" w:styleId="12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6">
    <w:name w:val="--规划正文 Char Char"/>
    <w:qFormat/>
    <w:uiPriority w:val="0"/>
    <w:rPr>
      <w:rFonts w:eastAsia="宋体"/>
      <w:kern w:val="2"/>
      <w:sz w:val="24"/>
      <w:szCs w:val="24"/>
      <w:lang w:val="en-US" w:eastAsia="zh-CN" w:bidi="ar-SA"/>
    </w:rPr>
  </w:style>
  <w:style w:type="paragraph" w:customStyle="1" w:styleId="127">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8">
    <w:name w:val="--规划正文 Char1"/>
    <w:qFormat/>
    <w:uiPriority w:val="0"/>
    <w:rPr>
      <w:rFonts w:eastAsia="宋体"/>
      <w:kern w:val="2"/>
      <w:sz w:val="21"/>
      <w:lang w:val="en-US" w:eastAsia="zh-CN" w:bidi="ar-SA"/>
    </w:rPr>
  </w:style>
  <w:style w:type="paragraph" w:customStyle="1" w:styleId="12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0">
    <w:name w:val="列表项目"/>
    <w:basedOn w:val="1"/>
    <w:qFormat/>
    <w:uiPriority w:val="0"/>
    <w:pPr>
      <w:tabs>
        <w:tab w:val="left" w:pos="420"/>
        <w:tab w:val="left" w:pos="1080"/>
      </w:tabs>
      <w:spacing w:line="288" w:lineRule="auto"/>
      <w:ind w:left="1080" w:hanging="360"/>
    </w:pPr>
    <w:rPr>
      <w:sz w:val="24"/>
      <w:szCs w:val="20"/>
    </w:rPr>
  </w:style>
  <w:style w:type="character" w:customStyle="1" w:styleId="131">
    <w:name w:val="content1"/>
    <w:qFormat/>
    <w:uiPriority w:val="0"/>
    <w:rPr>
      <w:rFonts w:hint="default" w:ascii="??" w:hAnsi="??"/>
      <w:sz w:val="16"/>
      <w:szCs w:val="16"/>
      <w:u w:val="none"/>
    </w:rPr>
  </w:style>
  <w:style w:type="character" w:customStyle="1" w:styleId="132">
    <w:name w:val="unnamed4"/>
    <w:basedOn w:val="44"/>
    <w:qFormat/>
    <w:uiPriority w:val="0"/>
  </w:style>
  <w:style w:type="character" w:customStyle="1" w:styleId="133">
    <w:name w:val="font2"/>
    <w:basedOn w:val="44"/>
    <w:qFormat/>
    <w:uiPriority w:val="0"/>
  </w:style>
  <w:style w:type="character" w:customStyle="1" w:styleId="134">
    <w:name w:val="font41"/>
    <w:qFormat/>
    <w:uiPriority w:val="0"/>
    <w:rPr>
      <w:color w:val="000000"/>
      <w:spacing w:val="260"/>
      <w:sz w:val="18"/>
      <w:szCs w:val="18"/>
      <w:u w:val="none"/>
    </w:rPr>
  </w:style>
  <w:style w:type="paragraph" w:customStyle="1" w:styleId="13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7">
    <w:name w:val="正文首行缩进 Char"/>
    <w:link w:val="41"/>
    <w:qFormat/>
    <w:uiPriority w:val="0"/>
    <w:rPr>
      <w:rFonts w:eastAsia="宋体"/>
      <w:b/>
      <w:bCs/>
      <w:kern w:val="2"/>
      <w:sz w:val="21"/>
      <w:szCs w:val="24"/>
      <w:lang w:val="en-US" w:eastAsia="zh-CN" w:bidi="ar-SA"/>
    </w:rPr>
  </w:style>
  <w:style w:type="paragraph" w:customStyle="1" w:styleId="13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1">
    <w:name w:val="mode"/>
    <w:basedOn w:val="44"/>
    <w:qFormat/>
    <w:uiPriority w:val="0"/>
  </w:style>
  <w:style w:type="paragraph" w:customStyle="1" w:styleId="142">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3">
    <w:name w:val="unnamed3"/>
    <w:basedOn w:val="44"/>
    <w:qFormat/>
    <w:uiPriority w:val="0"/>
  </w:style>
  <w:style w:type="paragraph" w:customStyle="1" w:styleId="144">
    <w:name w:val="8"/>
    <w:basedOn w:val="1"/>
    <w:next w:val="19"/>
    <w:qFormat/>
    <w:uiPriority w:val="0"/>
    <w:pPr>
      <w:spacing w:after="120"/>
      <w:ind w:left="420" w:leftChars="200"/>
    </w:pPr>
  </w:style>
  <w:style w:type="paragraph" w:customStyle="1" w:styleId="14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7">
    <w:name w:val="5"/>
    <w:basedOn w:val="1"/>
    <w:qFormat/>
    <w:uiPriority w:val="0"/>
    <w:pPr>
      <w:autoSpaceDE w:val="0"/>
      <w:autoSpaceDN w:val="0"/>
      <w:adjustRightInd w:val="0"/>
      <w:jc w:val="left"/>
    </w:pPr>
    <w:rPr>
      <w:rFonts w:ascii="宋体"/>
      <w:b/>
      <w:bCs/>
      <w:kern w:val="0"/>
      <w:sz w:val="18"/>
      <w:szCs w:val="18"/>
    </w:rPr>
  </w:style>
  <w:style w:type="paragraph" w:customStyle="1" w:styleId="148">
    <w:name w:val="6"/>
    <w:basedOn w:val="147"/>
    <w:qFormat/>
    <w:uiPriority w:val="0"/>
    <w:pPr>
      <w:spacing w:line="270" w:lineRule="atLeast"/>
      <w:jc w:val="both"/>
    </w:pPr>
    <w:rPr>
      <w:b w:val="0"/>
      <w:bCs w:val="0"/>
    </w:rPr>
  </w:style>
  <w:style w:type="paragraph" w:customStyle="1" w:styleId="14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0">
    <w:name w:val="姜文清定义的正文"/>
    <w:basedOn w:val="1"/>
    <w:qFormat/>
    <w:uiPriority w:val="0"/>
    <w:pPr>
      <w:spacing w:line="240" w:lineRule="atLeast"/>
      <w:ind w:firstLine="567"/>
    </w:pPr>
    <w:rPr>
      <w:szCs w:val="20"/>
    </w:rPr>
  </w:style>
  <w:style w:type="paragraph" w:customStyle="1" w:styleId="15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2">
    <w:name w:val="CM2"/>
    <w:basedOn w:val="151"/>
    <w:next w:val="151"/>
    <w:qFormat/>
    <w:uiPriority w:val="0"/>
    <w:pPr>
      <w:spacing w:line="200" w:lineRule="atLeast"/>
    </w:pPr>
    <w:rPr>
      <w:rFonts w:ascii="Arial" w:hAnsi="Arial" w:eastAsia="宋体" w:cs="Times New Roman"/>
      <w:color w:val="auto"/>
    </w:rPr>
  </w:style>
  <w:style w:type="paragraph" w:customStyle="1" w:styleId="153">
    <w:name w:val="Normal Paragraph"/>
    <w:basedOn w:val="1"/>
    <w:qFormat/>
    <w:uiPriority w:val="0"/>
    <w:pPr>
      <w:widowControl/>
      <w:spacing w:before="120" w:line="360" w:lineRule="auto"/>
      <w:ind w:firstLine="425"/>
    </w:pPr>
    <w:rPr>
      <w:kern w:val="0"/>
      <w:sz w:val="24"/>
    </w:rPr>
  </w:style>
  <w:style w:type="character" w:customStyle="1" w:styleId="154">
    <w:name w:val="blue"/>
    <w:basedOn w:val="44"/>
    <w:qFormat/>
    <w:uiPriority w:val="0"/>
  </w:style>
  <w:style w:type="paragraph" w:customStyle="1" w:styleId="15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6">
    <w:name w:val="font"/>
    <w:basedOn w:val="44"/>
    <w:qFormat/>
    <w:uiPriority w:val="0"/>
  </w:style>
  <w:style w:type="character" w:customStyle="1" w:styleId="157">
    <w:name w:val="font11"/>
    <w:qFormat/>
    <w:uiPriority w:val="0"/>
    <w:rPr>
      <w:rFonts w:hint="default" w:ascii="ˎ̥" w:hAnsi="ˎ̥"/>
    </w:rPr>
  </w:style>
  <w:style w:type="paragraph" w:customStyle="1" w:styleId="15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9">
    <w:name w:val="proddescription"/>
    <w:basedOn w:val="44"/>
    <w:qFormat/>
    <w:uiPriority w:val="0"/>
  </w:style>
  <w:style w:type="character" w:customStyle="1" w:styleId="160">
    <w:name w:val="prodheadlines"/>
    <w:basedOn w:val="44"/>
    <w:qFormat/>
    <w:uiPriority w:val="0"/>
  </w:style>
  <w:style w:type="character" w:customStyle="1" w:styleId="161">
    <w:name w:val="text"/>
    <w:basedOn w:val="44"/>
    <w:qFormat/>
    <w:uiPriority w:val="0"/>
  </w:style>
  <w:style w:type="paragraph" w:customStyle="1" w:styleId="16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7">
    <w:name w:val="段落正文"/>
    <w:basedOn w:val="22"/>
    <w:qFormat/>
    <w:uiPriority w:val="0"/>
    <w:pPr>
      <w:ind w:firstLine="560" w:firstLineChars="200"/>
    </w:pPr>
    <w:rPr>
      <w:sz w:val="28"/>
    </w:rPr>
  </w:style>
  <w:style w:type="character" w:customStyle="1" w:styleId="168">
    <w:name w:val="gray6"/>
    <w:basedOn w:val="44"/>
    <w:qFormat/>
    <w:uiPriority w:val="0"/>
  </w:style>
  <w:style w:type="character" w:customStyle="1" w:styleId="169">
    <w:name w:val="style9"/>
    <w:basedOn w:val="44"/>
    <w:qFormat/>
    <w:uiPriority w:val="0"/>
  </w:style>
  <w:style w:type="paragraph" w:customStyle="1" w:styleId="17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1">
    <w:name w:val="grame"/>
    <w:basedOn w:val="44"/>
    <w:qFormat/>
    <w:uiPriority w:val="0"/>
  </w:style>
  <w:style w:type="paragraph" w:customStyle="1" w:styleId="17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Char1"/>
    <w:basedOn w:val="1"/>
    <w:qFormat/>
    <w:uiPriority w:val="0"/>
    <w:pPr>
      <w:jc w:val="left"/>
    </w:pPr>
    <w:rPr>
      <w:rFonts w:ascii="Tahoma" w:hAnsi="Tahoma"/>
      <w:sz w:val="24"/>
      <w:szCs w:val="20"/>
    </w:rPr>
  </w:style>
  <w:style w:type="paragraph" w:customStyle="1" w:styleId="17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1">
    <w:name w:val="表格字"/>
    <w:basedOn w:val="1"/>
    <w:qFormat/>
    <w:uiPriority w:val="0"/>
    <w:pPr>
      <w:adjustRightInd w:val="0"/>
      <w:jc w:val="center"/>
    </w:pPr>
    <w:rPr>
      <w:rFonts w:ascii="宋体"/>
      <w:sz w:val="24"/>
      <w:szCs w:val="20"/>
    </w:rPr>
  </w:style>
  <w:style w:type="character" w:customStyle="1" w:styleId="182">
    <w:name w:val="样式 小三 加粗"/>
    <w:qFormat/>
    <w:uiPriority w:val="0"/>
    <w:rPr>
      <w:rFonts w:eastAsia="宋体"/>
      <w:b/>
      <w:bCs/>
      <w:sz w:val="32"/>
    </w:rPr>
  </w:style>
  <w:style w:type="paragraph" w:customStyle="1" w:styleId="1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5">
    <w:name w:val="Char Char Char"/>
    <w:basedOn w:val="1"/>
    <w:qFormat/>
    <w:uiPriority w:val="0"/>
    <w:rPr>
      <w:rFonts w:ascii="Tahoma" w:hAnsi="Tahoma"/>
      <w:sz w:val="24"/>
      <w:szCs w:val="20"/>
    </w:rPr>
  </w:style>
  <w:style w:type="paragraph" w:customStyle="1" w:styleId="18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7">
    <w:name w:val="info4"/>
    <w:basedOn w:val="44"/>
    <w:qFormat/>
    <w:uiPriority w:val="0"/>
  </w:style>
  <w:style w:type="paragraph" w:customStyle="1" w:styleId="188">
    <w:name w:val="缩进正文"/>
    <w:basedOn w:val="1"/>
    <w:link w:val="189"/>
    <w:qFormat/>
    <w:uiPriority w:val="0"/>
    <w:pPr>
      <w:ind w:firstLine="560" w:firstLineChars="200"/>
    </w:pPr>
    <w:rPr>
      <w:rFonts w:eastAsia="仿宋_GB2312" w:cs="宋体"/>
      <w:sz w:val="28"/>
      <w:szCs w:val="20"/>
    </w:rPr>
  </w:style>
  <w:style w:type="character" w:customStyle="1" w:styleId="189">
    <w:name w:val="缩进正文 Char"/>
    <w:link w:val="188"/>
    <w:qFormat/>
    <w:uiPriority w:val="0"/>
    <w:rPr>
      <w:rFonts w:eastAsia="仿宋_GB2312" w:cs="宋体"/>
      <w:kern w:val="2"/>
      <w:sz w:val="28"/>
      <w:lang w:val="en-US" w:eastAsia="zh-CN" w:bidi="ar-SA"/>
    </w:rPr>
  </w:style>
  <w:style w:type="paragraph" w:customStyle="1" w:styleId="190">
    <w:name w:val="列出段落1"/>
    <w:basedOn w:val="1"/>
    <w:qFormat/>
    <w:uiPriority w:val="0"/>
    <w:pPr>
      <w:ind w:firstLine="420" w:firstLineChars="200"/>
    </w:pPr>
    <w:rPr>
      <w:rFonts w:ascii="Calibri" w:hAnsi="Calibri" w:cs="Calibri"/>
      <w:szCs w:val="21"/>
    </w:rPr>
  </w:style>
  <w:style w:type="character" w:customStyle="1" w:styleId="191">
    <w:name w:val="批注文字 Char"/>
    <w:basedOn w:val="44"/>
    <w:link w:val="16"/>
    <w:qFormat/>
    <w:uiPriority w:val="99"/>
    <w:rPr>
      <w:rFonts w:ascii="宋体"/>
      <w:sz w:val="34"/>
    </w:rPr>
  </w:style>
  <w:style w:type="character" w:customStyle="1" w:styleId="192">
    <w:name w:val="批注主题 Char"/>
    <w:basedOn w:val="191"/>
    <w:link w:val="40"/>
    <w:qFormat/>
    <w:uiPriority w:val="99"/>
    <w:rPr>
      <w:rFonts w:ascii="宋体"/>
      <w:sz w:val="34"/>
    </w:rPr>
  </w:style>
  <w:style w:type="paragraph" w:customStyle="1" w:styleId="193">
    <w:name w:val="评价"/>
    <w:basedOn w:val="1"/>
    <w:qFormat/>
    <w:uiPriority w:val="0"/>
    <w:pPr>
      <w:spacing w:afterLines="20"/>
      <w:ind w:firstLine="1446" w:firstLineChars="200"/>
    </w:pPr>
    <w:rPr>
      <w:rFonts w:ascii="Calibri" w:hAnsi="Calibri"/>
      <w:sz w:val="24"/>
    </w:rPr>
  </w:style>
  <w:style w:type="paragraph" w:customStyle="1" w:styleId="19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5">
    <w:name w:val="alt-edited1"/>
    <w:qFormat/>
    <w:uiPriority w:val="0"/>
    <w:rPr>
      <w:color w:val="4D90F0"/>
    </w:rPr>
  </w:style>
  <w:style w:type="character" w:customStyle="1" w:styleId="196">
    <w:name w:val="body text Char1"/>
    <w:qFormat/>
    <w:uiPriority w:val="0"/>
    <w:rPr>
      <w:rFonts w:eastAsia="宋体"/>
      <w:kern w:val="2"/>
      <w:sz w:val="21"/>
      <w:lang w:val="en-US" w:eastAsia="zh-CN" w:bidi="ar-SA"/>
    </w:rPr>
  </w:style>
  <w:style w:type="character" w:customStyle="1" w:styleId="197">
    <w:name w:val="普通(网站) Char"/>
    <w:link w:val="37"/>
    <w:qFormat/>
    <w:uiPriority w:val="0"/>
    <w:rPr>
      <w:kern w:val="2"/>
      <w:sz w:val="24"/>
      <w:szCs w:val="24"/>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table" w:customStyle="1" w:styleId="20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1">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202">
    <w:name w:val="hover"/>
    <w:basedOn w:val="44"/>
    <w:qFormat/>
    <w:uiPriority w:val="0"/>
    <w:rPr>
      <w:color w:val="28BFA6"/>
    </w:rPr>
  </w:style>
  <w:style w:type="character" w:customStyle="1" w:styleId="203">
    <w:name w:val="hover1"/>
    <w:basedOn w:val="44"/>
    <w:qFormat/>
    <w:uiPriority w:val="0"/>
    <w:rPr>
      <w:color w:val="28BFA6"/>
    </w:rPr>
  </w:style>
  <w:style w:type="character" w:customStyle="1" w:styleId="204">
    <w:name w:val="hover2"/>
    <w:basedOn w:val="44"/>
    <w:qFormat/>
    <w:uiPriority w:val="0"/>
  </w:style>
  <w:style w:type="character" w:customStyle="1" w:styleId="205">
    <w:name w:val="hover3"/>
    <w:basedOn w:val="44"/>
    <w:qFormat/>
    <w:uiPriority w:val="0"/>
    <w:rPr>
      <w:color w:val="28BFA6"/>
      <w:shd w:val="clear" w:color="auto" w:fill="EAF9F6"/>
    </w:rPr>
  </w:style>
  <w:style w:type="character" w:customStyle="1" w:styleId="206">
    <w:name w:val="mini-outputtext1"/>
    <w:basedOn w:val="44"/>
    <w:qFormat/>
    <w:uiPriority w:val="0"/>
  </w:style>
  <w:style w:type="character" w:customStyle="1" w:styleId="207">
    <w:name w:val="hover4"/>
    <w:basedOn w:val="44"/>
    <w:qFormat/>
    <w:uiPriority w:val="0"/>
    <w:rPr>
      <w:color w:val="2590EB"/>
      <w:shd w:val="clear" w:color="auto" w:fill="E9F4FD"/>
    </w:rPr>
  </w:style>
  <w:style w:type="character" w:customStyle="1" w:styleId="208">
    <w:name w:val="font81"/>
    <w:qFormat/>
    <w:uiPriority w:val="0"/>
    <w:rPr>
      <w:rFonts w:hint="eastAsia" w:ascii="等线" w:hAnsi="等线" w:eastAsia="等线" w:cs="等线"/>
      <w:color w:val="FF0000"/>
      <w:sz w:val="22"/>
      <w:szCs w:val="22"/>
      <w:u w:val="none"/>
      <w:lang w:eastAsia="en-US"/>
    </w:rPr>
  </w:style>
  <w:style w:type="character" w:customStyle="1" w:styleId="209">
    <w:name w:val="font31"/>
    <w:basedOn w:val="44"/>
    <w:qFormat/>
    <w:uiPriority w:val="0"/>
    <w:rPr>
      <w:rFonts w:ascii="仿宋_GB2312" w:hAnsi="仿宋_GB2312" w:eastAsia="仿宋_GB2312" w:cs="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128</Pages>
  <Words>24933</Words>
  <Characters>27141</Characters>
  <Lines>56</Lines>
  <Paragraphs>112</Paragraphs>
  <TotalTime>0</TotalTime>
  <ScaleCrop>false</ScaleCrop>
  <LinksUpToDate>false</LinksUpToDate>
  <CharactersWithSpaces>27298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2021-04-20T16:29:00Z</dcterms:created>
  <dc:creator>thsware</dc:creator>
  <cp:lastModifiedBy>lxq</cp:lastModifiedBy>
  <cp:lastPrinted>2026-10-08T11:59:00Z</cp:lastPrinted>
  <dcterms:modified xsi:type="dcterms:W3CDTF">2026-10-23T05:02:45Z</dcterms:modified>
  <dc:title>招  标　文　件</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B16B846998D8426EBCCDD9296355C382_13</vt:lpwstr>
  </property>
  <property fmtid="{D5CDD505-2E9C-101B-9397-08002B2CF9AE}" pid="3" name="KSOProductBuildVer">
    <vt:lpwstr>2052-12.1.0.29161</vt:lpwstr>
  </property>
  <property fmtid="{D5CDD505-2E9C-101B-9397-08002B2CF9AE}" pid="4" name="KSOTemplateDocerSaveRecord">
    <vt:lpwstr>eyJoZGlkIjoiMzEwNTM5NzYwMDRjMzkwZTVkZjY2ODkwMGIxNGU0OTUiLCJ1c2VySWQiOiIxODk4MjY3NTAifQ==</vt:lpwstr>
  </property>
</Properties>
</file>