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9.0.0 -->
  <w:body>
    <w:p w:rsidR="008C0A47">
      <w:pPr>
        <w:jc w:val="right"/>
        <w:rPr>
          <w:rFonts w:asciiTheme="majorEastAsia" w:eastAsiaTheme="majorEastAsia" w:hAnsiTheme="majorEastAsia" w:cstheme="majorEastAsia"/>
          <w:b/>
          <w:sz w:val="32"/>
          <w:szCs w:val="32"/>
        </w:rPr>
      </w:pPr>
      <w:r>
        <w:rPr>
          <w:rFonts w:asciiTheme="majorEastAsia" w:eastAsiaTheme="majorEastAsia" w:hAnsiTheme="majorEastAsia" w:cstheme="majorEastAsia" w:hint="eastAsia"/>
          <w:b/>
          <w:sz w:val="32"/>
          <w:szCs w:val="32"/>
        </w:rPr>
        <w:t>中国·深圳</w:t>
      </w:r>
    </w:p>
    <w:p w:rsidR="008C0A47">
      <w:pPr>
        <w:spacing w:line="1000" w:lineRule="exact"/>
        <w:rPr>
          <w:rFonts w:asciiTheme="majorEastAsia" w:eastAsiaTheme="majorEastAsia" w:hAnsiTheme="majorEastAsia" w:cstheme="majorEastAsia"/>
          <w:b/>
          <w:sz w:val="52"/>
          <w:szCs w:val="52"/>
        </w:rPr>
      </w:pPr>
    </w:p>
    <w:p w:rsidR="008C0A47">
      <w:pPr>
        <w:spacing w:line="1000" w:lineRule="exact"/>
        <w:jc w:val="center"/>
        <w:outlineLvl w:val="0"/>
        <w:rPr>
          <w:rFonts w:ascii="微软雅黑" w:eastAsia="微软雅黑" w:hAnsi="微软雅黑" w:cs="微软雅黑"/>
          <w:b/>
          <w:sz w:val="80"/>
          <w:szCs w:val="80"/>
        </w:rPr>
      </w:pPr>
      <w:r>
        <w:rPr>
          <w:rFonts w:ascii="微软雅黑" w:eastAsia="微软雅黑" w:hAnsi="微软雅黑" w:cs="微软雅黑" w:hint="eastAsia"/>
          <w:b/>
          <w:sz w:val="80"/>
          <w:szCs w:val="80"/>
        </w:rPr>
        <w:t>国内公开招标文件</w:t>
      </w:r>
    </w:p>
    <w:p w:rsidR="008C0A47">
      <w:pPr>
        <w:spacing w:line="1000" w:lineRule="exact"/>
        <w:jc w:val="center"/>
        <w:rPr>
          <w:rFonts w:ascii="楷体" w:eastAsia="楷体" w:hAnsi="楷体" w:cs="楷体"/>
          <w:b/>
          <w:sz w:val="52"/>
          <w:szCs w:val="52"/>
        </w:rPr>
      </w:pPr>
      <w:r>
        <w:rPr>
          <w:rFonts w:ascii="楷体" w:eastAsia="楷体" w:hAnsi="楷体" w:cs="楷体" w:hint="eastAsia"/>
          <w:b/>
          <w:sz w:val="52"/>
          <w:szCs w:val="52"/>
        </w:rPr>
        <w:t>（政府采购</w:t>
      </w:r>
      <w:r>
        <w:rPr>
          <w:rFonts w:ascii="楷体" w:eastAsia="楷体" w:hAnsi="楷体" w:cs="楷体" w:hint="eastAsia"/>
          <w:b/>
          <w:sz w:val="52"/>
          <w:szCs w:val="52"/>
        </w:rPr>
        <w:t>-</w:t>
      </w:r>
      <w:r>
        <w:rPr>
          <w:rFonts w:ascii="楷体" w:eastAsia="楷体" w:hAnsi="楷体" w:cs="楷体" w:hint="eastAsia"/>
          <w:b/>
          <w:sz w:val="52"/>
          <w:szCs w:val="52"/>
        </w:rPr>
        <w:t>服务类）</w:t>
      </w:r>
    </w:p>
    <w:p w:rsidR="008C0A47">
      <w:pPr>
        <w:spacing w:line="1000" w:lineRule="exact"/>
        <w:jc w:val="center"/>
        <w:rPr>
          <w:rFonts w:asciiTheme="majorEastAsia" w:eastAsiaTheme="majorEastAsia" w:hAnsiTheme="majorEastAsia" w:cstheme="majorEastAsia"/>
          <w:b/>
          <w:sz w:val="52"/>
          <w:szCs w:val="52"/>
        </w:rPr>
      </w:pPr>
    </w:p>
    <w:p w:rsidR="008C0A47">
      <w:pPr>
        <w:spacing w:line="1000" w:lineRule="exact"/>
        <w:jc w:val="center"/>
        <w:rPr>
          <w:rFonts w:asciiTheme="majorEastAsia" w:eastAsiaTheme="majorEastAsia" w:hAnsiTheme="majorEastAsia" w:cstheme="majorEastAsia"/>
          <w:b/>
          <w:sz w:val="52"/>
          <w:szCs w:val="52"/>
        </w:rPr>
      </w:pPr>
    </w:p>
    <w:tbl>
      <w:tblPr>
        <w:tblStyle w:val="TableNormal"/>
        <w:tblW w:w="6810" w:type="dxa"/>
        <w:jc w:val="center"/>
        <w:tblLayout w:type="fixed"/>
        <w:tblLook w:val="04A0"/>
      </w:tblPr>
      <w:tblGrid>
        <w:gridCol w:w="1707"/>
        <w:gridCol w:w="5103"/>
      </w:tblGrid>
      <w:tr>
        <w:tblPrEx>
          <w:tblW w:w="6810" w:type="dxa"/>
          <w:jc w:val="center"/>
          <w:tblLayout w:type="fixed"/>
          <w:tblLook w:val="04A0"/>
        </w:tblPrEx>
        <w:trPr>
          <w:trHeight w:val="850"/>
          <w:jc w:val="center"/>
        </w:trPr>
        <w:tc>
          <w:tcPr>
            <w:tcW w:w="1707" w:type="dxa"/>
          </w:tcPr>
          <w:p w:rsidR="008C0A47">
            <w:pPr>
              <w:spacing w:line="0" w:lineRule="atLeast"/>
              <w:rPr>
                <w:rFonts w:ascii="宋体" w:hAnsi="宋体"/>
                <w:b/>
                <w:sz w:val="32"/>
                <w:szCs w:val="32"/>
              </w:rPr>
            </w:pPr>
            <w:r>
              <w:rPr>
                <w:rFonts w:ascii="宋体" w:hAnsi="宋体" w:hint="eastAsia"/>
                <w:b/>
                <w:sz w:val="32"/>
                <w:szCs w:val="32"/>
              </w:rPr>
              <w:t>项目名称：</w:t>
            </w:r>
          </w:p>
        </w:tc>
        <w:tc>
          <w:tcPr>
            <w:tcW w:w="5103" w:type="dxa"/>
          </w:tcPr>
          <w:p w:rsidR="008C0A47">
            <w:pPr>
              <w:spacing w:line="0" w:lineRule="atLeast"/>
              <w:rPr>
                <w:rFonts w:ascii="宋体" w:hAnsi="宋体"/>
                <w:bCs/>
                <w:sz w:val="32"/>
                <w:szCs w:val="32"/>
              </w:rPr>
            </w:pPr>
            <w:r>
              <w:rPr>
                <w:rFonts w:ascii="宋体" w:hAnsi="宋体" w:hint="eastAsia"/>
                <w:bCs/>
                <w:sz w:val="32"/>
                <w:szCs w:val="32"/>
              </w:rPr>
              <w:t>深圳市司法局</w:t>
            </w:r>
            <w:r>
              <w:rPr>
                <w:rFonts w:ascii="宋体" w:hAnsi="宋体" w:hint="eastAsia"/>
                <w:bCs/>
                <w:sz w:val="32"/>
                <w:szCs w:val="32"/>
              </w:rPr>
              <w:t>2022</w:t>
            </w:r>
            <w:r>
              <w:rPr>
                <w:rFonts w:ascii="宋体" w:hAnsi="宋体" w:hint="eastAsia"/>
                <w:bCs/>
                <w:sz w:val="32"/>
                <w:szCs w:val="32"/>
              </w:rPr>
              <w:t>年度行政复议服务</w:t>
            </w:r>
          </w:p>
        </w:tc>
      </w:tr>
      <w:tr>
        <w:tblPrEx>
          <w:tblW w:w="6810" w:type="dxa"/>
          <w:jc w:val="center"/>
          <w:tblLayout w:type="fixed"/>
          <w:tblLook w:val="04A0"/>
        </w:tblPrEx>
        <w:trPr>
          <w:trHeight w:val="850"/>
          <w:jc w:val="center"/>
        </w:trPr>
        <w:tc>
          <w:tcPr>
            <w:tcW w:w="1707" w:type="dxa"/>
          </w:tcPr>
          <w:p w:rsidR="008C0A47">
            <w:pPr>
              <w:spacing w:line="0" w:lineRule="atLeast"/>
              <w:rPr>
                <w:rFonts w:ascii="宋体" w:hAnsi="宋体"/>
                <w:b/>
                <w:sz w:val="32"/>
                <w:szCs w:val="32"/>
              </w:rPr>
            </w:pPr>
            <w:r>
              <w:rPr>
                <w:rFonts w:ascii="宋体" w:hAnsi="宋体" w:hint="eastAsia"/>
                <w:b/>
                <w:sz w:val="32"/>
                <w:szCs w:val="32"/>
              </w:rPr>
              <w:t>项目编号：</w:t>
            </w:r>
          </w:p>
        </w:tc>
        <w:tc>
          <w:tcPr>
            <w:tcW w:w="5103" w:type="dxa"/>
          </w:tcPr>
          <w:p w:rsidR="008C0A47">
            <w:pPr>
              <w:spacing w:line="0" w:lineRule="atLeast"/>
              <w:rPr>
                <w:rFonts w:ascii="宋体" w:hAnsi="宋体"/>
                <w:sz w:val="32"/>
                <w:szCs w:val="32"/>
              </w:rPr>
            </w:pPr>
            <w:r>
              <w:rPr>
                <w:rFonts w:ascii="宋体" w:hAnsi="宋体" w:hint="eastAsia"/>
                <w:sz w:val="32"/>
                <w:szCs w:val="32"/>
              </w:rPr>
              <w:t>SZDL2022001410</w:t>
            </w:r>
          </w:p>
        </w:tc>
      </w:tr>
      <w:tr>
        <w:tblPrEx>
          <w:tblW w:w="6810" w:type="dxa"/>
          <w:jc w:val="center"/>
          <w:tblLayout w:type="fixed"/>
          <w:tblLook w:val="04A0"/>
        </w:tblPrEx>
        <w:trPr>
          <w:trHeight w:val="850"/>
          <w:jc w:val="center"/>
        </w:trPr>
        <w:tc>
          <w:tcPr>
            <w:tcW w:w="1707" w:type="dxa"/>
          </w:tcPr>
          <w:p w:rsidR="008C0A47">
            <w:pPr>
              <w:spacing w:line="0" w:lineRule="atLeast"/>
              <w:rPr>
                <w:rFonts w:ascii="宋体" w:hAnsi="宋体"/>
                <w:b/>
                <w:sz w:val="32"/>
                <w:szCs w:val="32"/>
              </w:rPr>
            </w:pPr>
            <w:r>
              <w:rPr>
                <w:rFonts w:ascii="宋体" w:hAnsi="宋体" w:hint="eastAsia"/>
                <w:b/>
                <w:sz w:val="32"/>
                <w:szCs w:val="32"/>
              </w:rPr>
              <w:t>采购单位：</w:t>
            </w:r>
          </w:p>
        </w:tc>
        <w:tc>
          <w:tcPr>
            <w:tcW w:w="5103" w:type="dxa"/>
          </w:tcPr>
          <w:p w:rsidR="008C0A47">
            <w:pPr>
              <w:spacing w:line="0" w:lineRule="atLeast"/>
              <w:rPr>
                <w:rFonts w:ascii="宋体" w:hAnsi="宋体"/>
                <w:sz w:val="32"/>
                <w:szCs w:val="32"/>
              </w:rPr>
            </w:pPr>
            <w:r>
              <w:rPr>
                <w:rFonts w:ascii="宋体" w:hAnsi="宋体" w:hint="eastAsia"/>
                <w:bCs/>
                <w:sz w:val="32"/>
                <w:szCs w:val="32"/>
              </w:rPr>
              <w:t>深圳市</w:t>
            </w:r>
            <w:r>
              <w:rPr>
                <w:rFonts w:ascii="宋体" w:hAnsi="宋体"/>
                <w:bCs/>
                <w:sz w:val="32"/>
                <w:szCs w:val="32"/>
              </w:rPr>
              <w:t>司法局</w:t>
            </w:r>
          </w:p>
        </w:tc>
      </w:tr>
    </w:tbl>
    <w:p w:rsidR="008C0A47">
      <w:pPr>
        <w:spacing w:line="1000" w:lineRule="exact"/>
        <w:jc w:val="center"/>
        <w:rPr>
          <w:rFonts w:asciiTheme="majorEastAsia" w:eastAsiaTheme="majorEastAsia" w:hAnsiTheme="majorEastAsia" w:cstheme="majorEastAsia"/>
          <w:b/>
          <w:sz w:val="52"/>
          <w:szCs w:val="52"/>
        </w:rPr>
      </w:pPr>
    </w:p>
    <w:p w:rsidR="008C0A47">
      <w:pPr>
        <w:spacing w:line="1000" w:lineRule="exact"/>
        <w:jc w:val="center"/>
        <w:rPr>
          <w:rFonts w:asciiTheme="majorEastAsia" w:eastAsiaTheme="majorEastAsia" w:hAnsiTheme="majorEastAsia" w:cstheme="majorEastAsia"/>
          <w:b/>
          <w:sz w:val="52"/>
          <w:szCs w:val="52"/>
        </w:rPr>
      </w:pPr>
    </w:p>
    <w:p w:rsidR="008C0A47">
      <w:pPr>
        <w:spacing w:line="1000" w:lineRule="exact"/>
        <w:jc w:val="center"/>
        <w:rPr>
          <w:rFonts w:asciiTheme="majorEastAsia" w:eastAsiaTheme="majorEastAsia" w:hAnsiTheme="majorEastAsia" w:cstheme="majorEastAsia"/>
          <w:b/>
          <w:sz w:val="52"/>
          <w:szCs w:val="52"/>
        </w:rPr>
      </w:pPr>
    </w:p>
    <w:p w:rsidR="008C0A47">
      <w:pPr>
        <w:jc w:val="center"/>
        <w:rPr>
          <w:rFonts w:asciiTheme="majorEastAsia" w:eastAsiaTheme="majorEastAsia" w:hAnsiTheme="majorEastAsia" w:cstheme="majorEastAsia"/>
          <w:b/>
          <w:sz w:val="52"/>
          <w:szCs w:val="52"/>
        </w:rPr>
      </w:pPr>
      <w:r>
        <w:rPr>
          <w:rFonts w:asciiTheme="majorEastAsia" w:eastAsiaTheme="majorEastAsia" w:hAnsiTheme="majorEastAsia" w:cstheme="majorEastAsia" w:hint="eastAsia"/>
          <w:noProof/>
          <w:spacing w:val="16"/>
        </w:rPr>
        <w:drawing>
          <wp:inline distT="0" distB="0" distL="0" distR="0">
            <wp:extent cx="781685" cy="725170"/>
            <wp:effectExtent l="0" t="0" r="18415" b="17780"/>
            <wp:docPr id="5" name="图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logo"/>
                    <pic:cNvPicPr>
                      <a:picLocks noChangeAspect="1" noChangeArrowheads="1"/>
                    </pic:cNvPicPr>
                  </pic:nvPicPr>
                  <pic:blipFill>
                    <a:blip xmlns:r="http://schemas.openxmlformats.org/officeDocument/2006/relationships" r:embed="rId4" cstate="print"/>
                    <a:stretch>
                      <a:fillRect/>
                    </a:stretch>
                  </pic:blipFill>
                  <pic:spPr>
                    <a:xfrm>
                      <a:off x="0" y="0"/>
                      <a:ext cx="781685" cy="725170"/>
                    </a:xfrm>
                    <a:prstGeom prst="rect">
                      <a:avLst/>
                    </a:prstGeom>
                    <a:noFill/>
                    <a:ln w="9525">
                      <a:noFill/>
                      <a:miter lim="800000"/>
                      <a:headEnd/>
                      <a:tailEnd/>
                    </a:ln>
                  </pic:spPr>
                </pic:pic>
              </a:graphicData>
            </a:graphic>
          </wp:inline>
        </w:drawing>
      </w:r>
    </w:p>
    <w:p w:rsidR="008C0A47">
      <w:pPr>
        <w:spacing w:line="600" w:lineRule="exact"/>
        <w:jc w:val="center"/>
        <w:rPr>
          <w:rFonts w:asciiTheme="majorEastAsia" w:eastAsiaTheme="majorEastAsia" w:hAnsiTheme="majorEastAsia" w:cstheme="majorEastAsia"/>
          <w:sz w:val="36"/>
          <w:szCs w:val="36"/>
        </w:rPr>
      </w:pPr>
      <w:r>
        <w:rPr>
          <w:rFonts w:asciiTheme="majorEastAsia" w:eastAsiaTheme="majorEastAsia" w:hAnsiTheme="majorEastAsia" w:cstheme="majorEastAsia" w:hint="eastAsia"/>
          <w:sz w:val="36"/>
          <w:szCs w:val="36"/>
        </w:rPr>
        <w:t>深圳市国际招标有限公司</w:t>
      </w:r>
    </w:p>
    <w:p w:rsidR="008C0A47">
      <w:pPr>
        <w:spacing w:line="600" w:lineRule="exact"/>
        <w:jc w:val="center"/>
        <w:rPr>
          <w:rFonts w:ascii="微软雅黑" w:eastAsia="微软雅黑" w:hAnsi="微软雅黑" w:cs="微软雅黑"/>
          <w:b/>
          <w:sz w:val="36"/>
          <w:szCs w:val="36"/>
        </w:rPr>
      </w:pPr>
      <w:r>
        <w:rPr>
          <w:rFonts w:asciiTheme="majorEastAsia" w:eastAsiaTheme="majorEastAsia" w:hAnsiTheme="majorEastAsia" w:cstheme="majorEastAsia" w:hint="eastAsia"/>
          <w:sz w:val="36"/>
          <w:szCs w:val="36"/>
        </w:rPr>
        <w:t>二〇二二年六月</w:t>
      </w:r>
    </w:p>
    <w:p w:rsidR="008C0A47">
      <w:pPr>
        <w:pStyle w:val="Date"/>
        <w:spacing w:line="440" w:lineRule="exact"/>
        <w:jc w:val="center"/>
        <w:outlineLvl w:val="0"/>
        <w:rPr>
          <w:rFonts w:ascii="微软雅黑" w:eastAsia="微软雅黑" w:hAnsi="微软雅黑" w:cs="微软雅黑"/>
          <w:b/>
          <w:color w:val="FF0000"/>
          <w:szCs w:val="32"/>
        </w:rPr>
      </w:pPr>
      <w:bookmarkStart w:id="0" w:name="_Toc24946"/>
      <w:r>
        <w:rPr>
          <w:rFonts w:ascii="微软雅黑" w:eastAsia="微软雅黑" w:hAnsi="微软雅黑" w:cs="微软雅黑" w:hint="eastAsia"/>
          <w:b/>
          <w:color w:val="FF0000"/>
          <w:szCs w:val="32"/>
        </w:rPr>
        <w:t>特别警示条款</w:t>
      </w:r>
      <w:bookmarkEnd w:id="0"/>
    </w:p>
    <w:p w:rsidR="008C0A47">
      <w:pPr>
        <w:spacing w:line="390" w:lineRule="exact"/>
        <w:ind w:firstLine="480" w:firstLineChars="200"/>
        <w:rPr>
          <w:rFonts w:asciiTheme="minorEastAsia" w:eastAsiaTheme="minorEastAsia" w:hAnsiTheme="minorEastAsia"/>
          <w:color w:val="000000" w:themeColor="text1"/>
          <w:szCs w:val="21"/>
        </w:rPr>
      </w:pPr>
    </w:p>
    <w:p w:rsidR="008C0A47">
      <w:pPr>
        <w:spacing w:line="390" w:lineRule="exact"/>
        <w:ind w:firstLine="480" w:firstLineChars="20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一、《深圳经济特区政府采购条例》第五十七条</w:t>
      </w:r>
      <w:r>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供应商在政府采购中，有下列行为之一的，一至三年内禁止其参与本市政府采购，并由主管部门记入供应商诚信档案，处以采购金额千分之十以上千</w:t>
      </w:r>
      <w:r>
        <w:rPr>
          <w:rFonts w:asciiTheme="minorEastAsia" w:eastAsiaTheme="minorEastAsia" w:hAnsiTheme="minorEastAsia" w:hint="eastAsia"/>
          <w:color w:val="000000" w:themeColor="text1"/>
          <w:szCs w:val="21"/>
        </w:rPr>
        <w:t>分之二十</w:t>
      </w:r>
      <w:r>
        <w:rPr>
          <w:rFonts w:asciiTheme="minorEastAsia" w:eastAsiaTheme="minorEastAsia" w:hAnsiTheme="minorEastAsia" w:hint="eastAsia"/>
          <w:color w:val="000000" w:themeColor="text1"/>
          <w:szCs w:val="21"/>
        </w:rPr>
        <w:t>以下的罚款；情节严重的，取消其参与本市政府采购资格，处以采购金额千分之二十以上千</w:t>
      </w:r>
      <w:r>
        <w:rPr>
          <w:rFonts w:asciiTheme="minorEastAsia" w:eastAsiaTheme="minorEastAsia" w:hAnsiTheme="minorEastAsia" w:hint="eastAsia"/>
          <w:color w:val="000000" w:themeColor="text1"/>
          <w:szCs w:val="21"/>
        </w:rPr>
        <w:t>分之三十</w:t>
      </w:r>
      <w:r>
        <w:rPr>
          <w:rFonts w:asciiTheme="minorEastAsia" w:eastAsiaTheme="minorEastAsia" w:hAnsiTheme="minorEastAsia" w:hint="eastAsia"/>
          <w:color w:val="000000" w:themeColor="text1"/>
          <w:szCs w:val="21"/>
        </w:rPr>
        <w:t>以下的罚款，并由市场监管部门依法吊销其营业执照；给他人造成损失的，依法承担赔偿责任；涉嫌犯罪的，依法移送司法机关处理：</w:t>
      </w:r>
    </w:p>
    <w:p w:rsidR="008C0A47">
      <w:pPr>
        <w:spacing w:line="390" w:lineRule="exact"/>
        <w:ind w:firstLine="480" w:firstLineChars="20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（一）在采购活动中应当回避而未回避的；</w:t>
      </w:r>
    </w:p>
    <w:p w:rsidR="008C0A47">
      <w:pPr>
        <w:spacing w:line="390" w:lineRule="exact"/>
        <w:ind w:firstLine="480" w:firstLineChars="20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（二）未按本条例规定签订、履行采购合同，造成严重后果的；</w:t>
      </w:r>
    </w:p>
    <w:p w:rsidR="008C0A47">
      <w:pPr>
        <w:spacing w:line="390" w:lineRule="exact"/>
        <w:ind w:firstLine="480" w:firstLineChars="20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（三）隐瞒真实情况，提供虚假资料的；</w:t>
      </w:r>
    </w:p>
    <w:p w:rsidR="008C0A47">
      <w:pPr>
        <w:spacing w:line="390" w:lineRule="exact"/>
        <w:ind w:firstLine="480" w:firstLineChars="20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（四）以非法手段排斥其他供应商参与竞争的；</w:t>
      </w:r>
    </w:p>
    <w:p w:rsidR="008C0A47">
      <w:pPr>
        <w:spacing w:line="390" w:lineRule="exact"/>
        <w:ind w:firstLine="480" w:firstLineChars="20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（五）与其他采购参加人串通投标的；</w:t>
      </w:r>
    </w:p>
    <w:p w:rsidR="008C0A47">
      <w:pPr>
        <w:spacing w:line="390" w:lineRule="exact"/>
        <w:ind w:firstLine="480" w:firstLineChars="20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（六）恶意投诉的；</w:t>
      </w:r>
    </w:p>
    <w:p w:rsidR="008C0A47">
      <w:pPr>
        <w:spacing w:line="390" w:lineRule="exact"/>
        <w:ind w:firstLine="480" w:firstLineChars="20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（七）向采购项目相关人行贿或者提供其他不当利益的；</w:t>
      </w:r>
    </w:p>
    <w:p w:rsidR="008C0A47">
      <w:pPr>
        <w:spacing w:line="390" w:lineRule="exact"/>
        <w:ind w:firstLine="480" w:firstLineChars="20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（八）阻碍、抗拒主管部门监督检查的；</w:t>
      </w:r>
    </w:p>
    <w:p w:rsidR="008C0A47">
      <w:pPr>
        <w:spacing w:line="390" w:lineRule="exact"/>
        <w:ind w:firstLine="480" w:firstLineChars="20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（九）其他违反本条例规定的行为。</w:t>
      </w:r>
    </w:p>
    <w:p w:rsidR="008C0A47">
      <w:pPr>
        <w:spacing w:line="390" w:lineRule="exact"/>
        <w:ind w:firstLine="480" w:firstLineChars="20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w:t>
      </w:r>
      <w:r>
        <w:rPr>
          <w:rFonts w:asciiTheme="minorEastAsia" w:eastAsiaTheme="minorEastAsia" w:hAnsiTheme="minorEastAsia"/>
          <w:color w:val="000000" w:themeColor="text1"/>
          <w:szCs w:val="21"/>
        </w:rPr>
        <w:t>、</w:t>
      </w:r>
      <w:r>
        <w:rPr>
          <w:rFonts w:asciiTheme="minorEastAsia" w:eastAsiaTheme="minorEastAsia" w:hAnsiTheme="minorEastAsia" w:hint="eastAsia"/>
          <w:color w:val="000000" w:themeColor="text1"/>
          <w:szCs w:val="21"/>
        </w:rPr>
        <w:t>《深圳经济特区政府采购条例实施细则》第七十六条</w:t>
      </w:r>
      <w:r>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供应商有下列行为之一的，由主管部门记入供应商诚信档案并</w:t>
      </w:r>
      <w:r>
        <w:rPr>
          <w:rFonts w:asciiTheme="minorEastAsia" w:eastAsiaTheme="minorEastAsia" w:hAnsiTheme="minorEastAsia" w:hint="eastAsia"/>
          <w:color w:val="000000" w:themeColor="text1"/>
          <w:szCs w:val="21"/>
        </w:rPr>
        <w:t>作出</w:t>
      </w:r>
      <w:r>
        <w:rPr>
          <w:rFonts w:asciiTheme="minorEastAsia" w:eastAsiaTheme="minorEastAsia" w:hAnsiTheme="minorEastAsia" w:hint="eastAsia"/>
          <w:color w:val="000000" w:themeColor="text1"/>
          <w:szCs w:val="21"/>
        </w:rPr>
        <w:t>以下处罚：</w:t>
      </w:r>
    </w:p>
    <w:p w:rsidR="008C0A47">
      <w:pPr>
        <w:spacing w:line="390" w:lineRule="exact"/>
        <w:ind w:firstLine="480" w:firstLineChars="20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（一）违法行为属于采购条例第五十七条第（一）、（二）、（三）、（四）、（六）、（八）、（九）项情形，涉及的采购金额累计在五十万</w:t>
      </w:r>
      <w:r>
        <w:rPr>
          <w:rFonts w:asciiTheme="minorEastAsia" w:eastAsiaTheme="minorEastAsia" w:hAnsiTheme="minorEastAsia" w:hint="eastAsia"/>
          <w:color w:val="000000" w:themeColor="text1"/>
          <w:szCs w:val="21"/>
        </w:rPr>
        <w:t>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元以上五百万元以下的，处以采购金额千分之二十的罚款，三年内禁止其参与本市政府采购。</w:t>
      </w:r>
    </w:p>
    <w:p w:rsidR="008C0A47">
      <w:pPr>
        <w:spacing w:line="390" w:lineRule="exact"/>
        <w:ind w:firstLine="480" w:firstLineChars="20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违法行为属于采购条例第五十七条第（五）、（七）项情形，涉及的采购金额累计在一百万元以下，处以采购金额千分之十五的罚款，两年内禁止其参与本市政府采购；涉及的采购金额累计在一百万元以上两百万元以下的，处以采购金额千分之二十的</w:t>
      </w:r>
      <w:r>
        <w:rPr>
          <w:rFonts w:asciiTheme="minorEastAsia" w:eastAsiaTheme="minorEastAsia" w:hAnsiTheme="minorEastAsia" w:hint="eastAsia"/>
          <w:color w:val="000000" w:themeColor="text1"/>
          <w:szCs w:val="21"/>
        </w:rPr>
        <w:t>罚款，三年内禁止其参与本市政府采购。</w:t>
      </w:r>
    </w:p>
    <w:p w:rsidR="008C0A47">
      <w:pPr>
        <w:spacing w:line="390" w:lineRule="exact"/>
        <w:ind w:firstLine="480" w:firstLineChars="20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w:t>
      </w:r>
      <w:r>
        <w:rPr>
          <w:rFonts w:asciiTheme="minorEastAsia" w:eastAsiaTheme="minorEastAsia" w:hAnsiTheme="minorEastAsia"/>
          <w:color w:val="000000" w:themeColor="text1"/>
          <w:szCs w:val="21"/>
        </w:rPr>
        <w:t>、</w:t>
      </w:r>
      <w:r>
        <w:rPr>
          <w:rFonts w:asciiTheme="minorEastAsia" w:eastAsiaTheme="minorEastAsia" w:hAnsiTheme="minorEastAsia" w:hint="eastAsia"/>
          <w:color w:val="000000" w:themeColor="text1"/>
          <w:szCs w:val="21"/>
        </w:rPr>
        <w:t>《深圳经济特区政府采购条例实施细则》第七十七条</w:t>
      </w:r>
      <w:r>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供应商有下列行为之一的，属于情节严重，由市场监管部门依法吊销其营业执照，主管部门取消其参与本市政府采购的资格，并</w:t>
      </w:r>
      <w:r>
        <w:rPr>
          <w:rFonts w:asciiTheme="minorEastAsia" w:eastAsiaTheme="minorEastAsia" w:hAnsiTheme="minorEastAsia" w:hint="eastAsia"/>
          <w:color w:val="000000" w:themeColor="text1"/>
          <w:szCs w:val="21"/>
        </w:rPr>
        <w:t>作出</w:t>
      </w:r>
      <w:r>
        <w:rPr>
          <w:rFonts w:asciiTheme="minorEastAsia" w:eastAsiaTheme="minorEastAsia" w:hAnsiTheme="minorEastAsia" w:hint="eastAsia"/>
          <w:color w:val="000000" w:themeColor="text1"/>
          <w:szCs w:val="21"/>
        </w:rPr>
        <w:t>以下处罚：</w:t>
      </w:r>
    </w:p>
    <w:p w:rsidR="008C0A47">
      <w:pPr>
        <w:spacing w:line="390" w:lineRule="exact"/>
        <w:ind w:firstLine="480" w:firstLineChars="20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违法行为属于采购条例第五十七条第（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w:t>
      </w:r>
      <w:r>
        <w:rPr>
          <w:rFonts w:asciiTheme="minorEastAsia" w:eastAsiaTheme="minorEastAsia" w:hAnsiTheme="minorEastAsia" w:hint="eastAsia"/>
          <w:color w:val="000000" w:themeColor="text1"/>
          <w:szCs w:val="21"/>
        </w:rPr>
        <w:t>，处以采购金额千分之三十的</w:t>
      </w:r>
      <w:r>
        <w:rPr>
          <w:rFonts w:asciiTheme="minorEastAsia" w:eastAsiaTheme="minorEastAsia" w:hAnsiTheme="minorEastAsia" w:hint="eastAsia"/>
          <w:color w:val="000000" w:themeColor="text1"/>
          <w:szCs w:val="21"/>
        </w:rPr>
        <w:t>罚款。</w:t>
      </w:r>
    </w:p>
    <w:p w:rsidR="008C0A47">
      <w:pPr>
        <w:spacing w:line="390" w:lineRule="exact"/>
        <w:ind w:firstLine="480" w:firstLineChars="20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rsidR="008C0A47">
      <w:pPr>
        <w:spacing w:line="390" w:lineRule="exact"/>
        <w:ind w:firstLine="480" w:firstLineChars="20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w:t>
      </w:r>
      <w:r>
        <w:rPr>
          <w:rFonts w:asciiTheme="minorEastAsia" w:eastAsiaTheme="minorEastAsia" w:hAnsiTheme="minorEastAsia"/>
          <w:color w:val="000000" w:themeColor="text1"/>
          <w:szCs w:val="21"/>
        </w:rPr>
        <w:t>、</w:t>
      </w:r>
      <w:r>
        <w:rPr>
          <w:rFonts w:asciiTheme="minorEastAsia" w:eastAsiaTheme="minorEastAsia" w:hAnsiTheme="minorEastAsia" w:hint="eastAsia"/>
          <w:color w:val="000000" w:themeColor="text1"/>
          <w:szCs w:val="21"/>
        </w:rPr>
        <w:t>《深圳经济特区政府采购条例实施细则》第七十九条</w:t>
      </w:r>
      <w:r>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供应商有下列情形之一的，属于采购条例所称的串通投标行为，按照采购条例第五十七条有关规定处理：</w:t>
      </w:r>
    </w:p>
    <w:p w:rsidR="008C0A47">
      <w:pPr>
        <w:spacing w:line="390" w:lineRule="exact"/>
        <w:ind w:firstLine="480" w:firstLineChars="20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（一）投标供应商之间相互约定给予未中标的供应商利益补偿。</w:t>
      </w:r>
    </w:p>
    <w:p w:rsidR="008C0A47">
      <w:pPr>
        <w:spacing w:line="390" w:lineRule="exact"/>
        <w:ind w:firstLine="480" w:firstLineChars="20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（二）不同投标供应商的法定代表人、主要经营负责人、项目投标授权代</w:t>
      </w:r>
      <w:r>
        <w:rPr>
          <w:rFonts w:asciiTheme="minorEastAsia" w:eastAsiaTheme="minorEastAsia" w:hAnsiTheme="minorEastAsia" w:hint="eastAsia"/>
          <w:color w:val="000000" w:themeColor="text1"/>
          <w:szCs w:val="21"/>
        </w:rPr>
        <w:t>表人、项目负责人、主要技术人员为同一人、属同一单位或者在同一单位缴纳社会保险。</w:t>
      </w:r>
    </w:p>
    <w:p w:rsidR="008C0A47">
      <w:pPr>
        <w:spacing w:line="390" w:lineRule="exact"/>
        <w:ind w:firstLine="480" w:firstLineChars="20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（三）不同投标供应商的投标文件由同一单位或者同一人编制，或者由同一人分阶段参与编制的。</w:t>
      </w:r>
    </w:p>
    <w:p w:rsidR="008C0A47">
      <w:pPr>
        <w:spacing w:line="390" w:lineRule="exact"/>
        <w:ind w:firstLine="480" w:firstLineChars="20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（四）不同投标供应商的投标文件或部分投标文件相互混装。</w:t>
      </w:r>
    </w:p>
    <w:p w:rsidR="008C0A47">
      <w:pPr>
        <w:spacing w:line="390" w:lineRule="exact"/>
        <w:ind w:firstLine="480" w:firstLineChars="20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（五）不同投标供应商的投标文件内容存在非正常一致。</w:t>
      </w:r>
    </w:p>
    <w:p w:rsidR="008C0A47">
      <w:pPr>
        <w:spacing w:line="390" w:lineRule="exact"/>
        <w:ind w:firstLine="480" w:firstLineChars="20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（六）由同一单位工作人员为两家以上（含两家）供应商进行同一项投标活动的。</w:t>
      </w:r>
    </w:p>
    <w:p w:rsidR="008C0A47">
      <w:pPr>
        <w:spacing w:line="390" w:lineRule="exact"/>
        <w:ind w:firstLine="480" w:firstLineChars="20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（七）主管部门依照法律、法规认定的其他情形。</w:t>
      </w:r>
    </w:p>
    <w:p w:rsidR="008C0A47">
      <w:pPr>
        <w:spacing w:line="390" w:lineRule="exact"/>
        <w:ind w:firstLine="480" w:firstLineChars="20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w:t>
      </w:r>
      <w:r>
        <w:rPr>
          <w:rFonts w:asciiTheme="minorEastAsia" w:eastAsiaTheme="minorEastAsia" w:hAnsiTheme="minorEastAsia"/>
          <w:color w:val="000000" w:themeColor="text1"/>
          <w:szCs w:val="21"/>
        </w:rPr>
        <w:t>、</w:t>
      </w:r>
      <w:r>
        <w:rPr>
          <w:rFonts w:asciiTheme="minorEastAsia" w:eastAsiaTheme="minorEastAsia" w:hAnsiTheme="minorEastAsia" w:hint="eastAsia"/>
          <w:color w:val="000000" w:themeColor="text1"/>
          <w:szCs w:val="21"/>
        </w:rPr>
        <w:t>《深圳经济特区政府采购条例实施细则》第八十一条</w:t>
      </w:r>
      <w:r>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供应商有下列情形之一的，属于隐瞒真实情况，提供虚假资料，按照采购条例第五十七条的有关规定处理：</w:t>
      </w:r>
    </w:p>
    <w:p w:rsidR="008C0A47">
      <w:pPr>
        <w:spacing w:line="390" w:lineRule="exact"/>
        <w:ind w:firstLine="480" w:firstLineChars="20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（一）通过转让或者租借等方式从其他单位获取资格或者资质证书投标的。</w:t>
      </w:r>
    </w:p>
    <w:p w:rsidR="008C0A47">
      <w:pPr>
        <w:spacing w:line="390" w:lineRule="exact"/>
        <w:ind w:firstLine="480" w:firstLineChars="20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（二）由其他单位或者其他单位负责人在投标供应商编制的投标文件上加盖印章或者签字的。</w:t>
      </w:r>
    </w:p>
    <w:p w:rsidR="008C0A47">
      <w:pPr>
        <w:spacing w:line="390" w:lineRule="exact"/>
        <w:ind w:firstLine="480" w:firstLineChars="20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（三）项目负责人或者主要技术人员不是本单位人员的。</w:t>
      </w:r>
    </w:p>
    <w:p w:rsidR="008C0A47">
      <w:pPr>
        <w:spacing w:line="390" w:lineRule="exact"/>
        <w:ind w:firstLine="480" w:firstLineChars="20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（四）投标保证金不是从投标供应商基本账户转出的。</w:t>
      </w:r>
    </w:p>
    <w:p w:rsidR="008C0A47">
      <w:pPr>
        <w:spacing w:line="390" w:lineRule="exact"/>
        <w:ind w:firstLine="480" w:firstLineChars="20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（五）其他隐瞒真实情况、提供虚假资料的行为。</w:t>
      </w:r>
    </w:p>
    <w:p w:rsidR="008C0A47">
      <w:pPr>
        <w:spacing w:line="390" w:lineRule="exact"/>
        <w:ind w:firstLine="480" w:firstLineChars="20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投标供应商不能提供项目负责人或者主要技术人员的劳动合同、社会保险等劳动关系证明材料的，视为存在前款第（三）项规定的情</w:t>
      </w:r>
      <w:r>
        <w:rPr>
          <w:rFonts w:asciiTheme="minorEastAsia" w:eastAsiaTheme="minorEastAsia" w:hAnsiTheme="minorEastAsia" w:hint="eastAsia"/>
          <w:color w:val="000000" w:themeColor="text1"/>
          <w:szCs w:val="21"/>
        </w:rPr>
        <w:t>形。。</w:t>
      </w:r>
    </w:p>
    <w:p w:rsidR="008C0A47">
      <w:pPr>
        <w:spacing w:line="390" w:lineRule="exact"/>
        <w:ind w:firstLine="480" w:firstLineChars="20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六、根据深</w:t>
      </w:r>
      <w:r>
        <w:rPr>
          <w:rFonts w:asciiTheme="minorEastAsia" w:eastAsiaTheme="minorEastAsia" w:hAnsiTheme="minorEastAsia" w:hint="eastAsia"/>
          <w:color w:val="000000" w:themeColor="text1"/>
          <w:szCs w:val="21"/>
        </w:rPr>
        <w:t>财购</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2021]45</w:t>
      </w:r>
      <w:r>
        <w:rPr>
          <w:rFonts w:asciiTheme="minorEastAsia" w:eastAsiaTheme="minorEastAsia" w:hAnsiTheme="minorEastAsia" w:hint="eastAsia"/>
          <w:color w:val="000000" w:themeColor="text1"/>
          <w:szCs w:val="21"/>
        </w:rPr>
        <w:t>号文规定，进一步规范投标供应商资质审查：</w:t>
      </w:r>
    </w:p>
    <w:p w:rsidR="008C0A47">
      <w:pPr>
        <w:spacing w:line="390" w:lineRule="exact"/>
        <w:ind w:firstLine="480" w:firstLineChars="20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（一）依据《中华人民共和国政府采购法实施条例》第十八条规定，单位负责人为同一人或者存在直接控股、管理关系的不同供应商，不得参加同一合同项下的政府采购活动。</w:t>
      </w:r>
    </w:p>
    <w:p w:rsidR="008C0A47">
      <w:pPr>
        <w:spacing w:line="390" w:lineRule="exact"/>
        <w:ind w:firstLine="480" w:firstLineChars="20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二）项目开评标过程中，通过查看供应商投标文件、查询供应商股权信息等方式，核查同一项目中不同投标供应商之间，是否存在单位负责人为同一人或者存在直接控股、管理关系的情况。对疑似存在上述情形的供应商，</w:t>
      </w:r>
      <w:r>
        <w:rPr>
          <w:rFonts w:asciiTheme="minorEastAsia" w:eastAsiaTheme="minorEastAsia" w:hAnsiTheme="minorEastAsia" w:hint="eastAsia"/>
          <w:color w:val="000000" w:themeColor="text1"/>
          <w:szCs w:val="21"/>
        </w:rPr>
        <w:t>有权</w:t>
      </w:r>
      <w:r>
        <w:rPr>
          <w:rFonts w:asciiTheme="minorEastAsia" w:eastAsiaTheme="minorEastAsia" w:hAnsiTheme="minorEastAsia"/>
          <w:color w:val="000000" w:themeColor="text1"/>
          <w:szCs w:val="21"/>
        </w:rPr>
        <w:t>要求其在评标现场合理的时间内提供书面说明，必要时提交相关证明材料。</w:t>
      </w:r>
    </w:p>
    <w:p w:rsidR="008C0A47">
      <w:pPr>
        <w:spacing w:line="390" w:lineRule="exact"/>
        <w:ind w:firstLine="480" w:firstLineChars="200"/>
        <w:rPr>
          <w:rFonts w:ascii="宋体" w:hAnsi="宋体"/>
          <w:color w:val="000000"/>
          <w:spacing w:val="20"/>
          <w:sz w:val="44"/>
        </w:rPr>
      </w:pPr>
      <w:r>
        <w:rPr>
          <w:rFonts w:asciiTheme="minorEastAsia" w:eastAsiaTheme="minorEastAsia" w:hAnsiTheme="minorEastAsia"/>
          <w:color w:val="000000" w:themeColor="text1"/>
          <w:szCs w:val="21"/>
        </w:rPr>
        <w:t>（三）经核实，投标供应商确实存在《中华人民共和国政府采购法实施条例》第十八条规定情形的，依法认定其投标无效，涉嫌存在串通投标等违法行为的，书面报告同级财政部门。</w:t>
      </w:r>
    </w:p>
    <w:p w:rsidR="008C0A47">
      <w:pPr>
        <w:rPr>
          <w:rFonts w:ascii="微软雅黑" w:eastAsia="微软雅黑" w:hAnsi="微软雅黑" w:cs="微软雅黑"/>
          <w:b/>
        </w:rPr>
      </w:pPr>
    </w:p>
    <w:p w:rsidR="008C0A47">
      <w:pPr>
        <w:pStyle w:val="Heading1"/>
        <w:keepNext w:val="0"/>
        <w:keepLines w:val="0"/>
        <w:rPr>
          <w:rFonts w:ascii="微软雅黑" w:eastAsia="微软雅黑" w:hAnsi="微软雅黑" w:cs="微软雅黑"/>
          <w:b/>
          <w:bCs w:val="0"/>
        </w:rPr>
      </w:pPr>
      <w:r>
        <w:rPr>
          <w:rFonts w:ascii="微软雅黑" w:eastAsia="微软雅黑" w:hAnsi="微软雅黑" w:cs="微软雅黑" w:hint="eastAsia"/>
          <w:b/>
          <w:bCs w:val="0"/>
        </w:rPr>
        <w:t>目</w:t>
      </w:r>
      <w:r>
        <w:rPr>
          <w:rFonts w:ascii="微软雅黑" w:eastAsia="微软雅黑" w:hAnsi="微软雅黑" w:cs="微软雅黑" w:hint="eastAsia"/>
          <w:b/>
          <w:bCs w:val="0"/>
        </w:rPr>
        <w:t xml:space="preserve">  </w:t>
      </w:r>
      <w:r>
        <w:rPr>
          <w:rFonts w:ascii="微软雅黑" w:eastAsia="微软雅黑" w:hAnsi="微软雅黑" w:cs="微软雅黑" w:hint="eastAsia"/>
          <w:b/>
          <w:bCs w:val="0"/>
        </w:rPr>
        <w:t>录</w:t>
      </w:r>
    </w:p>
    <w:p w:rsidR="008C0A47">
      <w:pPr>
        <w:spacing w:line="440" w:lineRule="exact"/>
        <w:rPr>
          <w:rFonts w:ascii="微软雅黑" w:eastAsia="微软雅黑" w:hAnsi="微软雅黑" w:cs="微软雅黑"/>
          <w:b/>
          <w:szCs w:val="21"/>
        </w:rPr>
      </w:pPr>
      <w:r>
        <w:rPr>
          <w:rFonts w:ascii="微软雅黑" w:eastAsia="微软雅黑" w:hAnsi="微软雅黑" w:cs="微软雅黑" w:hint="eastAsia"/>
          <w:b/>
          <w:szCs w:val="21"/>
        </w:rPr>
        <w:t>第一册</w:t>
      </w:r>
      <w:r>
        <w:rPr>
          <w:rFonts w:ascii="微软雅黑" w:eastAsia="微软雅黑" w:hAnsi="微软雅黑" w:cs="微软雅黑" w:hint="eastAsia"/>
          <w:b/>
          <w:szCs w:val="21"/>
        </w:rPr>
        <w:t xml:space="preserve">  </w:t>
      </w:r>
      <w:r>
        <w:rPr>
          <w:rFonts w:ascii="微软雅黑" w:eastAsia="微软雅黑" w:hAnsi="微软雅黑" w:cs="微软雅黑" w:hint="eastAsia"/>
          <w:b/>
          <w:szCs w:val="21"/>
        </w:rPr>
        <w:t>专用条款</w:t>
      </w:r>
    </w:p>
    <w:p w:rsidR="008C0A47">
      <w:pPr>
        <w:spacing w:line="440" w:lineRule="exact"/>
        <w:ind w:firstLine="960" w:firstLineChars="4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关键信息</w:t>
      </w:r>
    </w:p>
    <w:p w:rsidR="008C0A47">
      <w:pPr>
        <w:spacing w:line="440" w:lineRule="exact"/>
        <w:ind w:firstLine="960" w:firstLineChars="4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第一章</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招标公告</w:t>
      </w:r>
    </w:p>
    <w:p w:rsidR="008C0A47">
      <w:pPr>
        <w:spacing w:line="440" w:lineRule="exact"/>
        <w:ind w:firstLine="960" w:firstLineChars="4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第二章</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用户需求书</w:t>
      </w:r>
    </w:p>
    <w:p w:rsidR="008C0A47">
      <w:pPr>
        <w:spacing w:line="440" w:lineRule="exact"/>
        <w:ind w:firstLine="960" w:firstLineChars="4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第三章</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投标文件格式、附件</w:t>
      </w:r>
    </w:p>
    <w:p w:rsidR="008C0A47">
      <w:pPr>
        <w:spacing w:line="440" w:lineRule="exact"/>
        <w:ind w:firstLine="960" w:firstLineChars="4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第四章</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合同条款及格式</w:t>
      </w:r>
    </w:p>
    <w:p w:rsidR="008C0A47">
      <w:pPr>
        <w:spacing w:line="440" w:lineRule="exact"/>
        <w:ind w:firstLine="960" w:firstLineChars="4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第五章</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招标代理服务费</w:t>
      </w:r>
    </w:p>
    <w:p w:rsidR="008C0A47">
      <w:pPr>
        <w:spacing w:line="440" w:lineRule="exact"/>
        <w:rPr>
          <w:rFonts w:ascii="微软雅黑" w:eastAsia="微软雅黑" w:hAnsi="微软雅黑" w:cs="微软雅黑"/>
          <w:b/>
          <w:szCs w:val="21"/>
        </w:rPr>
      </w:pPr>
      <w:r>
        <w:rPr>
          <w:rFonts w:ascii="微软雅黑" w:eastAsia="微软雅黑" w:hAnsi="微软雅黑" w:cs="微软雅黑" w:hint="eastAsia"/>
          <w:b/>
          <w:szCs w:val="21"/>
        </w:rPr>
        <w:t>第二册</w:t>
      </w:r>
      <w:r>
        <w:rPr>
          <w:rFonts w:ascii="微软雅黑" w:eastAsia="微软雅黑" w:hAnsi="微软雅黑" w:cs="微软雅黑" w:hint="eastAsia"/>
          <w:b/>
          <w:szCs w:val="21"/>
        </w:rPr>
        <w:t xml:space="preserve">  </w:t>
      </w:r>
      <w:r>
        <w:rPr>
          <w:rFonts w:ascii="微软雅黑" w:eastAsia="微软雅黑" w:hAnsi="微软雅黑" w:cs="微软雅黑" w:hint="eastAsia"/>
          <w:b/>
          <w:szCs w:val="21"/>
        </w:rPr>
        <w:t>通用条款</w:t>
      </w:r>
    </w:p>
    <w:p w:rsidR="008C0A47">
      <w:pPr>
        <w:spacing w:line="440" w:lineRule="exact"/>
        <w:ind w:firstLine="960" w:firstLineChars="4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第一章</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总则</w:t>
      </w:r>
    </w:p>
    <w:p w:rsidR="008C0A47">
      <w:pPr>
        <w:spacing w:line="440" w:lineRule="exact"/>
        <w:ind w:firstLine="960" w:firstLineChars="4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第二章</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招标文件</w:t>
      </w:r>
    </w:p>
    <w:p w:rsidR="008C0A47">
      <w:pPr>
        <w:spacing w:line="440" w:lineRule="exact"/>
        <w:ind w:firstLine="960" w:firstLineChars="4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第三章</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投标文件的编制</w:t>
      </w:r>
    </w:p>
    <w:p w:rsidR="008C0A47">
      <w:pPr>
        <w:spacing w:line="440" w:lineRule="exact"/>
        <w:ind w:firstLine="960" w:firstLineChars="4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第四章</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投标文件的递交</w:t>
      </w:r>
    </w:p>
    <w:p w:rsidR="008C0A47">
      <w:pPr>
        <w:spacing w:line="440" w:lineRule="exact"/>
        <w:ind w:firstLine="960" w:firstLineChars="4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第五章</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开标</w:t>
      </w:r>
    </w:p>
    <w:p w:rsidR="008C0A47">
      <w:pPr>
        <w:spacing w:line="440" w:lineRule="exact"/>
        <w:ind w:firstLine="960" w:firstLineChars="4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第六章</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评标要求</w:t>
      </w:r>
    </w:p>
    <w:p w:rsidR="008C0A47">
      <w:pPr>
        <w:spacing w:line="440" w:lineRule="exact"/>
        <w:ind w:firstLine="960" w:firstLineChars="4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第七章</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评标程序及评标方法</w:t>
      </w:r>
    </w:p>
    <w:p w:rsidR="008C0A47">
      <w:pPr>
        <w:spacing w:line="440" w:lineRule="exact"/>
        <w:ind w:firstLine="960" w:firstLineChars="4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第八章</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定标及公示</w:t>
      </w:r>
    </w:p>
    <w:p w:rsidR="008C0A47">
      <w:pPr>
        <w:spacing w:line="440" w:lineRule="exact"/>
        <w:ind w:firstLine="960" w:firstLineChars="4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第九章</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公开招标失败的后续处理</w:t>
      </w:r>
    </w:p>
    <w:p w:rsidR="008C0A47">
      <w:pPr>
        <w:spacing w:line="440" w:lineRule="exact"/>
        <w:ind w:firstLine="960" w:firstLineChars="4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第十章</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合同的授予与备案</w:t>
      </w:r>
    </w:p>
    <w:p w:rsidR="008C0A47">
      <w:pPr>
        <w:spacing w:line="440" w:lineRule="exact"/>
        <w:ind w:firstLine="960" w:firstLineChars="4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第十一章</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质疑处理</w:t>
      </w:r>
    </w:p>
    <w:p w:rsidR="008C0A47">
      <w:pPr>
        <w:spacing w:line="440" w:lineRule="exact"/>
        <w:rPr>
          <w:rFonts w:asciiTheme="majorEastAsia" w:eastAsiaTheme="majorEastAsia" w:hAnsiTheme="majorEastAsia" w:cstheme="majorEastAsia"/>
          <w:szCs w:val="21"/>
        </w:rPr>
      </w:pPr>
    </w:p>
    <w:p w:rsidR="008C0A47">
      <w:pPr>
        <w:spacing w:line="440" w:lineRule="exact"/>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备注：</w:t>
      </w:r>
    </w:p>
    <w:p w:rsidR="008C0A47">
      <w:pPr>
        <w:spacing w:line="440" w:lineRule="exact"/>
        <w:ind w:firstLine="480" w:firstLineChars="200"/>
        <w:rPr>
          <w:rFonts w:asciiTheme="majorEastAsia" w:eastAsiaTheme="majorEastAsia" w:hAnsiTheme="majorEastAsia" w:cstheme="majorEastAsia"/>
          <w:b/>
          <w:szCs w:val="21"/>
        </w:rPr>
      </w:pPr>
      <w:r>
        <w:rPr>
          <w:rFonts w:asciiTheme="majorEastAsia" w:eastAsiaTheme="majorEastAsia" w:hAnsiTheme="majorEastAsia" w:cstheme="majorEastAsia" w:hint="eastAsia"/>
          <w:szCs w:val="21"/>
        </w:rPr>
        <w:t>1</w:t>
      </w:r>
      <w:r>
        <w:rPr>
          <w:rFonts w:asciiTheme="majorEastAsia" w:eastAsiaTheme="majorEastAsia" w:hAnsiTheme="majorEastAsia" w:cstheme="majorEastAsia" w:hint="eastAsia"/>
          <w:szCs w:val="21"/>
        </w:rPr>
        <w:t>、本招标文件分为第一册“专用条款”和第二册“通用条款”；</w:t>
      </w:r>
    </w:p>
    <w:p w:rsidR="008C0A47">
      <w:pPr>
        <w:spacing w:line="440" w:lineRule="exact"/>
        <w:ind w:firstLine="480" w:firstLineChars="200"/>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w:t>
      </w:r>
      <w:r>
        <w:rPr>
          <w:rFonts w:asciiTheme="majorEastAsia" w:eastAsiaTheme="majorEastAsia" w:hAnsiTheme="majorEastAsia" w:cstheme="majorEastAsia" w:hint="eastAsia"/>
          <w:szCs w:val="21"/>
        </w:rPr>
        <w:t>、“专用条款”是对本次采购项目的具体要求，包含招标公告、用户需求书、投标文件格式、合同条款及格式、附件等内容；</w:t>
      </w:r>
    </w:p>
    <w:p w:rsidR="008C0A47">
      <w:pPr>
        <w:spacing w:line="440" w:lineRule="exact"/>
        <w:ind w:firstLine="480" w:firstLineChars="200"/>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w:t>
      </w:r>
      <w:r>
        <w:rPr>
          <w:rFonts w:asciiTheme="majorEastAsia" w:eastAsiaTheme="majorEastAsia" w:hAnsiTheme="majorEastAsia" w:cstheme="majorEastAsia" w:hint="eastAsia"/>
          <w:szCs w:val="21"/>
        </w:rPr>
        <w:t>、“通用条款”是通用于政府采购项目的基础性条款，具有普遍性和通用性；</w:t>
      </w:r>
    </w:p>
    <w:p w:rsidR="008C0A47">
      <w:pPr>
        <w:spacing w:line="440" w:lineRule="exact"/>
        <w:ind w:firstLine="480" w:firstLineChars="200"/>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4</w:t>
      </w:r>
      <w:r>
        <w:rPr>
          <w:rFonts w:asciiTheme="majorEastAsia" w:eastAsiaTheme="majorEastAsia" w:hAnsiTheme="majorEastAsia" w:cstheme="majorEastAsia" w:hint="eastAsia"/>
          <w:szCs w:val="21"/>
        </w:rPr>
        <w:t>、当出现“专用条款”和“通用条款”表述不一致或有冲突时，以“专用条款”为准。</w:t>
      </w:r>
    </w:p>
    <w:p w:rsidR="008C0A47">
      <w:pPr>
        <w:rPr>
          <w:rFonts w:ascii="微软雅黑" w:eastAsia="微软雅黑" w:hAnsi="微软雅黑" w:cs="微软雅黑"/>
          <w:b/>
        </w:rPr>
      </w:pPr>
      <w:r>
        <w:rPr>
          <w:rFonts w:ascii="微软雅黑" w:eastAsia="微软雅黑" w:hAnsi="微软雅黑" w:cs="微软雅黑" w:hint="eastAsia"/>
          <w:b/>
        </w:rPr>
        <w:br w:type="page"/>
      </w:r>
    </w:p>
    <w:p w:rsidR="008C0A47">
      <w:pPr>
        <w:pStyle w:val="Heading1"/>
        <w:keepNext w:val="0"/>
        <w:keepLines w:val="0"/>
        <w:rPr>
          <w:rFonts w:ascii="微软雅黑" w:eastAsia="微软雅黑" w:hAnsi="微软雅黑" w:cs="微软雅黑"/>
          <w:b/>
          <w:bCs w:val="0"/>
        </w:rPr>
      </w:pPr>
      <w:r>
        <w:rPr>
          <w:rFonts w:ascii="微软雅黑" w:eastAsia="微软雅黑" w:hAnsi="微软雅黑" w:cs="微软雅黑" w:hint="eastAsia"/>
          <w:b/>
          <w:bCs w:val="0"/>
        </w:rPr>
        <w:t>第一册</w:t>
      </w:r>
      <w:r>
        <w:rPr>
          <w:rFonts w:ascii="微软雅黑" w:eastAsia="微软雅黑" w:hAnsi="微软雅黑" w:cs="微软雅黑" w:hint="eastAsia"/>
          <w:b/>
          <w:bCs w:val="0"/>
        </w:rPr>
        <w:t xml:space="preserve">  </w:t>
      </w:r>
      <w:r>
        <w:rPr>
          <w:rFonts w:ascii="微软雅黑" w:eastAsia="微软雅黑" w:hAnsi="微软雅黑" w:cs="微软雅黑" w:hint="eastAsia"/>
          <w:b/>
          <w:bCs w:val="0"/>
        </w:rPr>
        <w:t>专用条款</w:t>
      </w:r>
    </w:p>
    <w:p w:rsidR="008C0A47">
      <w:pPr>
        <w:pStyle w:val="Heading2"/>
        <w:rPr>
          <w:rFonts w:ascii="微软雅黑" w:eastAsia="微软雅黑" w:hAnsi="微软雅黑" w:cs="微软雅黑"/>
          <w:b/>
          <w:bCs/>
          <w:sz w:val="32"/>
          <w:szCs w:val="32"/>
        </w:rPr>
      </w:pPr>
      <w:r>
        <w:rPr>
          <w:rFonts w:ascii="微软雅黑" w:eastAsia="微软雅黑" w:hAnsi="微软雅黑" w:cs="微软雅黑" w:hint="eastAsia"/>
          <w:b/>
          <w:bCs/>
          <w:sz w:val="32"/>
          <w:szCs w:val="32"/>
        </w:rPr>
        <w:t>关键信息</w:t>
      </w:r>
    </w:p>
    <w:p w:rsidR="008C0A47">
      <w:pPr>
        <w:pStyle w:val="Heading3"/>
        <w:keepNext w:val="0"/>
        <w:keepLines w:val="0"/>
        <w:spacing w:before="0" w:after="0"/>
        <w:jc w:val="center"/>
        <w:rPr>
          <w:rFonts w:asciiTheme="majorEastAsia" w:eastAsiaTheme="majorEastAsia" w:hAnsiTheme="majorEastAsia" w:cstheme="majorEastAsia"/>
          <w:szCs w:val="28"/>
        </w:rPr>
      </w:pPr>
      <w:r>
        <w:rPr>
          <w:rFonts w:asciiTheme="majorEastAsia" w:eastAsiaTheme="majorEastAsia" w:hAnsiTheme="majorEastAsia" w:cstheme="majorEastAsia" w:hint="eastAsia"/>
          <w:szCs w:val="28"/>
        </w:rPr>
        <w:t>招标文件信息</w:t>
      </w:r>
    </w:p>
    <w:tbl>
      <w:tblPr>
        <w:tblStyle w:val="TableGrid"/>
        <w:tblW w:w="8377" w:type="dxa"/>
        <w:jc w:val="center"/>
        <w:tblLayout w:type="fixed"/>
        <w:tblLook w:val="04A0"/>
      </w:tblPr>
      <w:tblGrid>
        <w:gridCol w:w="1313"/>
        <w:gridCol w:w="7064"/>
      </w:tblGrid>
      <w:tr>
        <w:tblPrEx>
          <w:tblW w:w="8377" w:type="dxa"/>
          <w:jc w:val="center"/>
          <w:tblLayout w:type="fixed"/>
          <w:tblLook w:val="04A0"/>
        </w:tblPrEx>
        <w:trPr>
          <w:trHeight w:val="680"/>
          <w:jc w:val="center"/>
        </w:trPr>
        <w:tc>
          <w:tcPr>
            <w:tcW w:w="1313" w:type="dxa"/>
            <w:vAlign w:val="center"/>
          </w:tcPr>
          <w:p w:rsidR="008C0A47">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项目编号</w:t>
            </w:r>
          </w:p>
        </w:tc>
        <w:tc>
          <w:tcPr>
            <w:tcW w:w="7064" w:type="dxa"/>
            <w:vAlign w:val="center"/>
          </w:tcPr>
          <w:p w:rsidR="008C0A47">
            <w:pPr>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SZDL2022001410</w:t>
            </w:r>
          </w:p>
        </w:tc>
      </w:tr>
      <w:tr>
        <w:tblPrEx>
          <w:tblW w:w="8377" w:type="dxa"/>
          <w:jc w:val="center"/>
          <w:tblLayout w:type="fixed"/>
          <w:tblLook w:val="04A0"/>
        </w:tblPrEx>
        <w:trPr>
          <w:trHeight w:val="680"/>
          <w:jc w:val="center"/>
        </w:trPr>
        <w:tc>
          <w:tcPr>
            <w:tcW w:w="1313" w:type="dxa"/>
            <w:vAlign w:val="center"/>
          </w:tcPr>
          <w:p w:rsidR="008C0A47">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项目名称</w:t>
            </w:r>
          </w:p>
        </w:tc>
        <w:tc>
          <w:tcPr>
            <w:tcW w:w="7064" w:type="dxa"/>
            <w:vAlign w:val="center"/>
          </w:tcPr>
          <w:p w:rsidR="008C0A47">
            <w:pPr>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深圳市司法局</w:t>
            </w:r>
            <w:r>
              <w:rPr>
                <w:rFonts w:asciiTheme="majorEastAsia" w:eastAsiaTheme="majorEastAsia" w:hAnsiTheme="majorEastAsia" w:cstheme="majorEastAsia" w:hint="eastAsia"/>
                <w:szCs w:val="21"/>
              </w:rPr>
              <w:t>2022</w:t>
            </w:r>
            <w:r>
              <w:rPr>
                <w:rFonts w:asciiTheme="majorEastAsia" w:eastAsiaTheme="majorEastAsia" w:hAnsiTheme="majorEastAsia" w:cstheme="majorEastAsia" w:hint="eastAsia"/>
                <w:szCs w:val="21"/>
              </w:rPr>
              <w:t>年度行政复议服务</w:t>
            </w:r>
          </w:p>
        </w:tc>
      </w:tr>
      <w:tr>
        <w:tblPrEx>
          <w:tblW w:w="8377" w:type="dxa"/>
          <w:jc w:val="center"/>
          <w:tblLayout w:type="fixed"/>
          <w:tblLook w:val="04A0"/>
        </w:tblPrEx>
        <w:trPr>
          <w:trHeight w:val="680"/>
          <w:jc w:val="center"/>
        </w:trPr>
        <w:tc>
          <w:tcPr>
            <w:tcW w:w="1313" w:type="dxa"/>
            <w:vAlign w:val="center"/>
          </w:tcPr>
          <w:p w:rsidR="008C0A47">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包</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号</w:t>
            </w:r>
          </w:p>
        </w:tc>
        <w:tc>
          <w:tcPr>
            <w:tcW w:w="7064" w:type="dxa"/>
            <w:vAlign w:val="center"/>
          </w:tcPr>
          <w:p w:rsidR="008C0A47">
            <w:pPr>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A</w:t>
            </w:r>
          </w:p>
        </w:tc>
      </w:tr>
      <w:tr>
        <w:tblPrEx>
          <w:tblW w:w="8377" w:type="dxa"/>
          <w:jc w:val="center"/>
          <w:tblLayout w:type="fixed"/>
          <w:tblLook w:val="04A0"/>
        </w:tblPrEx>
        <w:trPr>
          <w:trHeight w:val="680"/>
          <w:jc w:val="center"/>
        </w:trPr>
        <w:tc>
          <w:tcPr>
            <w:tcW w:w="1313" w:type="dxa"/>
            <w:vAlign w:val="center"/>
          </w:tcPr>
          <w:p w:rsidR="008C0A47">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项目类型</w:t>
            </w:r>
          </w:p>
        </w:tc>
        <w:tc>
          <w:tcPr>
            <w:tcW w:w="7064" w:type="dxa"/>
            <w:vAlign w:val="center"/>
          </w:tcPr>
          <w:p w:rsidR="008C0A47">
            <w:pPr>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服务类</w:t>
            </w:r>
          </w:p>
        </w:tc>
      </w:tr>
      <w:tr>
        <w:tblPrEx>
          <w:tblW w:w="8377" w:type="dxa"/>
          <w:jc w:val="center"/>
          <w:tblLayout w:type="fixed"/>
          <w:tblLook w:val="04A0"/>
        </w:tblPrEx>
        <w:trPr>
          <w:trHeight w:val="680"/>
          <w:jc w:val="center"/>
        </w:trPr>
        <w:tc>
          <w:tcPr>
            <w:tcW w:w="1313" w:type="dxa"/>
            <w:vAlign w:val="center"/>
          </w:tcPr>
          <w:p w:rsidR="008C0A47">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采购方式</w:t>
            </w:r>
          </w:p>
        </w:tc>
        <w:tc>
          <w:tcPr>
            <w:tcW w:w="7064" w:type="dxa"/>
            <w:vAlign w:val="center"/>
          </w:tcPr>
          <w:p w:rsidR="008C0A47">
            <w:pPr>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公开招标</w:t>
            </w:r>
          </w:p>
        </w:tc>
      </w:tr>
      <w:tr>
        <w:tblPrEx>
          <w:tblW w:w="8377" w:type="dxa"/>
          <w:jc w:val="center"/>
          <w:tblLayout w:type="fixed"/>
          <w:tblLook w:val="04A0"/>
        </w:tblPrEx>
        <w:trPr>
          <w:trHeight w:val="680"/>
          <w:jc w:val="center"/>
        </w:trPr>
        <w:tc>
          <w:tcPr>
            <w:tcW w:w="1313" w:type="dxa"/>
            <w:vAlign w:val="center"/>
          </w:tcPr>
          <w:p w:rsidR="008C0A47">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货币类型</w:t>
            </w:r>
          </w:p>
        </w:tc>
        <w:tc>
          <w:tcPr>
            <w:tcW w:w="7064" w:type="dxa"/>
            <w:vAlign w:val="center"/>
          </w:tcPr>
          <w:p w:rsidR="008C0A47">
            <w:pPr>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人民币</w:t>
            </w:r>
          </w:p>
        </w:tc>
      </w:tr>
      <w:tr>
        <w:tblPrEx>
          <w:tblW w:w="8377" w:type="dxa"/>
          <w:jc w:val="center"/>
          <w:tblLayout w:type="fixed"/>
          <w:tblLook w:val="04A0"/>
        </w:tblPrEx>
        <w:trPr>
          <w:trHeight w:val="680"/>
          <w:jc w:val="center"/>
        </w:trPr>
        <w:tc>
          <w:tcPr>
            <w:tcW w:w="1313" w:type="dxa"/>
            <w:vAlign w:val="center"/>
          </w:tcPr>
          <w:p w:rsidR="008C0A47">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评标方法</w:t>
            </w:r>
          </w:p>
        </w:tc>
        <w:tc>
          <w:tcPr>
            <w:tcW w:w="7064" w:type="dxa"/>
            <w:vAlign w:val="center"/>
          </w:tcPr>
          <w:p w:rsidR="008C0A47">
            <w:pPr>
              <w:jc w:val="left"/>
              <w:rPr>
                <w:rFonts w:asciiTheme="majorEastAsia" w:eastAsiaTheme="majorEastAsia" w:hAnsiTheme="majorEastAsia" w:cstheme="majorEastAsia"/>
                <w:color w:val="000000" w:themeColor="text1"/>
                <w:szCs w:val="21"/>
              </w:rPr>
            </w:pPr>
            <w:r>
              <w:rPr>
                <w:rFonts w:asciiTheme="majorEastAsia" w:eastAsiaTheme="majorEastAsia" w:hAnsiTheme="majorEastAsia" w:cstheme="majorEastAsia" w:hint="eastAsia"/>
                <w:color w:val="000000" w:themeColor="text1"/>
                <w:szCs w:val="21"/>
              </w:rPr>
              <w:t>综合评分法（新价格分算法）</w:t>
            </w:r>
          </w:p>
        </w:tc>
      </w:tr>
      <w:tr>
        <w:tblPrEx>
          <w:tblW w:w="8377" w:type="dxa"/>
          <w:jc w:val="center"/>
          <w:tblLayout w:type="fixed"/>
          <w:tblLook w:val="04A0"/>
        </w:tblPrEx>
        <w:trPr>
          <w:trHeight w:val="680"/>
          <w:jc w:val="center"/>
        </w:trPr>
        <w:tc>
          <w:tcPr>
            <w:tcW w:w="1313" w:type="dxa"/>
            <w:vAlign w:val="center"/>
          </w:tcPr>
          <w:p w:rsidR="008C0A47">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定标办法</w:t>
            </w:r>
          </w:p>
        </w:tc>
        <w:tc>
          <w:tcPr>
            <w:tcW w:w="7064" w:type="dxa"/>
            <w:vAlign w:val="center"/>
          </w:tcPr>
          <w:p w:rsidR="008C0A47">
            <w:pPr>
              <w:jc w:val="left"/>
              <w:rPr>
                <w:rFonts w:asciiTheme="majorEastAsia" w:eastAsiaTheme="majorEastAsia" w:hAnsiTheme="majorEastAsia" w:cstheme="majorEastAsia"/>
                <w:color w:val="000000" w:themeColor="text1"/>
                <w:szCs w:val="21"/>
              </w:rPr>
            </w:pPr>
            <w:r>
              <w:rPr>
                <w:rFonts w:asciiTheme="majorEastAsia" w:eastAsiaTheme="majorEastAsia" w:hAnsiTheme="majorEastAsia" w:cstheme="majorEastAsia" w:hint="eastAsia"/>
                <w:color w:val="000000" w:themeColor="text1"/>
                <w:szCs w:val="21"/>
              </w:rPr>
              <w:t>授权评标委员会确定中标单位（具体方法详见“第二册通用条款第八章”）</w:t>
            </w:r>
          </w:p>
        </w:tc>
      </w:tr>
      <w:tr>
        <w:tblPrEx>
          <w:tblW w:w="8377" w:type="dxa"/>
          <w:jc w:val="center"/>
          <w:tblLayout w:type="fixed"/>
          <w:tblLook w:val="04A0"/>
        </w:tblPrEx>
        <w:trPr>
          <w:trHeight w:val="680"/>
          <w:jc w:val="center"/>
        </w:trPr>
        <w:tc>
          <w:tcPr>
            <w:tcW w:w="1313" w:type="dxa"/>
            <w:vAlign w:val="center"/>
          </w:tcPr>
          <w:p w:rsidR="008C0A47">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中标候选人</w:t>
            </w:r>
          </w:p>
        </w:tc>
        <w:tc>
          <w:tcPr>
            <w:tcW w:w="7064" w:type="dxa"/>
            <w:vAlign w:val="center"/>
          </w:tcPr>
          <w:p w:rsidR="008C0A47">
            <w:pPr>
              <w:jc w:val="left"/>
              <w:rPr>
                <w:rFonts w:asciiTheme="majorEastAsia" w:eastAsiaTheme="majorEastAsia" w:hAnsiTheme="majorEastAsia" w:cstheme="majorEastAsia"/>
                <w:color w:val="000000" w:themeColor="text1"/>
                <w:szCs w:val="21"/>
              </w:rPr>
            </w:pPr>
            <w:r>
              <w:rPr>
                <w:rFonts w:ascii="宋体" w:hAnsi="宋体" w:hint="eastAsia"/>
              </w:rPr>
              <w:t>评标委员会推荐排名前三的投标人分别作为第一、第二、第三中标候选人，其中第一中标候选人为首选的中标人。若出现第一中标候选人放弃中标资格或其中标资格被依法确认无效的，则第二中标候选人为新的中标人，以此类推。</w:t>
            </w:r>
          </w:p>
        </w:tc>
      </w:tr>
    </w:tbl>
    <w:p w:rsidR="008C0A47">
      <w:pPr>
        <w:spacing w:line="400" w:lineRule="exact"/>
        <w:rPr>
          <w:rFonts w:asciiTheme="majorEastAsia" w:eastAsiaTheme="majorEastAsia" w:hAnsiTheme="majorEastAsia" w:cstheme="majorEastAsia"/>
          <w:sz w:val="28"/>
          <w:szCs w:val="28"/>
        </w:rPr>
      </w:pPr>
    </w:p>
    <w:p w:rsidR="008C0A47">
      <w:pPr>
        <w:rPr>
          <w:rFonts w:asciiTheme="majorEastAsia" w:eastAsiaTheme="majorEastAsia" w:hAnsiTheme="majorEastAsia" w:cstheme="majorEastAsia"/>
          <w:szCs w:val="28"/>
        </w:rPr>
      </w:pPr>
    </w:p>
    <w:p w:rsidR="008C0A47">
      <w:pPr>
        <w:rPr>
          <w:rFonts w:asciiTheme="majorEastAsia" w:eastAsiaTheme="majorEastAsia" w:hAnsiTheme="majorEastAsia" w:cstheme="majorEastAsia"/>
          <w:szCs w:val="28"/>
        </w:rPr>
      </w:pPr>
    </w:p>
    <w:p w:rsidR="008C0A47">
      <w:pPr>
        <w:rPr>
          <w:rFonts w:asciiTheme="majorEastAsia" w:eastAsiaTheme="majorEastAsia" w:hAnsiTheme="majorEastAsia" w:cstheme="majorEastAsia"/>
          <w:szCs w:val="28"/>
        </w:rPr>
      </w:pPr>
      <w:r>
        <w:rPr>
          <w:rFonts w:asciiTheme="majorEastAsia" w:eastAsiaTheme="majorEastAsia" w:hAnsiTheme="majorEastAsia" w:cstheme="majorEastAsia" w:hint="eastAsia"/>
          <w:szCs w:val="28"/>
        </w:rPr>
        <w:br w:type="page"/>
      </w:r>
    </w:p>
    <w:p w:rsidR="008C0A47">
      <w:pPr>
        <w:pStyle w:val="Heading3"/>
        <w:keepNext w:val="0"/>
        <w:keepLines w:val="0"/>
        <w:spacing w:before="0" w:after="0"/>
        <w:jc w:val="center"/>
        <w:rPr>
          <w:rFonts w:asciiTheme="majorEastAsia" w:eastAsiaTheme="majorEastAsia" w:hAnsiTheme="majorEastAsia" w:cstheme="majorEastAsia"/>
          <w:szCs w:val="28"/>
        </w:rPr>
      </w:pPr>
      <w:r>
        <w:rPr>
          <w:rFonts w:asciiTheme="majorEastAsia" w:eastAsiaTheme="majorEastAsia" w:hAnsiTheme="majorEastAsia" w:cstheme="majorEastAsia" w:hint="eastAsia"/>
          <w:szCs w:val="28"/>
        </w:rPr>
        <w:t>资格性审查表</w:t>
      </w:r>
    </w:p>
    <w:tbl>
      <w:tblPr>
        <w:tblStyle w:val="TableNormal"/>
        <w:tblW w:w="8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435"/>
      </w:tblGrid>
      <w:tr>
        <w:tblPrEx>
          <w:tblW w:w="8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57"/>
          <w:jc w:val="center"/>
        </w:trPr>
        <w:tc>
          <w:tcPr>
            <w:tcW w:w="959" w:type="dxa"/>
            <w:vAlign w:val="center"/>
          </w:tcPr>
          <w:p w:rsidR="008C0A47">
            <w:pPr>
              <w:spacing w:line="400" w:lineRule="exact"/>
              <w:jc w:val="center"/>
              <w:rPr>
                <w:rFonts w:asciiTheme="majorEastAsia" w:eastAsiaTheme="majorEastAsia" w:hAnsiTheme="majorEastAsia" w:cstheme="majorEastAsia"/>
                <w:b/>
                <w:bCs/>
              </w:rPr>
            </w:pPr>
            <w:r>
              <w:rPr>
                <w:rFonts w:asciiTheme="majorEastAsia" w:eastAsiaTheme="majorEastAsia" w:hAnsiTheme="majorEastAsia" w:cstheme="majorEastAsia" w:hint="eastAsia"/>
                <w:b/>
                <w:bCs/>
              </w:rPr>
              <w:t>序号</w:t>
            </w:r>
          </w:p>
        </w:tc>
        <w:tc>
          <w:tcPr>
            <w:tcW w:w="7435" w:type="dxa"/>
            <w:vAlign w:val="center"/>
          </w:tcPr>
          <w:p w:rsidR="008C0A47">
            <w:pPr>
              <w:spacing w:line="400" w:lineRule="exact"/>
              <w:jc w:val="center"/>
              <w:rPr>
                <w:rFonts w:asciiTheme="majorEastAsia" w:eastAsiaTheme="majorEastAsia" w:hAnsiTheme="majorEastAsia" w:cstheme="majorEastAsia"/>
                <w:b/>
                <w:bCs/>
              </w:rPr>
            </w:pPr>
            <w:r>
              <w:rPr>
                <w:rFonts w:asciiTheme="majorEastAsia" w:eastAsiaTheme="majorEastAsia" w:hAnsiTheme="majorEastAsia" w:cstheme="majorEastAsia" w:hint="eastAsia"/>
                <w:b/>
                <w:bCs/>
              </w:rPr>
              <w:t>内容</w:t>
            </w:r>
          </w:p>
        </w:tc>
      </w:tr>
      <w:tr>
        <w:tblPrEx>
          <w:tblW w:w="8394" w:type="dxa"/>
          <w:jc w:val="center"/>
          <w:tblLayout w:type="fixed"/>
          <w:tblLook w:val="04A0"/>
        </w:tblPrEx>
        <w:trPr>
          <w:trHeight w:val="567"/>
          <w:jc w:val="center"/>
        </w:trPr>
        <w:tc>
          <w:tcPr>
            <w:tcW w:w="959" w:type="dxa"/>
            <w:vAlign w:val="center"/>
          </w:tcPr>
          <w:p w:rsidR="008C0A47">
            <w:pPr>
              <w:spacing w:line="400" w:lineRule="exact"/>
              <w:jc w:val="center"/>
              <w:rPr>
                <w:rFonts w:asciiTheme="majorEastAsia" w:eastAsiaTheme="majorEastAsia" w:hAnsiTheme="majorEastAsia" w:cstheme="majorEastAsia"/>
              </w:rPr>
            </w:pPr>
            <w:r>
              <w:rPr>
                <w:rFonts w:asciiTheme="majorEastAsia" w:eastAsiaTheme="majorEastAsia" w:hAnsiTheme="majorEastAsia" w:cstheme="majorEastAsia" w:hint="eastAsia"/>
              </w:rPr>
              <w:t>1</w:t>
            </w:r>
          </w:p>
        </w:tc>
        <w:tc>
          <w:tcPr>
            <w:tcW w:w="7435" w:type="dxa"/>
            <w:vAlign w:val="center"/>
          </w:tcPr>
          <w:p w:rsidR="008C0A47">
            <w:pPr>
              <w:spacing w:line="400" w:lineRule="exact"/>
              <w:jc w:val="left"/>
              <w:rPr>
                <w:rFonts w:asciiTheme="majorEastAsia" w:eastAsiaTheme="majorEastAsia" w:hAnsiTheme="majorEastAsia" w:cstheme="majorEastAsia"/>
              </w:rPr>
            </w:pPr>
            <w:r>
              <w:rPr>
                <w:rFonts w:asciiTheme="majorEastAsia" w:eastAsiaTheme="majorEastAsia" w:hAnsiTheme="majorEastAsia" w:cstheme="majorEastAsia" w:hint="eastAsia"/>
              </w:rPr>
              <w:t>投标人不具备招标文件所列的资格要求，或未提交相应的资格证明资料（详见招标公告投标人资格要求）；</w:t>
            </w:r>
          </w:p>
        </w:tc>
      </w:tr>
    </w:tbl>
    <w:p w:rsidR="008C0A47">
      <w:pPr>
        <w:spacing w:line="0" w:lineRule="atLeast"/>
        <w:jc w:val="left"/>
        <w:rPr>
          <w:rFonts w:asciiTheme="majorEastAsia" w:eastAsiaTheme="majorEastAsia" w:hAnsiTheme="majorEastAsia" w:cstheme="majorEastAsia"/>
          <w:szCs w:val="28"/>
        </w:rPr>
      </w:pPr>
    </w:p>
    <w:p w:rsidR="008C0A47">
      <w:pPr>
        <w:pStyle w:val="Heading3"/>
        <w:keepNext w:val="0"/>
        <w:keepLines w:val="0"/>
        <w:spacing w:before="0" w:after="0"/>
        <w:jc w:val="center"/>
        <w:rPr>
          <w:rFonts w:asciiTheme="majorEastAsia" w:eastAsiaTheme="majorEastAsia" w:hAnsiTheme="majorEastAsia" w:cstheme="majorEastAsia"/>
          <w:szCs w:val="28"/>
        </w:rPr>
      </w:pPr>
      <w:r>
        <w:rPr>
          <w:rFonts w:asciiTheme="majorEastAsia" w:eastAsiaTheme="majorEastAsia" w:hAnsiTheme="majorEastAsia" w:cstheme="majorEastAsia" w:hint="eastAsia"/>
          <w:szCs w:val="28"/>
        </w:rPr>
        <w:t>符合性审查表</w:t>
      </w:r>
    </w:p>
    <w:tbl>
      <w:tblPr>
        <w:tblStyle w:val="TableNormal"/>
        <w:tblW w:w="8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435"/>
      </w:tblGrid>
      <w:tr>
        <w:tblPrEx>
          <w:tblW w:w="8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10"/>
          <w:jc w:val="center"/>
        </w:trPr>
        <w:tc>
          <w:tcPr>
            <w:tcW w:w="959" w:type="dxa"/>
            <w:vAlign w:val="center"/>
          </w:tcPr>
          <w:p w:rsidR="008C0A47">
            <w:pPr>
              <w:spacing w:line="400" w:lineRule="exact"/>
              <w:jc w:val="center"/>
              <w:rPr>
                <w:rFonts w:asciiTheme="majorEastAsia" w:eastAsiaTheme="majorEastAsia" w:hAnsiTheme="majorEastAsia" w:cstheme="majorEastAsia"/>
                <w:b/>
                <w:bCs/>
              </w:rPr>
            </w:pPr>
            <w:r>
              <w:rPr>
                <w:rFonts w:asciiTheme="majorEastAsia" w:eastAsiaTheme="majorEastAsia" w:hAnsiTheme="majorEastAsia" w:cstheme="majorEastAsia" w:hint="eastAsia"/>
                <w:b/>
                <w:bCs/>
              </w:rPr>
              <w:t>序号</w:t>
            </w:r>
          </w:p>
        </w:tc>
        <w:tc>
          <w:tcPr>
            <w:tcW w:w="7435" w:type="dxa"/>
            <w:vAlign w:val="center"/>
          </w:tcPr>
          <w:p w:rsidR="008C0A47">
            <w:pPr>
              <w:spacing w:line="400" w:lineRule="exact"/>
              <w:jc w:val="center"/>
              <w:rPr>
                <w:rFonts w:asciiTheme="majorEastAsia" w:eastAsiaTheme="majorEastAsia" w:hAnsiTheme="majorEastAsia" w:cstheme="majorEastAsia"/>
                <w:b/>
                <w:bCs/>
              </w:rPr>
            </w:pPr>
            <w:r>
              <w:rPr>
                <w:rFonts w:asciiTheme="majorEastAsia" w:eastAsiaTheme="majorEastAsia" w:hAnsiTheme="majorEastAsia" w:cstheme="majorEastAsia" w:hint="eastAsia"/>
                <w:b/>
                <w:bCs/>
              </w:rPr>
              <w:t>内容</w:t>
            </w:r>
          </w:p>
        </w:tc>
      </w:tr>
      <w:tr>
        <w:tblPrEx>
          <w:tblW w:w="8394" w:type="dxa"/>
          <w:jc w:val="center"/>
          <w:tblLayout w:type="fixed"/>
          <w:tblLook w:val="04A0"/>
        </w:tblPrEx>
        <w:trPr>
          <w:trHeight w:val="510"/>
          <w:jc w:val="center"/>
        </w:trPr>
        <w:tc>
          <w:tcPr>
            <w:tcW w:w="959" w:type="dxa"/>
            <w:vAlign w:val="center"/>
          </w:tcPr>
          <w:p w:rsidR="008C0A47">
            <w:pPr>
              <w:spacing w:line="400" w:lineRule="exact"/>
              <w:jc w:val="center"/>
              <w:rPr>
                <w:rFonts w:asciiTheme="majorEastAsia" w:eastAsiaTheme="majorEastAsia" w:hAnsiTheme="majorEastAsia" w:cstheme="majorEastAsia"/>
              </w:rPr>
            </w:pPr>
            <w:r>
              <w:rPr>
                <w:rFonts w:asciiTheme="majorEastAsia" w:eastAsiaTheme="majorEastAsia" w:hAnsiTheme="majorEastAsia" w:cstheme="majorEastAsia" w:hint="eastAsia"/>
              </w:rPr>
              <w:t>1</w:t>
            </w:r>
          </w:p>
        </w:tc>
        <w:tc>
          <w:tcPr>
            <w:tcW w:w="7435" w:type="dxa"/>
            <w:vAlign w:val="center"/>
          </w:tcPr>
          <w:p w:rsidR="008C0A47">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将一个包或一个标段的内容拆开投标；</w:t>
            </w:r>
          </w:p>
        </w:tc>
      </w:tr>
      <w:tr>
        <w:tblPrEx>
          <w:tblW w:w="8394" w:type="dxa"/>
          <w:jc w:val="center"/>
          <w:tblLayout w:type="fixed"/>
          <w:tblLook w:val="04A0"/>
        </w:tblPrEx>
        <w:trPr>
          <w:trHeight w:val="510"/>
          <w:jc w:val="center"/>
        </w:trPr>
        <w:tc>
          <w:tcPr>
            <w:tcW w:w="959" w:type="dxa"/>
            <w:vAlign w:val="center"/>
          </w:tcPr>
          <w:p w:rsidR="008C0A47">
            <w:pPr>
              <w:spacing w:line="400" w:lineRule="exact"/>
              <w:jc w:val="center"/>
              <w:rPr>
                <w:rFonts w:asciiTheme="majorEastAsia" w:eastAsiaTheme="majorEastAsia" w:hAnsiTheme="majorEastAsia" w:cstheme="majorEastAsia"/>
              </w:rPr>
            </w:pPr>
            <w:r>
              <w:rPr>
                <w:rFonts w:asciiTheme="majorEastAsia" w:eastAsiaTheme="majorEastAsia" w:hAnsiTheme="majorEastAsia" w:cstheme="majorEastAsia" w:hint="eastAsia"/>
              </w:rPr>
              <w:t>2</w:t>
            </w:r>
          </w:p>
        </w:tc>
        <w:tc>
          <w:tcPr>
            <w:tcW w:w="7435" w:type="dxa"/>
            <w:vAlign w:val="center"/>
          </w:tcPr>
          <w:p w:rsidR="008C0A47">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对同一项目投标时，提供两套以上的投标方案（招标文件另有规定的除外）；</w:t>
            </w:r>
          </w:p>
        </w:tc>
      </w:tr>
      <w:tr>
        <w:tblPrEx>
          <w:tblW w:w="8394" w:type="dxa"/>
          <w:jc w:val="center"/>
          <w:tblLayout w:type="fixed"/>
          <w:tblLook w:val="04A0"/>
        </w:tblPrEx>
        <w:trPr>
          <w:trHeight w:val="510"/>
          <w:jc w:val="center"/>
        </w:trPr>
        <w:tc>
          <w:tcPr>
            <w:tcW w:w="959" w:type="dxa"/>
            <w:vAlign w:val="center"/>
          </w:tcPr>
          <w:p w:rsidR="008C0A47">
            <w:pPr>
              <w:spacing w:line="400" w:lineRule="exact"/>
              <w:jc w:val="center"/>
              <w:rPr>
                <w:rFonts w:asciiTheme="majorEastAsia" w:eastAsiaTheme="majorEastAsia" w:hAnsiTheme="majorEastAsia" w:cstheme="majorEastAsia"/>
              </w:rPr>
            </w:pPr>
            <w:r>
              <w:rPr>
                <w:rFonts w:asciiTheme="majorEastAsia" w:eastAsiaTheme="majorEastAsia" w:hAnsiTheme="majorEastAsia" w:cstheme="majorEastAsia" w:hint="eastAsia"/>
              </w:rPr>
              <w:t>3</w:t>
            </w:r>
          </w:p>
        </w:tc>
        <w:tc>
          <w:tcPr>
            <w:tcW w:w="7435" w:type="dxa"/>
            <w:vAlign w:val="center"/>
          </w:tcPr>
          <w:p w:rsidR="008C0A47">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分项报价或投标总价高于预算金额（</w:t>
            </w:r>
            <w:r>
              <w:rPr>
                <w:rFonts w:hint="eastAsia"/>
              </w:rPr>
              <w:t>或设定的财政预算金额下的最高限价</w:t>
            </w:r>
            <w:r>
              <w:rPr>
                <w:rFonts w:asciiTheme="majorEastAsia" w:eastAsiaTheme="majorEastAsia" w:hAnsiTheme="majorEastAsia" w:cstheme="majorEastAsia" w:hint="eastAsia"/>
                <w:szCs w:val="21"/>
              </w:rPr>
              <w:t>）；</w:t>
            </w:r>
          </w:p>
        </w:tc>
      </w:tr>
      <w:tr>
        <w:tblPrEx>
          <w:tblW w:w="8394" w:type="dxa"/>
          <w:jc w:val="center"/>
          <w:tblLayout w:type="fixed"/>
          <w:tblLook w:val="04A0"/>
        </w:tblPrEx>
        <w:trPr>
          <w:trHeight w:val="510"/>
          <w:jc w:val="center"/>
        </w:trPr>
        <w:tc>
          <w:tcPr>
            <w:tcW w:w="959" w:type="dxa"/>
            <w:vAlign w:val="center"/>
          </w:tcPr>
          <w:p w:rsidR="008C0A47">
            <w:pPr>
              <w:spacing w:line="400" w:lineRule="exact"/>
              <w:jc w:val="center"/>
              <w:rPr>
                <w:rFonts w:asciiTheme="majorEastAsia" w:eastAsiaTheme="majorEastAsia" w:hAnsiTheme="majorEastAsia" w:cstheme="majorEastAsia"/>
              </w:rPr>
            </w:pPr>
            <w:r>
              <w:rPr>
                <w:rFonts w:asciiTheme="majorEastAsia" w:eastAsiaTheme="majorEastAsia" w:hAnsiTheme="majorEastAsia" w:cstheme="majorEastAsia" w:hint="eastAsia"/>
              </w:rPr>
              <w:t>4</w:t>
            </w:r>
          </w:p>
        </w:tc>
        <w:tc>
          <w:tcPr>
            <w:tcW w:w="7435" w:type="dxa"/>
            <w:vAlign w:val="center"/>
          </w:tcPr>
          <w:p w:rsidR="008C0A47">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同一项目出现两个及以上报价，且按规定无法确定哪个是有效报价；</w:t>
            </w:r>
          </w:p>
        </w:tc>
      </w:tr>
      <w:tr>
        <w:tblPrEx>
          <w:tblW w:w="8394" w:type="dxa"/>
          <w:jc w:val="center"/>
          <w:tblLayout w:type="fixed"/>
          <w:tblLook w:val="04A0"/>
        </w:tblPrEx>
        <w:trPr>
          <w:trHeight w:val="510"/>
          <w:jc w:val="center"/>
        </w:trPr>
        <w:tc>
          <w:tcPr>
            <w:tcW w:w="959" w:type="dxa"/>
            <w:vAlign w:val="center"/>
          </w:tcPr>
          <w:p w:rsidR="008C0A47">
            <w:pPr>
              <w:spacing w:line="400" w:lineRule="exact"/>
              <w:jc w:val="center"/>
              <w:rPr>
                <w:rFonts w:asciiTheme="majorEastAsia" w:eastAsiaTheme="majorEastAsia" w:hAnsiTheme="majorEastAsia" w:cstheme="majorEastAsia"/>
              </w:rPr>
            </w:pPr>
            <w:r>
              <w:rPr>
                <w:rFonts w:asciiTheme="majorEastAsia" w:eastAsiaTheme="majorEastAsia" w:hAnsiTheme="majorEastAsia" w:cstheme="majorEastAsia" w:hint="eastAsia"/>
              </w:rPr>
              <w:t>5</w:t>
            </w:r>
          </w:p>
        </w:tc>
        <w:tc>
          <w:tcPr>
            <w:tcW w:w="7435" w:type="dxa"/>
            <w:vAlign w:val="center"/>
          </w:tcPr>
          <w:p w:rsidR="008C0A47">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评标委员会认为投标人的报价明显低于其他通过符合性审查投标人的报价，有可能影响产品质量或者不能诚信履约的，投标人不能在合理的时间内提供书面说明，或无法提交相关证明材料，投标人不能证明其报价合理性的</w:t>
            </w:r>
            <w:r>
              <w:rPr>
                <w:rFonts w:asciiTheme="minorEastAsia" w:eastAsiaTheme="minorEastAsia" w:hAnsiTheme="minorEastAsia" w:hint="eastAsia"/>
                <w:szCs w:val="21"/>
              </w:rPr>
              <w:t>（若评审委员会成员对是否须由投标人</w:t>
            </w:r>
            <w:r>
              <w:rPr>
                <w:rFonts w:asciiTheme="minorEastAsia" w:eastAsiaTheme="minorEastAsia" w:hAnsiTheme="minorEastAsia" w:hint="eastAsia"/>
                <w:szCs w:val="21"/>
              </w:rPr>
              <w:t>作出</w:t>
            </w:r>
            <w:r>
              <w:rPr>
                <w:rFonts w:asciiTheme="minorEastAsia" w:eastAsiaTheme="minorEastAsia" w:hAnsiTheme="minorEastAsia" w:hint="eastAsia"/>
                <w:szCs w:val="21"/>
              </w:rPr>
              <w:t>报价合理性说明，以及书面说明是否采纳</w:t>
            </w:r>
            <w:r>
              <w:rPr>
                <w:rFonts w:asciiTheme="minorEastAsia" w:eastAsiaTheme="minorEastAsia" w:hAnsiTheme="minorEastAsia" w:hint="eastAsia"/>
                <w:szCs w:val="21"/>
              </w:rPr>
              <w:t>等判断</w:t>
            </w:r>
            <w:r>
              <w:rPr>
                <w:rFonts w:asciiTheme="minorEastAsia" w:eastAsiaTheme="minorEastAsia" w:hAnsiTheme="minorEastAsia" w:hint="eastAsia"/>
                <w:szCs w:val="21"/>
              </w:rPr>
              <w:t>不一致的，按照“少数服从多数”的原则确定评审委员会的意见）</w:t>
            </w:r>
            <w:r>
              <w:rPr>
                <w:rFonts w:asciiTheme="majorEastAsia" w:eastAsiaTheme="majorEastAsia" w:hAnsiTheme="majorEastAsia" w:cstheme="majorEastAsia" w:hint="eastAsia"/>
                <w:szCs w:val="21"/>
              </w:rPr>
              <w:t>；</w:t>
            </w:r>
          </w:p>
        </w:tc>
      </w:tr>
      <w:tr>
        <w:tblPrEx>
          <w:tblW w:w="8394" w:type="dxa"/>
          <w:jc w:val="center"/>
          <w:tblLayout w:type="fixed"/>
          <w:tblLook w:val="04A0"/>
        </w:tblPrEx>
        <w:trPr>
          <w:trHeight w:val="510"/>
          <w:jc w:val="center"/>
        </w:trPr>
        <w:tc>
          <w:tcPr>
            <w:tcW w:w="959" w:type="dxa"/>
            <w:vAlign w:val="center"/>
          </w:tcPr>
          <w:p w:rsidR="008C0A47">
            <w:pPr>
              <w:spacing w:line="400" w:lineRule="exact"/>
              <w:jc w:val="center"/>
              <w:rPr>
                <w:rFonts w:asciiTheme="majorEastAsia" w:eastAsiaTheme="majorEastAsia" w:hAnsiTheme="majorEastAsia" w:cstheme="majorEastAsia"/>
              </w:rPr>
            </w:pPr>
            <w:r>
              <w:rPr>
                <w:rFonts w:asciiTheme="majorEastAsia" w:eastAsiaTheme="majorEastAsia" w:hAnsiTheme="majorEastAsia" w:cstheme="majorEastAsia" w:hint="eastAsia"/>
              </w:rPr>
              <w:t>6</w:t>
            </w:r>
          </w:p>
        </w:tc>
        <w:tc>
          <w:tcPr>
            <w:tcW w:w="7435" w:type="dxa"/>
            <w:vAlign w:val="center"/>
          </w:tcPr>
          <w:p w:rsidR="008C0A47">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所投货物、服务在商务、技术等方面没有实质性满足招标文件要求的（是否实质性满足招标文件要求，由评标委员会根据</w:t>
            </w:r>
            <w:r>
              <w:rPr>
                <w:rFonts w:asciiTheme="majorEastAsia" w:eastAsiaTheme="majorEastAsia" w:hAnsiTheme="majorEastAsia" w:cstheme="majorEastAsia" w:hint="eastAsia"/>
                <w:szCs w:val="21"/>
              </w:rPr>
              <w:t>投标文件</w:t>
            </w:r>
            <w:r>
              <w:rPr>
                <w:rFonts w:asciiTheme="majorEastAsia" w:eastAsiaTheme="majorEastAsia" w:hAnsiTheme="majorEastAsia" w:cstheme="majorEastAsia" w:hint="eastAsia"/>
                <w:szCs w:val="21"/>
              </w:rPr>
              <w:t>做出评判）；</w:t>
            </w:r>
          </w:p>
        </w:tc>
      </w:tr>
      <w:tr>
        <w:tblPrEx>
          <w:tblW w:w="8394" w:type="dxa"/>
          <w:jc w:val="center"/>
          <w:tblLayout w:type="fixed"/>
          <w:tblLook w:val="04A0"/>
        </w:tblPrEx>
        <w:trPr>
          <w:trHeight w:val="510"/>
          <w:jc w:val="center"/>
        </w:trPr>
        <w:tc>
          <w:tcPr>
            <w:tcW w:w="959" w:type="dxa"/>
            <w:vAlign w:val="center"/>
          </w:tcPr>
          <w:p w:rsidR="008C0A47">
            <w:pPr>
              <w:spacing w:line="400" w:lineRule="exact"/>
              <w:jc w:val="center"/>
              <w:rPr>
                <w:rFonts w:asciiTheme="majorEastAsia" w:eastAsiaTheme="majorEastAsia" w:hAnsiTheme="majorEastAsia" w:cstheme="majorEastAsia"/>
              </w:rPr>
            </w:pPr>
            <w:r>
              <w:rPr>
                <w:rFonts w:asciiTheme="majorEastAsia" w:eastAsiaTheme="majorEastAsia" w:hAnsiTheme="majorEastAsia" w:cstheme="majorEastAsia" w:hint="eastAsia"/>
              </w:rPr>
              <w:t>7</w:t>
            </w:r>
          </w:p>
        </w:tc>
        <w:tc>
          <w:tcPr>
            <w:tcW w:w="7435" w:type="dxa"/>
            <w:vAlign w:val="center"/>
          </w:tcPr>
          <w:p w:rsidR="008C0A47">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未按招标文件所提供的样式填写《投标函》；未按招标文件所提供的《政府采购投标及履约承诺函》进行承诺；未按招标文件对投标文件组成的要求提供投标文件的（投标文件组成不完整）；</w:t>
            </w:r>
          </w:p>
        </w:tc>
      </w:tr>
      <w:tr>
        <w:tblPrEx>
          <w:tblW w:w="8394" w:type="dxa"/>
          <w:jc w:val="center"/>
          <w:tblLayout w:type="fixed"/>
          <w:tblLook w:val="04A0"/>
        </w:tblPrEx>
        <w:trPr>
          <w:trHeight w:val="510"/>
          <w:jc w:val="center"/>
        </w:trPr>
        <w:tc>
          <w:tcPr>
            <w:tcW w:w="959" w:type="dxa"/>
            <w:vAlign w:val="center"/>
          </w:tcPr>
          <w:p w:rsidR="008C0A47">
            <w:pPr>
              <w:spacing w:line="400" w:lineRule="exact"/>
              <w:jc w:val="center"/>
              <w:rPr>
                <w:rFonts w:asciiTheme="majorEastAsia" w:eastAsiaTheme="majorEastAsia" w:hAnsiTheme="majorEastAsia" w:cstheme="majorEastAsia"/>
              </w:rPr>
            </w:pPr>
            <w:r>
              <w:rPr>
                <w:rFonts w:asciiTheme="majorEastAsia" w:eastAsiaTheme="majorEastAsia" w:hAnsiTheme="majorEastAsia" w:cstheme="majorEastAsia" w:hint="eastAsia"/>
              </w:rPr>
              <w:t>8</w:t>
            </w:r>
          </w:p>
        </w:tc>
        <w:tc>
          <w:tcPr>
            <w:tcW w:w="7435" w:type="dxa"/>
            <w:vAlign w:val="center"/>
          </w:tcPr>
          <w:p w:rsidR="008C0A47">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投标报价有缺漏项目，或者对招标文件规定的项目需求内容或者需求数量进行修改，评审委员会判定投标响应不满足采购需求；</w:t>
            </w:r>
          </w:p>
        </w:tc>
      </w:tr>
      <w:tr>
        <w:tblPrEx>
          <w:tblW w:w="8394" w:type="dxa"/>
          <w:jc w:val="center"/>
          <w:tblLayout w:type="fixed"/>
          <w:tblLook w:val="04A0"/>
        </w:tblPrEx>
        <w:trPr>
          <w:trHeight w:val="510"/>
          <w:jc w:val="center"/>
        </w:trPr>
        <w:tc>
          <w:tcPr>
            <w:tcW w:w="959" w:type="dxa"/>
            <w:vAlign w:val="center"/>
          </w:tcPr>
          <w:p w:rsidR="008C0A47">
            <w:pPr>
              <w:spacing w:line="400" w:lineRule="exact"/>
              <w:jc w:val="center"/>
              <w:rPr>
                <w:rFonts w:asciiTheme="majorEastAsia" w:eastAsiaTheme="majorEastAsia" w:hAnsiTheme="majorEastAsia" w:cstheme="majorEastAsia"/>
              </w:rPr>
            </w:pPr>
            <w:r>
              <w:rPr>
                <w:rFonts w:asciiTheme="majorEastAsia" w:eastAsiaTheme="majorEastAsia" w:hAnsiTheme="majorEastAsia" w:cstheme="majorEastAsia" w:hint="eastAsia"/>
              </w:rPr>
              <w:t>9</w:t>
            </w:r>
          </w:p>
        </w:tc>
        <w:tc>
          <w:tcPr>
            <w:tcW w:w="7435" w:type="dxa"/>
            <w:vAlign w:val="center"/>
          </w:tcPr>
          <w:p w:rsidR="008C0A47">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投标文件</w:t>
            </w:r>
            <w:r>
              <w:rPr>
                <w:rFonts w:asciiTheme="majorEastAsia" w:eastAsiaTheme="majorEastAsia" w:hAnsiTheme="majorEastAsia" w:cstheme="majorEastAsia" w:hint="eastAsia"/>
                <w:szCs w:val="21"/>
              </w:rPr>
              <w:t>存在列放位置</w:t>
            </w:r>
            <w:r>
              <w:rPr>
                <w:rFonts w:asciiTheme="majorEastAsia" w:eastAsiaTheme="majorEastAsia" w:hAnsiTheme="majorEastAsia" w:cstheme="majorEastAsia" w:hint="eastAsia"/>
                <w:szCs w:val="21"/>
              </w:rPr>
              <w:t>错误，导致属于信息公开情形的没有被公开；</w:t>
            </w:r>
          </w:p>
        </w:tc>
      </w:tr>
      <w:tr>
        <w:tblPrEx>
          <w:tblW w:w="8394" w:type="dxa"/>
          <w:jc w:val="center"/>
          <w:tblLayout w:type="fixed"/>
          <w:tblLook w:val="04A0"/>
        </w:tblPrEx>
        <w:trPr>
          <w:trHeight w:val="510"/>
          <w:jc w:val="center"/>
        </w:trPr>
        <w:tc>
          <w:tcPr>
            <w:tcW w:w="959" w:type="dxa"/>
            <w:vAlign w:val="center"/>
          </w:tcPr>
          <w:p w:rsidR="008C0A47">
            <w:pPr>
              <w:spacing w:line="400" w:lineRule="exact"/>
              <w:jc w:val="center"/>
              <w:rPr>
                <w:rFonts w:asciiTheme="majorEastAsia" w:eastAsiaTheme="majorEastAsia" w:hAnsiTheme="majorEastAsia" w:cstheme="majorEastAsia"/>
              </w:rPr>
            </w:pPr>
            <w:r>
              <w:rPr>
                <w:rFonts w:asciiTheme="majorEastAsia" w:eastAsiaTheme="majorEastAsia" w:hAnsiTheme="majorEastAsia" w:cstheme="majorEastAsia" w:hint="eastAsia"/>
              </w:rPr>
              <w:t>10</w:t>
            </w:r>
          </w:p>
        </w:tc>
        <w:tc>
          <w:tcPr>
            <w:tcW w:w="7435" w:type="dxa"/>
            <w:vAlign w:val="center"/>
          </w:tcPr>
          <w:p w:rsidR="008C0A47">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投标文件电子文档带病毒；</w:t>
            </w:r>
          </w:p>
        </w:tc>
      </w:tr>
      <w:tr>
        <w:tblPrEx>
          <w:tblW w:w="8394" w:type="dxa"/>
          <w:jc w:val="center"/>
          <w:tblLayout w:type="fixed"/>
          <w:tblLook w:val="04A0"/>
        </w:tblPrEx>
        <w:trPr>
          <w:trHeight w:val="510"/>
          <w:jc w:val="center"/>
        </w:trPr>
        <w:tc>
          <w:tcPr>
            <w:tcW w:w="959" w:type="dxa"/>
            <w:vAlign w:val="center"/>
          </w:tcPr>
          <w:p w:rsidR="008C0A47">
            <w:pPr>
              <w:spacing w:line="400" w:lineRule="exact"/>
              <w:jc w:val="center"/>
              <w:rPr>
                <w:rFonts w:asciiTheme="majorEastAsia" w:eastAsiaTheme="majorEastAsia" w:hAnsiTheme="majorEastAsia" w:cstheme="majorEastAsia"/>
              </w:rPr>
            </w:pPr>
            <w:r>
              <w:rPr>
                <w:rFonts w:asciiTheme="majorEastAsia" w:eastAsiaTheme="majorEastAsia" w:hAnsiTheme="majorEastAsia" w:cstheme="majorEastAsia" w:hint="eastAsia"/>
              </w:rPr>
              <w:t>11</w:t>
            </w:r>
          </w:p>
        </w:tc>
        <w:tc>
          <w:tcPr>
            <w:tcW w:w="7435" w:type="dxa"/>
            <w:vAlign w:val="center"/>
          </w:tcPr>
          <w:p w:rsidR="008C0A47">
            <w:pPr>
              <w:pStyle w:val="CommentText"/>
              <w:rPr>
                <w:rFonts w:asciiTheme="majorEastAsia" w:eastAsiaTheme="majorEastAsia" w:hAnsiTheme="majorEastAsia" w:cstheme="majorEastAsia"/>
                <w:szCs w:val="21"/>
              </w:rPr>
            </w:pPr>
            <w:r>
              <w:rPr>
                <w:rFonts w:asciiTheme="majorEastAsia" w:eastAsiaTheme="majorEastAsia" w:hAnsiTheme="majorEastAsia" w:cstheme="majorEastAsia" w:hint="eastAsia"/>
                <w:kern w:val="2"/>
                <w:sz w:val="21"/>
                <w:szCs w:val="21"/>
              </w:rPr>
              <w:t>投标人未在本项目解密截止时间前完成投标文件在线解密；</w:t>
            </w:r>
          </w:p>
        </w:tc>
      </w:tr>
      <w:tr>
        <w:tblPrEx>
          <w:tblW w:w="8394" w:type="dxa"/>
          <w:jc w:val="center"/>
          <w:tblLayout w:type="fixed"/>
          <w:tblLook w:val="04A0"/>
        </w:tblPrEx>
        <w:trPr>
          <w:trHeight w:val="510"/>
          <w:jc w:val="center"/>
        </w:trPr>
        <w:tc>
          <w:tcPr>
            <w:tcW w:w="959" w:type="dxa"/>
            <w:vAlign w:val="center"/>
          </w:tcPr>
          <w:p w:rsidR="008C0A47">
            <w:pPr>
              <w:spacing w:line="400" w:lineRule="exact"/>
              <w:jc w:val="center"/>
              <w:rPr>
                <w:rFonts w:asciiTheme="majorEastAsia" w:eastAsiaTheme="majorEastAsia" w:hAnsiTheme="majorEastAsia" w:cstheme="majorEastAsia"/>
              </w:rPr>
            </w:pPr>
            <w:r>
              <w:rPr>
                <w:rFonts w:asciiTheme="majorEastAsia" w:eastAsiaTheme="majorEastAsia" w:hAnsiTheme="majorEastAsia" w:cstheme="majorEastAsia" w:hint="eastAsia"/>
              </w:rPr>
              <w:t>12</w:t>
            </w:r>
          </w:p>
        </w:tc>
        <w:tc>
          <w:tcPr>
            <w:tcW w:w="7435" w:type="dxa"/>
            <w:vAlign w:val="center"/>
          </w:tcPr>
          <w:p w:rsidR="008C0A47">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法律、法规、规章、规范性文件规定的其他情形。</w:t>
            </w:r>
          </w:p>
        </w:tc>
      </w:tr>
    </w:tbl>
    <w:p w:rsidR="008C0A47">
      <w:pPr>
        <w:spacing w:line="340" w:lineRule="exact"/>
        <w:ind w:firstLine="420"/>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rPr>
        <w:t>备注：凡有上列情形之一的，《资格性审查表》或《符合性审查表》初审不通过，按投标无效处理。</w:t>
      </w:r>
      <w:r>
        <w:rPr>
          <w:rFonts w:hint="eastAsia"/>
          <w:b/>
          <w:szCs w:val="21"/>
        </w:rPr>
        <w:t>评标委员会在作资格性审查和符合性审查之前，将查看并比对各投标供应商标书的文件特征码、文件制作机器码、文本内容相似度等标书雷同性分析情况。</w:t>
      </w:r>
    </w:p>
    <w:p w:rsidR="008C0A47">
      <w:pPr>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br w:type="page"/>
      </w:r>
    </w:p>
    <w:p w:rsidR="008C0A47">
      <w:pPr>
        <w:pStyle w:val="Heading3"/>
        <w:keepNext w:val="0"/>
        <w:keepLines w:val="0"/>
        <w:spacing w:before="0" w:after="0"/>
        <w:jc w:val="center"/>
        <w:rPr>
          <w:rFonts w:asciiTheme="majorEastAsia" w:eastAsiaTheme="majorEastAsia" w:hAnsiTheme="majorEastAsia" w:cstheme="majorEastAsia"/>
          <w:sz w:val="32"/>
        </w:rPr>
      </w:pPr>
      <w:r>
        <w:rPr>
          <w:rFonts w:asciiTheme="majorEastAsia" w:eastAsiaTheme="majorEastAsia" w:hAnsiTheme="majorEastAsia" w:cstheme="majorEastAsia" w:hint="eastAsia"/>
          <w:sz w:val="32"/>
        </w:rPr>
        <w:t>评标信息</w:t>
      </w:r>
    </w:p>
    <w:p w:rsidR="008C0A47">
      <w:pPr>
        <w:spacing w:line="430" w:lineRule="exact"/>
        <w:ind w:firstLine="470" w:firstLineChars="196"/>
        <w:rPr>
          <w:rFonts w:asciiTheme="majorEastAsia" w:eastAsiaTheme="majorEastAsia" w:hAnsiTheme="majorEastAsia" w:cstheme="majorEastAsia"/>
        </w:rPr>
      </w:pPr>
      <w:r>
        <w:rPr>
          <w:rFonts w:asciiTheme="majorEastAsia" w:eastAsiaTheme="majorEastAsia" w:hAnsiTheme="majorEastAsia" w:cstheme="majorEastAsia" w:hint="eastAsia"/>
          <w:b/>
          <w:bCs/>
        </w:rPr>
        <w:t>一、评标方法</w:t>
      </w:r>
    </w:p>
    <w:p w:rsidR="008C0A47">
      <w:pPr>
        <w:spacing w:line="430" w:lineRule="exact"/>
        <w:ind w:firstLine="480" w:firstLineChars="200"/>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w:t>
      </w:r>
      <w:r>
        <w:rPr>
          <w:rFonts w:asciiTheme="majorEastAsia" w:eastAsiaTheme="majorEastAsia" w:hAnsiTheme="majorEastAsia" w:cstheme="majorEastAsia" w:hint="eastAsia"/>
          <w:bCs/>
          <w:szCs w:val="21"/>
        </w:rPr>
        <w:t>、综合评分法：详见“第二册</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通用条款”第七章。</w:t>
      </w:r>
    </w:p>
    <w:p w:rsidR="008C0A47">
      <w:pPr>
        <w:spacing w:line="430" w:lineRule="exact"/>
        <w:ind w:firstLine="480" w:firstLineChars="200"/>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1</w:t>
      </w:r>
      <w:r>
        <w:rPr>
          <w:rFonts w:asciiTheme="majorEastAsia" w:eastAsiaTheme="majorEastAsia" w:hAnsiTheme="majorEastAsia" w:cstheme="majorEastAsia" w:hint="eastAsia"/>
          <w:bCs/>
          <w:szCs w:val="21"/>
        </w:rPr>
        <w:t>）价格分计算方法：</w:t>
      </w:r>
    </w:p>
    <w:p w:rsidR="008C0A47">
      <w:pPr>
        <w:spacing w:line="430" w:lineRule="exact"/>
        <w:ind w:firstLine="480" w:firstLineChars="200"/>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采用低价优先法计算，即满足招标文件要求且投标价格最低的投标报价为评标基准价，其价格分为满分。其他投标人的价格</w:t>
      </w:r>
      <w:r>
        <w:rPr>
          <w:rFonts w:asciiTheme="majorEastAsia" w:eastAsiaTheme="majorEastAsia" w:hAnsiTheme="majorEastAsia" w:cstheme="majorEastAsia" w:hint="eastAsia"/>
          <w:bCs/>
          <w:szCs w:val="21"/>
        </w:rPr>
        <w:t>分统一</w:t>
      </w:r>
      <w:r>
        <w:rPr>
          <w:rFonts w:asciiTheme="majorEastAsia" w:eastAsiaTheme="majorEastAsia" w:hAnsiTheme="majorEastAsia" w:cstheme="majorEastAsia" w:hint="eastAsia"/>
          <w:bCs/>
          <w:szCs w:val="21"/>
        </w:rPr>
        <w:t>按照下列公式计算：</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br/>
        <w:t xml:space="preserve">    </w:t>
      </w:r>
      <w:r>
        <w:rPr>
          <w:rFonts w:asciiTheme="majorEastAsia" w:eastAsiaTheme="majorEastAsia" w:hAnsiTheme="majorEastAsia" w:cstheme="majorEastAsia" w:hint="eastAsia"/>
          <w:bCs/>
          <w:szCs w:val="21"/>
        </w:rPr>
        <w:t>投标报价得分</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评标基准价／投标报价</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 xml:space="preserve">100 </w:t>
      </w:r>
      <w:r>
        <w:rPr>
          <w:rFonts w:asciiTheme="majorEastAsia" w:eastAsiaTheme="majorEastAsia" w:hAnsiTheme="majorEastAsia" w:cstheme="majorEastAsia" w:hint="eastAsia"/>
          <w:bCs/>
          <w:szCs w:val="21"/>
        </w:rPr>
        <w:br/>
        <w:t xml:space="preserve">    </w:t>
      </w:r>
      <w:r>
        <w:rPr>
          <w:rFonts w:asciiTheme="majorEastAsia" w:eastAsiaTheme="majorEastAsia" w:hAnsiTheme="majorEastAsia" w:cstheme="majorEastAsia" w:hint="eastAsia"/>
          <w:bCs/>
          <w:szCs w:val="21"/>
        </w:rPr>
        <w:t>评标过程中，不得去掉报价中的最高报价和最低报价。</w:t>
      </w:r>
      <w:r>
        <w:rPr>
          <w:rFonts w:asciiTheme="majorEastAsia" w:eastAsiaTheme="majorEastAsia" w:hAnsiTheme="majorEastAsia" w:cstheme="majorEastAsia" w:hint="eastAsia"/>
          <w:bCs/>
          <w:szCs w:val="21"/>
        </w:rPr>
        <w:t xml:space="preserve"> </w:t>
      </w:r>
    </w:p>
    <w:p w:rsidR="008C0A47">
      <w:pPr>
        <w:spacing w:line="430" w:lineRule="exact"/>
        <w:ind w:firstLine="480" w:firstLineChars="200"/>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2</w:t>
      </w:r>
      <w:r>
        <w:rPr>
          <w:rFonts w:asciiTheme="majorEastAsia" w:eastAsiaTheme="majorEastAsia" w:hAnsiTheme="majorEastAsia" w:cstheme="majorEastAsia" w:hint="eastAsia"/>
          <w:bCs/>
          <w:szCs w:val="21"/>
        </w:rPr>
        <w:t>）评标总得分：</w:t>
      </w:r>
    </w:p>
    <w:p w:rsidR="008C0A47">
      <w:pPr>
        <w:spacing w:line="430" w:lineRule="exact"/>
        <w:ind w:firstLine="480" w:firstLineChars="200"/>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评标总得分＝</w:t>
      </w:r>
      <w:r>
        <w:rPr>
          <w:rFonts w:asciiTheme="majorEastAsia" w:eastAsiaTheme="majorEastAsia" w:hAnsiTheme="majorEastAsia" w:cstheme="majorEastAsia" w:hint="eastAsia"/>
          <w:bCs/>
          <w:szCs w:val="21"/>
        </w:rPr>
        <w:t>F1</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A1</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F2</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A2</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Fn</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 xml:space="preserve">An </w:t>
      </w:r>
      <w:r>
        <w:rPr>
          <w:rFonts w:asciiTheme="majorEastAsia" w:eastAsiaTheme="majorEastAsia" w:hAnsiTheme="majorEastAsia" w:cstheme="majorEastAsia" w:hint="eastAsia"/>
          <w:bCs/>
          <w:szCs w:val="21"/>
        </w:rPr>
        <w:br/>
        <w:t xml:space="preserve">    F1</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F2</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Fn</w:t>
      </w:r>
      <w:r>
        <w:rPr>
          <w:rFonts w:asciiTheme="majorEastAsia" w:eastAsiaTheme="majorEastAsia" w:hAnsiTheme="majorEastAsia" w:cstheme="majorEastAsia" w:hint="eastAsia"/>
          <w:bCs/>
          <w:szCs w:val="21"/>
        </w:rPr>
        <w:t>分别为各项评审因素的得分；</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br/>
        <w:t xml:space="preserve">    A1</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A2</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 xml:space="preserve">An </w:t>
      </w:r>
      <w:r>
        <w:rPr>
          <w:rFonts w:asciiTheme="majorEastAsia" w:eastAsiaTheme="majorEastAsia" w:hAnsiTheme="majorEastAsia" w:cstheme="majorEastAsia" w:hint="eastAsia"/>
          <w:bCs/>
          <w:szCs w:val="21"/>
        </w:rPr>
        <w:t>分别为各项评审因素所占的权重</w:t>
      </w:r>
      <w:r>
        <w:rPr>
          <w:rFonts w:asciiTheme="majorEastAsia" w:eastAsiaTheme="majorEastAsia" w:hAnsiTheme="majorEastAsia" w:cstheme="majorEastAsia" w:hint="eastAsia"/>
          <w:bCs/>
          <w:szCs w:val="21"/>
        </w:rPr>
        <w:t>(A1</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A2</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An</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1)</w:t>
      </w:r>
      <w:r>
        <w:rPr>
          <w:rFonts w:asciiTheme="majorEastAsia" w:eastAsiaTheme="majorEastAsia" w:hAnsiTheme="majorEastAsia" w:cstheme="majorEastAsia" w:hint="eastAsia"/>
          <w:bCs/>
          <w:szCs w:val="21"/>
        </w:rPr>
        <w:t>。</w:t>
      </w:r>
    </w:p>
    <w:p w:rsidR="008C0A47">
      <w:pPr>
        <w:spacing w:line="430" w:lineRule="exact"/>
        <w:ind w:firstLine="480" w:firstLineChars="200"/>
        <w:rPr>
          <w:rFonts w:asciiTheme="majorEastAsia" w:eastAsiaTheme="majorEastAsia" w:hAnsiTheme="majorEastAsia" w:cstheme="majorEastAsia"/>
        </w:rPr>
      </w:pP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3</w:t>
      </w:r>
      <w:r>
        <w:rPr>
          <w:rFonts w:asciiTheme="majorEastAsia" w:eastAsiaTheme="majorEastAsia" w:hAnsiTheme="majorEastAsia" w:cstheme="majorEastAsia" w:hint="eastAsia"/>
          <w:bCs/>
          <w:szCs w:val="21"/>
        </w:rPr>
        <w:t>）评分标准：详见“四、评分标准”。</w:t>
      </w:r>
      <w:r>
        <w:rPr>
          <w:rFonts w:asciiTheme="majorEastAsia" w:eastAsiaTheme="majorEastAsia" w:hAnsiTheme="majorEastAsia" w:cstheme="majorEastAsia" w:hint="eastAsia"/>
          <w:bCs/>
          <w:szCs w:val="21"/>
        </w:rPr>
        <w:br/>
        <w:t xml:space="preserve">    2</w:t>
      </w:r>
      <w:r>
        <w:rPr>
          <w:rFonts w:asciiTheme="majorEastAsia" w:eastAsiaTheme="majorEastAsia" w:hAnsiTheme="majorEastAsia" w:cstheme="majorEastAsia" w:hint="eastAsia"/>
          <w:bCs/>
          <w:szCs w:val="21"/>
        </w:rPr>
        <w:t>、最低</w:t>
      </w:r>
      <w:r>
        <w:rPr>
          <w:rFonts w:asciiTheme="majorEastAsia" w:eastAsiaTheme="majorEastAsia" w:hAnsiTheme="majorEastAsia" w:cstheme="majorEastAsia" w:hint="eastAsia"/>
          <w:szCs w:val="21"/>
        </w:rPr>
        <w:t>价法：</w:t>
      </w:r>
      <w:r>
        <w:rPr>
          <w:rFonts w:asciiTheme="majorEastAsia" w:eastAsiaTheme="majorEastAsia" w:hAnsiTheme="majorEastAsia" w:cstheme="majorEastAsia" w:hint="eastAsia"/>
          <w:bCs/>
          <w:szCs w:val="21"/>
        </w:rPr>
        <w:t>详见“第二册</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通用条款”第七章</w:t>
      </w:r>
      <w:r>
        <w:rPr>
          <w:rFonts w:asciiTheme="majorEastAsia" w:eastAsiaTheme="majorEastAsia" w:hAnsiTheme="majorEastAsia" w:cstheme="majorEastAsia" w:hint="eastAsia"/>
          <w:szCs w:val="21"/>
        </w:rPr>
        <w:t>。</w:t>
      </w:r>
    </w:p>
    <w:p w:rsidR="008C0A47">
      <w:pPr>
        <w:spacing w:line="430" w:lineRule="exact"/>
        <w:ind w:firstLine="470" w:firstLineChars="196"/>
        <w:rPr>
          <w:rFonts w:asciiTheme="majorEastAsia" w:eastAsiaTheme="majorEastAsia" w:hAnsiTheme="majorEastAsia" w:cstheme="majorEastAsia"/>
        </w:rPr>
      </w:pPr>
      <w:r>
        <w:rPr>
          <w:rFonts w:asciiTheme="majorEastAsia" w:eastAsiaTheme="majorEastAsia" w:hAnsiTheme="majorEastAsia" w:cstheme="majorEastAsia" w:hint="eastAsia"/>
          <w:b/>
          <w:bCs/>
        </w:rPr>
        <w:t>二、享受优惠政策的主体及价格扣除比例</w:t>
      </w:r>
    </w:p>
    <w:p w:rsidR="008C0A47">
      <w:pPr>
        <w:spacing w:line="430" w:lineRule="exact"/>
        <w:ind w:firstLine="480" w:firstLineChars="200"/>
        <w:rPr>
          <w:rFonts w:asciiTheme="majorEastAsia" w:eastAsiaTheme="majorEastAsia" w:hAnsiTheme="majorEastAsia" w:cstheme="majorEastAsia"/>
        </w:rPr>
      </w:pPr>
      <w:r>
        <w:rPr>
          <w:rFonts w:asciiTheme="majorEastAsia" w:eastAsiaTheme="majorEastAsia" w:hAnsiTheme="majorEastAsia" w:cstheme="majorEastAsia" w:hint="eastAsia"/>
        </w:rPr>
        <w:t>1</w:t>
      </w:r>
      <w:r>
        <w:rPr>
          <w:rFonts w:asciiTheme="majorEastAsia" w:eastAsiaTheme="majorEastAsia" w:hAnsiTheme="majorEastAsia" w:cstheme="majorEastAsia" w:hint="eastAsia"/>
        </w:rPr>
        <w:t>、小型企业、微型企业、监狱企业、残疾人福利性单位承接服务，对其价格给予</w:t>
      </w:r>
      <w:r>
        <w:rPr>
          <w:rFonts w:asciiTheme="majorEastAsia" w:eastAsiaTheme="majorEastAsia" w:hAnsiTheme="majorEastAsia" w:cstheme="majorEastAsia" w:hint="eastAsia"/>
        </w:rPr>
        <w:t>10%</w:t>
      </w:r>
      <w:r>
        <w:rPr>
          <w:rFonts w:asciiTheme="majorEastAsia" w:eastAsiaTheme="majorEastAsia" w:hAnsiTheme="majorEastAsia" w:cstheme="majorEastAsia" w:hint="eastAsia"/>
        </w:rPr>
        <w:t>的扣除，用扣除后的价格参与评审。满足多项优惠政策的企业，不重复享受多项价格扣除政策。</w:t>
      </w:r>
    </w:p>
    <w:p w:rsidR="008C0A47">
      <w:pPr>
        <w:spacing w:line="430" w:lineRule="exact"/>
        <w:ind w:firstLine="480" w:firstLineChars="200"/>
        <w:rPr>
          <w:rFonts w:asciiTheme="majorEastAsia" w:eastAsiaTheme="majorEastAsia" w:hAnsiTheme="majorEastAsia" w:cstheme="majorEastAsia"/>
        </w:rPr>
      </w:pPr>
      <w:r>
        <w:rPr>
          <w:rFonts w:asciiTheme="majorEastAsia" w:eastAsiaTheme="majorEastAsia" w:hAnsiTheme="majorEastAsia" w:cstheme="majorEastAsia" w:hint="eastAsia"/>
        </w:rPr>
        <w:t>2</w:t>
      </w:r>
      <w:r>
        <w:rPr>
          <w:rFonts w:asciiTheme="majorEastAsia" w:eastAsiaTheme="majorEastAsia" w:hAnsiTheme="majorEastAsia" w:cstheme="majorEastAsia" w:hint="eastAsia"/>
        </w:rPr>
        <w:t>、接受大中型企业与小</w:t>
      </w:r>
      <w:r>
        <w:rPr>
          <w:rFonts w:asciiTheme="majorEastAsia" w:eastAsiaTheme="majorEastAsia" w:hAnsiTheme="majorEastAsia" w:cstheme="majorEastAsia" w:hint="eastAsia"/>
        </w:rPr>
        <w:t>微企业</w:t>
      </w:r>
      <w:r>
        <w:rPr>
          <w:rFonts w:asciiTheme="majorEastAsia" w:eastAsiaTheme="majorEastAsia" w:hAnsiTheme="majorEastAsia" w:cstheme="majorEastAsia" w:hint="eastAsia"/>
        </w:rPr>
        <w:t>组成联合体或者允许大中型企业向一家或者多家小</w:t>
      </w:r>
      <w:r>
        <w:rPr>
          <w:rFonts w:asciiTheme="majorEastAsia" w:eastAsiaTheme="majorEastAsia" w:hAnsiTheme="majorEastAsia" w:cstheme="majorEastAsia" w:hint="eastAsia"/>
        </w:rPr>
        <w:t>微企业</w:t>
      </w:r>
      <w:r>
        <w:rPr>
          <w:rFonts w:asciiTheme="majorEastAsia" w:eastAsiaTheme="majorEastAsia" w:hAnsiTheme="majorEastAsia" w:cstheme="majorEastAsia" w:hint="eastAsia"/>
        </w:rPr>
        <w:t>分包的采购项目，对于联合协议或者分包意向协议约定小</w:t>
      </w:r>
      <w:r>
        <w:rPr>
          <w:rFonts w:asciiTheme="majorEastAsia" w:eastAsiaTheme="majorEastAsia" w:hAnsiTheme="majorEastAsia" w:cstheme="majorEastAsia" w:hint="eastAsia"/>
        </w:rPr>
        <w:t>微企业</w:t>
      </w:r>
      <w:r>
        <w:rPr>
          <w:rFonts w:asciiTheme="majorEastAsia" w:eastAsiaTheme="majorEastAsia" w:hAnsiTheme="majorEastAsia" w:cstheme="majorEastAsia" w:hint="eastAsia"/>
        </w:rPr>
        <w:t>的合同份额占到合同总金额</w:t>
      </w:r>
      <w:r>
        <w:rPr>
          <w:rFonts w:asciiTheme="majorEastAsia" w:eastAsiaTheme="majorEastAsia" w:hAnsiTheme="majorEastAsia" w:cstheme="majorEastAsia" w:hint="eastAsia"/>
        </w:rPr>
        <w:t>30%</w:t>
      </w:r>
      <w:r>
        <w:rPr>
          <w:rFonts w:asciiTheme="majorEastAsia" w:eastAsiaTheme="majorEastAsia" w:hAnsiTheme="majorEastAsia" w:cstheme="majorEastAsia" w:hint="eastAsia"/>
        </w:rPr>
        <w:t>以上的，对联合体或者大中型企业的报价给予</w:t>
      </w:r>
      <w:r>
        <w:rPr>
          <w:rFonts w:asciiTheme="majorEastAsia" w:eastAsiaTheme="majorEastAsia" w:hAnsiTheme="majorEastAsia" w:cstheme="majorEastAsia" w:hint="eastAsia"/>
        </w:rPr>
        <w:t>3%</w:t>
      </w:r>
      <w:r>
        <w:rPr>
          <w:rFonts w:asciiTheme="majorEastAsia" w:eastAsiaTheme="majorEastAsia" w:hAnsiTheme="majorEastAsia" w:cstheme="majorEastAsia" w:hint="eastAsia"/>
        </w:rPr>
        <w:t>扣除，</w:t>
      </w:r>
      <w:r>
        <w:rPr>
          <w:rFonts w:asciiTheme="majorEastAsia" w:eastAsiaTheme="majorEastAsia" w:hAnsiTheme="majorEastAsia" w:cstheme="majorEastAsia" w:hint="eastAsia"/>
        </w:rPr>
        <w:t>用扣除后的价格参加评审。联合体各方均为小</w:t>
      </w:r>
      <w:r>
        <w:rPr>
          <w:rFonts w:asciiTheme="majorEastAsia" w:eastAsiaTheme="majorEastAsia" w:hAnsiTheme="majorEastAsia" w:cstheme="majorEastAsia" w:hint="eastAsia"/>
        </w:rPr>
        <w:t>微企业</w:t>
      </w:r>
      <w:r>
        <w:rPr>
          <w:rFonts w:asciiTheme="majorEastAsia" w:eastAsiaTheme="majorEastAsia" w:hAnsiTheme="majorEastAsia" w:cstheme="majorEastAsia" w:hint="eastAsia"/>
        </w:rPr>
        <w:t>的，价格扣除比例为</w:t>
      </w:r>
      <w:r>
        <w:rPr>
          <w:rFonts w:asciiTheme="majorEastAsia" w:eastAsiaTheme="majorEastAsia" w:hAnsiTheme="majorEastAsia" w:cstheme="majorEastAsia" w:hint="eastAsia"/>
        </w:rPr>
        <w:t>10%</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（不接受联合体投标的项目，本条不适用）</w:t>
      </w:r>
      <w:r>
        <w:rPr>
          <w:rFonts w:asciiTheme="majorEastAsia" w:eastAsiaTheme="majorEastAsia" w:hAnsiTheme="majorEastAsia" w:cstheme="majorEastAsia" w:hint="eastAsia"/>
        </w:rPr>
        <w:t>。</w:t>
      </w:r>
    </w:p>
    <w:p w:rsidR="008C0A47">
      <w:pPr>
        <w:spacing w:line="430" w:lineRule="exact"/>
        <w:ind w:firstLine="480" w:firstLineChars="200"/>
        <w:rPr>
          <w:rFonts w:asciiTheme="majorEastAsia" w:eastAsiaTheme="majorEastAsia" w:hAnsiTheme="majorEastAsia" w:cstheme="majorEastAsia"/>
        </w:rPr>
      </w:pPr>
      <w:r>
        <w:rPr>
          <w:rFonts w:asciiTheme="majorEastAsia" w:eastAsiaTheme="majorEastAsia" w:hAnsiTheme="majorEastAsia" w:cstheme="majorEastAsia" w:hint="eastAsia"/>
        </w:rPr>
        <w:t>3</w:t>
      </w:r>
      <w:r>
        <w:rPr>
          <w:rFonts w:asciiTheme="majorEastAsia" w:eastAsiaTheme="majorEastAsia" w:hAnsiTheme="majorEastAsia" w:cstheme="majorEastAsia" w:hint="eastAsia"/>
        </w:rPr>
        <w:t>、优惠主体资格的认定资料为《中小企业声明函》《残疾人福利性单位声明函》《监狱企业声明函》等承诺性质的资料（声明函样式见“第三章</w:t>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投标文件格式、附件”）；监狱企业如</w:t>
      </w:r>
      <w:r>
        <w:rPr>
          <w:rFonts w:asciiTheme="majorEastAsia" w:eastAsiaTheme="majorEastAsia" w:hAnsiTheme="majorEastAsia" w:cstheme="majorEastAsia" w:hint="eastAsia"/>
        </w:rPr>
        <w:t>需享受</w:t>
      </w:r>
      <w:r>
        <w:rPr>
          <w:rFonts w:asciiTheme="majorEastAsia" w:eastAsiaTheme="majorEastAsia" w:hAnsiTheme="majorEastAsia" w:cstheme="majorEastAsia" w:hint="eastAsia"/>
        </w:rPr>
        <w:t>优惠政策，除上述资料外，还须提供省级以上监狱管理局、戒毒管理局出具的监狱企业证明文件。</w:t>
      </w:r>
    </w:p>
    <w:p w:rsidR="008C0A47">
      <w:pPr>
        <w:spacing w:line="430" w:lineRule="exact"/>
        <w:ind w:firstLine="470" w:firstLineChars="196"/>
        <w:rPr>
          <w:rFonts w:asciiTheme="majorEastAsia" w:eastAsiaTheme="majorEastAsia" w:hAnsiTheme="majorEastAsia" w:cstheme="majorEastAsia"/>
          <w:b/>
          <w:bCs/>
        </w:rPr>
      </w:pPr>
      <w:r>
        <w:rPr>
          <w:rFonts w:asciiTheme="majorEastAsia" w:eastAsiaTheme="majorEastAsia" w:hAnsiTheme="majorEastAsia" w:cstheme="majorEastAsia" w:hint="eastAsia"/>
          <w:b/>
          <w:bCs/>
        </w:rPr>
        <w:t>三、失信供应商的价格上浮</w:t>
      </w:r>
    </w:p>
    <w:p w:rsidR="008C0A47">
      <w:pPr>
        <w:spacing w:line="430" w:lineRule="exact"/>
        <w:ind w:firstLine="480" w:firstLineChars="200"/>
        <w:rPr>
          <w:rFonts w:asciiTheme="majorEastAsia" w:eastAsiaTheme="majorEastAsia" w:hAnsiTheme="majorEastAsia" w:cstheme="majorEastAsia"/>
        </w:rPr>
      </w:pPr>
      <w:r>
        <w:rPr>
          <w:rFonts w:asciiTheme="majorEastAsia" w:eastAsiaTheme="majorEastAsia" w:hAnsiTheme="majorEastAsia" w:cstheme="majorEastAsia" w:hint="eastAsia"/>
        </w:rPr>
        <w:t>采取价格评比法（比如最低价法）的项目，投标人</w:t>
      </w:r>
      <w:r>
        <w:rPr>
          <w:rFonts w:asciiTheme="majorEastAsia" w:eastAsiaTheme="majorEastAsia" w:hAnsiTheme="majorEastAsia" w:cstheme="majorEastAsia" w:hint="eastAsia"/>
          <w:szCs w:val="21"/>
        </w:rPr>
        <w:t>在参与政府采购活动中存在诚信相关问题且在主</w:t>
      </w:r>
      <w:r>
        <w:rPr>
          <w:rFonts w:asciiTheme="majorEastAsia" w:eastAsiaTheme="majorEastAsia" w:hAnsiTheme="majorEastAsia" w:cstheme="majorEastAsia" w:hint="eastAsia"/>
        </w:rPr>
        <w:t>管部门相关处理措施实施期限内</w:t>
      </w:r>
      <w:r>
        <w:rPr>
          <w:rFonts w:asciiTheme="majorEastAsia" w:eastAsiaTheme="majorEastAsia" w:hAnsiTheme="majorEastAsia" w:cstheme="majorEastAsia" w:hint="eastAsia"/>
        </w:rPr>
        <w:t>的，在该企业投标报价的基础</w:t>
      </w:r>
      <w:r>
        <w:rPr>
          <w:rFonts w:asciiTheme="majorEastAsia" w:eastAsiaTheme="majorEastAsia" w:hAnsiTheme="majorEastAsia" w:cstheme="majorEastAsia" w:hint="eastAsia"/>
        </w:rPr>
        <w:t>上</w:t>
      </w:r>
      <w:r>
        <w:rPr>
          <w:rFonts w:asciiTheme="majorEastAsia" w:eastAsiaTheme="majorEastAsia" w:hAnsiTheme="majorEastAsia" w:cstheme="majorEastAsia" w:hint="eastAsia"/>
        </w:rPr>
        <w:t>上浮</w:t>
      </w:r>
      <w:r>
        <w:rPr>
          <w:rFonts w:asciiTheme="majorEastAsia" w:eastAsiaTheme="majorEastAsia" w:hAnsiTheme="majorEastAsia" w:cstheme="majorEastAsia" w:hint="eastAsia"/>
        </w:rPr>
        <w:t>10%</w:t>
      </w:r>
      <w:r>
        <w:rPr>
          <w:rFonts w:asciiTheme="majorEastAsia" w:eastAsiaTheme="majorEastAsia" w:hAnsiTheme="majorEastAsia" w:cstheme="majorEastAsia" w:hint="eastAsia"/>
        </w:rPr>
        <w:t>后参与价格评比。失信供应</w:t>
      </w:r>
      <w:r>
        <w:rPr>
          <w:rFonts w:asciiTheme="majorEastAsia" w:eastAsiaTheme="majorEastAsia" w:hAnsiTheme="majorEastAsia" w:cstheme="majorEastAsia" w:hint="eastAsia"/>
        </w:rPr>
        <w:t>商符合</w:t>
      </w:r>
      <w:r>
        <w:rPr>
          <w:rFonts w:asciiTheme="majorEastAsia" w:eastAsiaTheme="majorEastAsia" w:hAnsiTheme="majorEastAsia" w:cstheme="majorEastAsia" w:hint="eastAsia"/>
        </w:rPr>
        <w:t>优惠主体资格的，价格扣除和价格上浮一并执行。</w:t>
      </w:r>
    </w:p>
    <w:p w:rsidR="008C0A47">
      <w:pPr>
        <w:spacing w:line="430" w:lineRule="exact"/>
        <w:ind w:firstLine="470" w:firstLineChars="196"/>
        <w:rPr>
          <w:rFonts w:asciiTheme="majorEastAsia" w:eastAsiaTheme="majorEastAsia" w:hAnsiTheme="majorEastAsia" w:cstheme="majorEastAsia"/>
          <w:b/>
          <w:bCs/>
        </w:rPr>
      </w:pPr>
      <w:r>
        <w:rPr>
          <w:rFonts w:asciiTheme="majorEastAsia" w:eastAsiaTheme="majorEastAsia" w:hAnsiTheme="majorEastAsia" w:cstheme="majorEastAsia" w:hint="eastAsia"/>
          <w:b/>
          <w:bCs/>
        </w:rPr>
        <w:t>四、评分标准</w:t>
      </w:r>
    </w:p>
    <w:tbl>
      <w:tblPr>
        <w:tblStyle w:val="TableNormal"/>
        <w:tblW w:w="94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065"/>
        <w:gridCol w:w="1125"/>
        <w:gridCol w:w="719"/>
        <w:gridCol w:w="58"/>
        <w:gridCol w:w="4821"/>
        <w:gridCol w:w="1612"/>
      </w:tblGrid>
      <w:tr>
        <w:tblPrEx>
          <w:tblW w:w="94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Ex>
        <w:trPr>
          <w:trHeight w:val="480"/>
          <w:jc w:val="center"/>
        </w:trPr>
        <w:tc>
          <w:tcPr>
            <w:tcW w:w="7788" w:type="dxa"/>
            <w:gridSpan w:val="5"/>
            <w:tcBorders>
              <w:top w:val="single" w:sz="6" w:space="0" w:color="auto"/>
              <w:left w:val="single" w:sz="6" w:space="0" w:color="auto"/>
              <w:bottom w:val="single" w:sz="6" w:space="0" w:color="auto"/>
              <w:right w:val="single" w:sz="6" w:space="0" w:color="auto"/>
            </w:tcBorders>
            <w:vAlign w:val="center"/>
          </w:tcPr>
          <w:p w:rsidR="008C0A47">
            <w:pPr>
              <w:autoSpaceDE w:val="0"/>
              <w:autoSpaceDN w:val="0"/>
              <w:adjustRightInd w:val="0"/>
              <w:jc w:val="center"/>
              <w:rPr>
                <w:rFonts w:ascii="宋体" w:hAnsi="宋体" w:cs="宋体"/>
                <w:b/>
                <w:szCs w:val="21"/>
              </w:rPr>
            </w:pPr>
            <w:r>
              <w:rPr>
                <w:rFonts w:ascii="宋体" w:hAnsi="宋体" w:cs="宋体" w:hint="eastAsia"/>
                <w:b/>
                <w:szCs w:val="21"/>
              </w:rPr>
              <w:t>评分项及评分规则</w:t>
            </w:r>
          </w:p>
        </w:tc>
        <w:tc>
          <w:tcPr>
            <w:tcW w:w="1612" w:type="dxa"/>
            <w:tcBorders>
              <w:top w:val="single" w:sz="6" w:space="0" w:color="auto"/>
              <w:left w:val="nil"/>
              <w:bottom w:val="single" w:sz="6" w:space="0" w:color="auto"/>
              <w:right w:val="single" w:sz="6" w:space="0" w:color="auto"/>
            </w:tcBorders>
            <w:vAlign w:val="center"/>
          </w:tcPr>
          <w:p w:rsidR="008C0A47">
            <w:pPr>
              <w:autoSpaceDE w:val="0"/>
              <w:autoSpaceDN w:val="0"/>
              <w:adjustRightInd w:val="0"/>
              <w:rPr>
                <w:rFonts w:ascii="宋体" w:hAnsi="宋体" w:cs="宋体"/>
                <w:b/>
                <w:szCs w:val="21"/>
              </w:rPr>
            </w:pPr>
            <w:r>
              <w:rPr>
                <w:rFonts w:ascii="宋体" w:hAnsi="宋体" w:cs="宋体" w:hint="eastAsia"/>
                <w:b/>
                <w:szCs w:val="21"/>
              </w:rPr>
              <w:t>权重</w:t>
            </w:r>
          </w:p>
        </w:tc>
      </w:tr>
      <w:tr>
        <w:tblPrEx>
          <w:tblW w:w="9400" w:type="dxa"/>
          <w:jc w:val="center"/>
          <w:tblLayout w:type="fixed"/>
          <w:tblLook w:val="04A0"/>
        </w:tblPrEx>
        <w:trPr>
          <w:trHeight w:val="480"/>
          <w:jc w:val="center"/>
        </w:trPr>
        <w:tc>
          <w:tcPr>
            <w:tcW w:w="7788" w:type="dxa"/>
            <w:gridSpan w:val="5"/>
            <w:tcBorders>
              <w:top w:val="single" w:sz="6" w:space="0" w:color="auto"/>
              <w:left w:val="single" w:sz="6" w:space="0" w:color="auto"/>
              <w:bottom w:val="single" w:sz="6" w:space="0" w:color="auto"/>
              <w:right w:val="single" w:sz="6" w:space="0" w:color="auto"/>
            </w:tcBorders>
            <w:vAlign w:val="center"/>
          </w:tcPr>
          <w:p w:rsidR="008C0A47">
            <w:pPr>
              <w:autoSpaceDE w:val="0"/>
              <w:autoSpaceDN w:val="0"/>
              <w:adjustRightInd w:val="0"/>
              <w:jc w:val="center"/>
              <w:rPr>
                <w:rFonts w:ascii="宋体" w:hAnsi="宋体" w:cs="宋体"/>
                <w:b/>
                <w:szCs w:val="21"/>
              </w:rPr>
            </w:pPr>
            <w:r>
              <w:rPr>
                <w:rFonts w:ascii="宋体" w:hAnsi="宋体" w:cs="宋体" w:hint="eastAsia"/>
                <w:b/>
                <w:szCs w:val="21"/>
              </w:rPr>
              <w:t>一、价格部分</w:t>
            </w:r>
          </w:p>
        </w:tc>
        <w:tc>
          <w:tcPr>
            <w:tcW w:w="1612" w:type="dxa"/>
            <w:tcBorders>
              <w:top w:val="single" w:sz="6" w:space="0" w:color="auto"/>
              <w:left w:val="nil"/>
              <w:bottom w:val="single" w:sz="6" w:space="0" w:color="auto"/>
              <w:right w:val="single" w:sz="6" w:space="0" w:color="auto"/>
            </w:tcBorders>
            <w:vAlign w:val="center"/>
          </w:tcPr>
          <w:p w:rsidR="008C0A47">
            <w:pPr>
              <w:autoSpaceDE w:val="0"/>
              <w:autoSpaceDN w:val="0"/>
              <w:adjustRightInd w:val="0"/>
              <w:jc w:val="center"/>
              <w:rPr>
                <w:rFonts w:ascii="宋体" w:hAnsi="宋体" w:cs="宋体"/>
                <w:szCs w:val="21"/>
              </w:rPr>
            </w:pPr>
            <w:r>
              <w:rPr>
                <w:rFonts w:ascii="宋体" w:hAnsi="宋体" w:cs="宋体" w:hint="eastAsia"/>
                <w:szCs w:val="21"/>
              </w:rPr>
              <w:t>10</w:t>
            </w:r>
          </w:p>
        </w:tc>
      </w:tr>
      <w:tr>
        <w:tblPrEx>
          <w:tblW w:w="9400" w:type="dxa"/>
          <w:jc w:val="center"/>
          <w:tblLayout w:type="fixed"/>
          <w:tblLook w:val="04A0"/>
        </w:tblPrEx>
        <w:trPr>
          <w:trHeight w:val="689"/>
          <w:jc w:val="center"/>
        </w:trPr>
        <w:tc>
          <w:tcPr>
            <w:tcW w:w="7788" w:type="dxa"/>
            <w:gridSpan w:val="5"/>
            <w:tcBorders>
              <w:top w:val="single" w:sz="6" w:space="0" w:color="auto"/>
              <w:left w:val="single" w:sz="6" w:space="0" w:color="auto"/>
              <w:bottom w:val="single" w:sz="6" w:space="0" w:color="auto"/>
              <w:right w:val="single" w:sz="6" w:space="0" w:color="auto"/>
            </w:tcBorders>
            <w:vAlign w:val="center"/>
          </w:tcPr>
          <w:p w:rsidR="008C0A47">
            <w:pPr>
              <w:autoSpaceDE w:val="0"/>
              <w:autoSpaceDN w:val="0"/>
              <w:adjustRightInd w:val="0"/>
              <w:jc w:val="left"/>
              <w:rPr>
                <w:rFonts w:ascii="宋体" w:hAnsi="宋体" w:cs="宋体"/>
                <w:szCs w:val="21"/>
              </w:rPr>
            </w:pPr>
            <w:r>
              <w:rPr>
                <w:rFonts w:ascii="宋体" w:hAnsi="宋体" w:cs="宋体" w:hint="eastAsia"/>
                <w:szCs w:val="21"/>
              </w:rPr>
              <w:t>采用低价优先法计算，即满足招标文件要求且投标价格最低的投标报价为评标基准价，其价格分为满分。其他投标人的价格</w:t>
            </w:r>
            <w:r>
              <w:rPr>
                <w:rFonts w:ascii="宋体" w:hAnsi="宋体" w:cs="宋体" w:hint="eastAsia"/>
                <w:szCs w:val="21"/>
              </w:rPr>
              <w:t>分统一</w:t>
            </w:r>
            <w:r>
              <w:rPr>
                <w:rFonts w:ascii="宋体" w:hAnsi="宋体" w:cs="宋体" w:hint="eastAsia"/>
                <w:szCs w:val="21"/>
              </w:rPr>
              <w:t>按照下列公式计算：</w:t>
            </w:r>
            <w:r>
              <w:rPr>
                <w:rFonts w:ascii="宋体" w:hAnsi="宋体" w:cs="宋体" w:hint="eastAsia"/>
                <w:szCs w:val="21"/>
              </w:rPr>
              <w:br/>
              <w:t xml:space="preserve">    </w:t>
            </w:r>
            <w:r>
              <w:rPr>
                <w:rFonts w:ascii="宋体" w:hAnsi="宋体" w:cs="宋体" w:hint="eastAsia"/>
                <w:szCs w:val="21"/>
              </w:rPr>
              <w:t>投标报价得分</w:t>
            </w:r>
            <w:r>
              <w:rPr>
                <w:rFonts w:ascii="宋体" w:hAnsi="宋体" w:cs="宋体" w:hint="eastAsia"/>
                <w:szCs w:val="21"/>
              </w:rPr>
              <w:t>=(</w:t>
            </w:r>
            <w:r>
              <w:rPr>
                <w:rFonts w:ascii="宋体" w:hAnsi="宋体" w:cs="宋体" w:hint="eastAsia"/>
                <w:szCs w:val="21"/>
              </w:rPr>
              <w:t>评标基准价／投标报价</w:t>
            </w:r>
            <w:r>
              <w:rPr>
                <w:rFonts w:ascii="宋体" w:hAnsi="宋体" w:cs="宋体" w:hint="eastAsia"/>
                <w:szCs w:val="21"/>
              </w:rPr>
              <w:t>)</w:t>
            </w:r>
            <w:r>
              <w:rPr>
                <w:rFonts w:ascii="宋体" w:hAnsi="宋体" w:cs="宋体" w:hint="eastAsia"/>
                <w:szCs w:val="21"/>
              </w:rPr>
              <w:t>×</w:t>
            </w:r>
            <w:r>
              <w:rPr>
                <w:rFonts w:ascii="宋体" w:hAnsi="宋体" w:cs="宋体" w:hint="eastAsia"/>
                <w:szCs w:val="21"/>
              </w:rPr>
              <w:t xml:space="preserve">100 </w:t>
            </w:r>
          </w:p>
        </w:tc>
        <w:tc>
          <w:tcPr>
            <w:tcW w:w="1612" w:type="dxa"/>
            <w:tcBorders>
              <w:top w:val="single" w:sz="6" w:space="0" w:color="auto"/>
              <w:left w:val="nil"/>
              <w:bottom w:val="single" w:sz="6" w:space="0" w:color="auto"/>
              <w:right w:val="single" w:sz="6" w:space="0" w:color="auto"/>
            </w:tcBorders>
            <w:vAlign w:val="center"/>
          </w:tcPr>
          <w:p w:rsidR="008C0A47">
            <w:pPr>
              <w:autoSpaceDE w:val="0"/>
              <w:autoSpaceDN w:val="0"/>
              <w:adjustRightInd w:val="0"/>
              <w:jc w:val="center"/>
              <w:rPr>
                <w:rFonts w:ascii="宋体" w:hAnsi="宋体" w:cs="宋体"/>
                <w:szCs w:val="21"/>
              </w:rPr>
            </w:pPr>
            <w:r>
              <w:rPr>
                <w:rFonts w:ascii="宋体" w:hAnsi="宋体" w:cs="宋体" w:hint="eastAsia"/>
                <w:szCs w:val="21"/>
              </w:rPr>
              <w:t>评分方式</w:t>
            </w:r>
          </w:p>
          <w:p w:rsidR="008C0A47">
            <w:pPr>
              <w:autoSpaceDE w:val="0"/>
              <w:autoSpaceDN w:val="0"/>
              <w:adjustRightInd w:val="0"/>
              <w:jc w:val="center"/>
              <w:rPr>
                <w:rFonts w:ascii="宋体" w:hAnsi="宋体" w:cs="宋体"/>
                <w:szCs w:val="21"/>
              </w:rPr>
            </w:pPr>
            <w:r>
              <w:rPr>
                <w:rFonts w:ascii="宋体" w:hAnsi="宋体" w:cs="宋体" w:hint="eastAsia"/>
                <w:szCs w:val="21"/>
              </w:rPr>
              <w:t>按公式计算</w:t>
            </w:r>
          </w:p>
        </w:tc>
      </w:tr>
      <w:tr>
        <w:tblPrEx>
          <w:tblW w:w="9400" w:type="dxa"/>
          <w:jc w:val="center"/>
          <w:tblLayout w:type="fixed"/>
          <w:tblLook w:val="04A0"/>
        </w:tblPrEx>
        <w:trPr>
          <w:trHeight w:val="480"/>
          <w:jc w:val="center"/>
        </w:trPr>
        <w:tc>
          <w:tcPr>
            <w:tcW w:w="7788" w:type="dxa"/>
            <w:gridSpan w:val="5"/>
            <w:tcBorders>
              <w:top w:val="single" w:sz="6" w:space="0" w:color="auto"/>
              <w:left w:val="single" w:sz="6" w:space="0" w:color="auto"/>
              <w:bottom w:val="single" w:sz="6" w:space="0" w:color="auto"/>
              <w:right w:val="single" w:sz="6" w:space="0" w:color="auto"/>
            </w:tcBorders>
            <w:vAlign w:val="center"/>
          </w:tcPr>
          <w:p w:rsidR="008C0A47">
            <w:pPr>
              <w:autoSpaceDE w:val="0"/>
              <w:autoSpaceDN w:val="0"/>
              <w:adjustRightInd w:val="0"/>
              <w:jc w:val="center"/>
              <w:rPr>
                <w:rFonts w:ascii="宋体" w:hAnsi="宋体" w:cs="宋体"/>
                <w:b/>
                <w:szCs w:val="21"/>
              </w:rPr>
            </w:pPr>
            <w:r>
              <w:rPr>
                <w:rFonts w:ascii="宋体" w:hAnsi="宋体" w:cs="宋体" w:hint="eastAsia"/>
                <w:b/>
                <w:szCs w:val="21"/>
              </w:rPr>
              <w:t>二、商务部分</w:t>
            </w:r>
          </w:p>
        </w:tc>
        <w:tc>
          <w:tcPr>
            <w:tcW w:w="1612" w:type="dxa"/>
            <w:tcBorders>
              <w:top w:val="single" w:sz="6" w:space="0" w:color="auto"/>
              <w:left w:val="nil"/>
              <w:bottom w:val="single" w:sz="6" w:space="0" w:color="auto"/>
              <w:right w:val="single" w:sz="6" w:space="0" w:color="auto"/>
            </w:tcBorders>
            <w:vAlign w:val="center"/>
          </w:tcPr>
          <w:p w:rsidR="008C0A47">
            <w:pPr>
              <w:autoSpaceDE w:val="0"/>
              <w:autoSpaceDN w:val="0"/>
              <w:adjustRightInd w:val="0"/>
              <w:jc w:val="center"/>
              <w:rPr>
                <w:rFonts w:ascii="宋体" w:hAnsi="宋体" w:cs="宋体"/>
                <w:szCs w:val="21"/>
              </w:rPr>
            </w:pPr>
            <w:r>
              <w:rPr>
                <w:rFonts w:ascii="宋体" w:hAnsi="宋体" w:cs="宋体" w:hint="eastAsia"/>
                <w:szCs w:val="21"/>
              </w:rPr>
              <w:t>7</w:t>
            </w:r>
            <w:r>
              <w:rPr>
                <w:rFonts w:ascii="宋体" w:hAnsi="宋体" w:cs="宋体" w:hint="eastAsia"/>
                <w:szCs w:val="21"/>
              </w:rPr>
              <w:t>5</w:t>
            </w:r>
          </w:p>
        </w:tc>
      </w:tr>
      <w:tr>
        <w:tblPrEx>
          <w:tblW w:w="9400" w:type="dxa"/>
          <w:jc w:val="center"/>
          <w:tblLayout w:type="fixed"/>
          <w:tblLook w:val="04A0"/>
        </w:tblPrEx>
        <w:trPr>
          <w:trHeight w:val="480"/>
          <w:jc w:val="center"/>
        </w:trPr>
        <w:tc>
          <w:tcPr>
            <w:tcW w:w="1065" w:type="dxa"/>
            <w:tcBorders>
              <w:top w:val="single" w:sz="6" w:space="0" w:color="auto"/>
              <w:left w:val="single" w:sz="6" w:space="0" w:color="auto"/>
              <w:bottom w:val="single" w:sz="6" w:space="0" w:color="auto"/>
              <w:right w:val="single" w:sz="6" w:space="0" w:color="auto"/>
            </w:tcBorders>
            <w:vAlign w:val="center"/>
          </w:tcPr>
          <w:p w:rsidR="008C0A47">
            <w:pPr>
              <w:autoSpaceDE w:val="0"/>
              <w:autoSpaceDN w:val="0"/>
              <w:adjustRightInd w:val="0"/>
              <w:jc w:val="center"/>
              <w:rPr>
                <w:rFonts w:ascii="宋体" w:hAnsi="宋体" w:cs="宋体"/>
                <w:szCs w:val="21"/>
              </w:rPr>
            </w:pPr>
            <w:r>
              <w:rPr>
                <w:rFonts w:ascii="宋体" w:hAnsi="宋体" w:cs="宋体" w:hint="eastAsia"/>
                <w:szCs w:val="21"/>
              </w:rPr>
              <w:t>序号</w:t>
            </w:r>
          </w:p>
        </w:tc>
        <w:tc>
          <w:tcPr>
            <w:tcW w:w="1125" w:type="dxa"/>
            <w:tcBorders>
              <w:top w:val="single" w:sz="6" w:space="0" w:color="auto"/>
              <w:left w:val="nil"/>
              <w:bottom w:val="single" w:sz="6" w:space="0" w:color="auto"/>
              <w:right w:val="single" w:sz="6" w:space="0" w:color="auto"/>
            </w:tcBorders>
            <w:vAlign w:val="center"/>
          </w:tcPr>
          <w:p w:rsidR="008C0A47">
            <w:pPr>
              <w:autoSpaceDE w:val="0"/>
              <w:autoSpaceDN w:val="0"/>
              <w:adjustRightInd w:val="0"/>
              <w:jc w:val="center"/>
              <w:rPr>
                <w:rFonts w:ascii="宋体" w:hAnsi="宋体" w:cs="宋体"/>
                <w:szCs w:val="21"/>
              </w:rPr>
            </w:pPr>
            <w:r>
              <w:rPr>
                <w:rFonts w:ascii="宋体" w:hAnsi="宋体" w:cs="宋体" w:hint="eastAsia"/>
                <w:szCs w:val="21"/>
              </w:rPr>
              <w:t>内容</w:t>
            </w:r>
          </w:p>
        </w:tc>
        <w:tc>
          <w:tcPr>
            <w:tcW w:w="719" w:type="dxa"/>
            <w:tcBorders>
              <w:top w:val="single" w:sz="6" w:space="0" w:color="auto"/>
              <w:left w:val="nil"/>
              <w:bottom w:val="single" w:sz="6" w:space="0" w:color="auto"/>
              <w:right w:val="single" w:sz="6" w:space="0" w:color="auto"/>
            </w:tcBorders>
            <w:vAlign w:val="center"/>
          </w:tcPr>
          <w:p w:rsidR="008C0A47">
            <w:pPr>
              <w:autoSpaceDE w:val="0"/>
              <w:autoSpaceDN w:val="0"/>
              <w:adjustRightInd w:val="0"/>
              <w:jc w:val="center"/>
              <w:rPr>
                <w:rFonts w:ascii="宋体" w:hAnsi="宋体" w:cs="宋体"/>
                <w:szCs w:val="21"/>
              </w:rPr>
            </w:pPr>
            <w:r>
              <w:rPr>
                <w:rFonts w:ascii="宋体" w:hAnsi="宋体" w:cs="宋体" w:hint="eastAsia"/>
                <w:szCs w:val="21"/>
              </w:rPr>
              <w:t>权重</w:t>
            </w:r>
          </w:p>
        </w:tc>
        <w:tc>
          <w:tcPr>
            <w:tcW w:w="4879" w:type="dxa"/>
            <w:gridSpan w:val="2"/>
            <w:tcBorders>
              <w:top w:val="single" w:sz="6" w:space="0" w:color="auto"/>
              <w:left w:val="nil"/>
              <w:bottom w:val="single" w:sz="6" w:space="0" w:color="auto"/>
              <w:right w:val="single" w:sz="6" w:space="0" w:color="auto"/>
            </w:tcBorders>
            <w:vAlign w:val="center"/>
          </w:tcPr>
          <w:p w:rsidR="008C0A47">
            <w:pPr>
              <w:autoSpaceDE w:val="0"/>
              <w:autoSpaceDN w:val="0"/>
              <w:adjustRightInd w:val="0"/>
              <w:jc w:val="center"/>
              <w:rPr>
                <w:rFonts w:ascii="宋体" w:hAnsi="宋体" w:cs="宋体"/>
                <w:szCs w:val="21"/>
              </w:rPr>
            </w:pPr>
            <w:r>
              <w:rPr>
                <w:rFonts w:ascii="宋体" w:hAnsi="宋体" w:cs="宋体" w:hint="eastAsia"/>
                <w:szCs w:val="21"/>
              </w:rPr>
              <w:t>评分规则</w:t>
            </w:r>
          </w:p>
        </w:tc>
        <w:tc>
          <w:tcPr>
            <w:tcW w:w="1612" w:type="dxa"/>
            <w:tcBorders>
              <w:top w:val="single" w:sz="6" w:space="0" w:color="auto"/>
              <w:left w:val="nil"/>
              <w:bottom w:val="single" w:sz="6" w:space="0" w:color="auto"/>
              <w:right w:val="single" w:sz="6" w:space="0" w:color="auto"/>
            </w:tcBorders>
            <w:vAlign w:val="center"/>
          </w:tcPr>
          <w:p w:rsidR="008C0A47">
            <w:pPr>
              <w:autoSpaceDE w:val="0"/>
              <w:autoSpaceDN w:val="0"/>
              <w:adjustRightInd w:val="0"/>
              <w:jc w:val="center"/>
              <w:rPr>
                <w:rFonts w:ascii="宋体" w:hAnsi="宋体" w:cs="宋体"/>
                <w:szCs w:val="21"/>
              </w:rPr>
            </w:pPr>
            <w:r>
              <w:rPr>
                <w:rFonts w:ascii="宋体" w:hAnsi="宋体" w:cs="宋体" w:hint="eastAsia"/>
                <w:szCs w:val="21"/>
              </w:rPr>
              <w:t>评分方式</w:t>
            </w:r>
          </w:p>
        </w:tc>
      </w:tr>
      <w:tr>
        <w:tblPrEx>
          <w:tblW w:w="9400" w:type="dxa"/>
          <w:jc w:val="center"/>
          <w:tblLayout w:type="fixed"/>
          <w:tblLook w:val="04A0"/>
        </w:tblPrEx>
        <w:trPr>
          <w:trHeight w:val="480"/>
          <w:jc w:val="center"/>
        </w:trPr>
        <w:tc>
          <w:tcPr>
            <w:tcW w:w="1065" w:type="dxa"/>
            <w:tcBorders>
              <w:top w:val="single" w:sz="6" w:space="0" w:color="auto"/>
              <w:left w:val="single" w:sz="6" w:space="0" w:color="auto"/>
              <w:bottom w:val="single" w:sz="6" w:space="0" w:color="auto"/>
              <w:right w:val="single" w:sz="6" w:space="0" w:color="auto"/>
            </w:tcBorders>
            <w:vAlign w:val="center"/>
          </w:tcPr>
          <w:p w:rsidR="008C0A47">
            <w:pPr>
              <w:autoSpaceDE w:val="0"/>
              <w:autoSpaceDN w:val="0"/>
              <w:adjustRightInd w:val="0"/>
              <w:jc w:val="center"/>
              <w:rPr>
                <w:rFonts w:ascii="宋体" w:hAnsi="宋体" w:cs="宋体"/>
                <w:szCs w:val="21"/>
              </w:rPr>
            </w:pPr>
            <w:r>
              <w:rPr>
                <w:rFonts w:ascii="宋体" w:hAnsi="宋体" w:cs="宋体" w:hint="eastAsia"/>
                <w:szCs w:val="21"/>
              </w:rPr>
              <w:t>1</w:t>
            </w:r>
          </w:p>
        </w:tc>
        <w:tc>
          <w:tcPr>
            <w:tcW w:w="1125" w:type="dxa"/>
            <w:tcBorders>
              <w:top w:val="single" w:sz="6" w:space="0" w:color="auto"/>
              <w:left w:val="nil"/>
              <w:bottom w:val="single" w:sz="6" w:space="0" w:color="auto"/>
              <w:right w:val="single" w:sz="6" w:space="0" w:color="auto"/>
            </w:tcBorders>
            <w:vAlign w:val="center"/>
          </w:tcPr>
          <w:p w:rsidR="008C0A47">
            <w:pPr>
              <w:autoSpaceDE w:val="0"/>
              <w:autoSpaceDN w:val="0"/>
              <w:adjustRightInd w:val="0"/>
              <w:jc w:val="center"/>
              <w:rPr>
                <w:rFonts w:ascii="宋体" w:hAnsi="宋体" w:cs="宋体"/>
                <w:szCs w:val="21"/>
              </w:rPr>
            </w:pPr>
            <w:r>
              <w:rPr>
                <w:rFonts w:ascii="宋体" w:hAnsi="宋体" w:cs="宋体" w:hint="eastAsia"/>
                <w:szCs w:val="21"/>
              </w:rPr>
              <w:t>投标人所获荣誉</w:t>
            </w:r>
          </w:p>
        </w:tc>
        <w:tc>
          <w:tcPr>
            <w:tcW w:w="719" w:type="dxa"/>
            <w:tcBorders>
              <w:top w:val="single" w:sz="6" w:space="0" w:color="auto"/>
              <w:left w:val="nil"/>
              <w:bottom w:val="single" w:sz="6" w:space="0" w:color="auto"/>
              <w:right w:val="single" w:sz="6" w:space="0" w:color="auto"/>
            </w:tcBorders>
            <w:vAlign w:val="center"/>
          </w:tcPr>
          <w:p w:rsidR="008C0A47">
            <w:pPr>
              <w:autoSpaceDE w:val="0"/>
              <w:autoSpaceDN w:val="0"/>
              <w:adjustRightInd w:val="0"/>
              <w:jc w:val="center"/>
              <w:rPr>
                <w:rFonts w:ascii="宋体" w:hAnsi="宋体" w:cs="宋体"/>
                <w:szCs w:val="21"/>
              </w:rPr>
            </w:pPr>
            <w:r>
              <w:rPr>
                <w:rFonts w:ascii="宋体" w:hAnsi="宋体" w:cs="宋体" w:hint="eastAsia"/>
                <w:szCs w:val="21"/>
              </w:rPr>
              <w:t>15</w:t>
            </w:r>
          </w:p>
        </w:tc>
        <w:tc>
          <w:tcPr>
            <w:tcW w:w="4879" w:type="dxa"/>
            <w:gridSpan w:val="2"/>
            <w:tcBorders>
              <w:top w:val="single" w:sz="6" w:space="0" w:color="auto"/>
              <w:left w:val="nil"/>
              <w:bottom w:val="single" w:sz="6" w:space="0" w:color="auto"/>
              <w:right w:val="single" w:sz="6" w:space="0" w:color="auto"/>
            </w:tcBorders>
            <w:vAlign w:val="center"/>
          </w:tcPr>
          <w:p w:rsidR="008C0A47">
            <w:pPr>
              <w:autoSpaceDE w:val="0"/>
              <w:autoSpaceDN w:val="0"/>
              <w:adjustRightInd w:val="0"/>
              <w:jc w:val="left"/>
              <w:rPr>
                <w:rFonts w:ascii="宋体" w:hAnsi="宋体" w:cs="宋体"/>
                <w:b/>
                <w:szCs w:val="21"/>
              </w:rPr>
            </w:pPr>
            <w:r>
              <w:rPr>
                <w:rFonts w:ascii="宋体" w:hAnsi="宋体" w:cs="宋体" w:hint="eastAsia"/>
                <w:b/>
                <w:szCs w:val="21"/>
              </w:rPr>
              <w:t>1.</w:t>
            </w:r>
            <w:r>
              <w:rPr>
                <w:rFonts w:ascii="宋体" w:hAnsi="宋体" w:cs="宋体" w:hint="eastAsia"/>
                <w:b/>
                <w:szCs w:val="21"/>
              </w:rPr>
              <w:t>评审标准：</w:t>
            </w:r>
            <w:r>
              <w:rPr>
                <w:rFonts w:ascii="宋体" w:hAnsi="宋体" w:cs="宋体" w:hint="eastAsia"/>
                <w:b/>
                <w:szCs w:val="21"/>
              </w:rPr>
              <w:t xml:space="preserve"> </w:t>
            </w:r>
          </w:p>
          <w:p w:rsidR="008C0A47">
            <w:pPr>
              <w:autoSpaceDE w:val="0"/>
              <w:autoSpaceDN w:val="0"/>
              <w:adjustRightInd w:val="0"/>
              <w:jc w:val="left"/>
              <w:rPr>
                <w:rFonts w:ascii="宋体" w:hAnsi="宋体" w:cs="宋体"/>
                <w:szCs w:val="21"/>
              </w:rPr>
            </w:pPr>
            <w:r>
              <w:rPr>
                <w:rFonts w:ascii="宋体" w:hAnsi="宋体" w:cs="宋体" w:hint="eastAsia"/>
                <w:szCs w:val="21"/>
              </w:rPr>
              <w:t>1</w:t>
            </w:r>
            <w:r>
              <w:rPr>
                <w:rFonts w:ascii="宋体" w:hAnsi="宋体" w:cs="宋体" w:hint="eastAsia"/>
                <w:szCs w:val="21"/>
              </w:rPr>
              <w:t>）投标人所获荣誉：</w:t>
            </w:r>
            <w:r>
              <w:rPr>
                <w:rFonts w:ascii="宋体" w:hAnsi="宋体" w:cs="宋体" w:hint="eastAsia"/>
                <w:szCs w:val="21"/>
              </w:rPr>
              <w:t xml:space="preserve"> </w:t>
            </w:r>
          </w:p>
          <w:p w:rsidR="008C0A47">
            <w:pPr>
              <w:autoSpaceDE w:val="0"/>
              <w:autoSpaceDN w:val="0"/>
              <w:adjustRightInd w:val="0"/>
              <w:jc w:val="left"/>
              <w:rPr>
                <w:rFonts w:ascii="宋体" w:hAnsi="宋体" w:cs="宋体"/>
                <w:szCs w:val="21"/>
              </w:rPr>
            </w:pPr>
            <w:r>
              <w:rPr>
                <w:rFonts w:ascii="宋体" w:hAnsi="宋体" w:cs="宋体" w:hint="eastAsia"/>
                <w:szCs w:val="21"/>
              </w:rPr>
              <w:t>投标人获得过国</w:t>
            </w:r>
            <w:r>
              <w:rPr>
                <w:rFonts w:ascii="宋体" w:hAnsi="宋体" w:cs="宋体" w:hint="eastAsia"/>
                <w:szCs w:val="21"/>
              </w:rPr>
              <w:t>家级优秀律所的得</w:t>
            </w:r>
            <w:r>
              <w:rPr>
                <w:rFonts w:ascii="宋体" w:hAnsi="宋体" w:cs="宋体" w:hint="eastAsia"/>
                <w:szCs w:val="21"/>
              </w:rPr>
              <w:t>60%</w:t>
            </w:r>
            <w:r>
              <w:rPr>
                <w:rFonts w:ascii="宋体" w:hAnsi="宋体" w:cs="宋体" w:hint="eastAsia"/>
                <w:szCs w:val="21"/>
              </w:rPr>
              <w:t>分；获得过省级优秀律所的得</w:t>
            </w:r>
            <w:r>
              <w:rPr>
                <w:rFonts w:ascii="宋体" w:hAnsi="宋体" w:cs="宋体" w:hint="eastAsia"/>
                <w:szCs w:val="21"/>
              </w:rPr>
              <w:t>30%</w:t>
            </w:r>
            <w:r>
              <w:rPr>
                <w:rFonts w:ascii="宋体" w:hAnsi="宋体" w:cs="宋体" w:hint="eastAsia"/>
                <w:szCs w:val="21"/>
              </w:rPr>
              <w:t>分，其余</w:t>
            </w:r>
            <w:r>
              <w:rPr>
                <w:rFonts w:ascii="宋体" w:hAnsi="宋体" w:cs="宋体" w:hint="eastAsia"/>
                <w:szCs w:val="21"/>
              </w:rPr>
              <w:t>不得分。同时获得国家级及省级优秀律所的按</w:t>
            </w:r>
            <w:r>
              <w:rPr>
                <w:rFonts w:ascii="宋体" w:hAnsi="宋体" w:cs="宋体" w:hint="eastAsia"/>
                <w:szCs w:val="21"/>
              </w:rPr>
              <w:t>得分高项得分</w:t>
            </w:r>
            <w:r>
              <w:rPr>
                <w:rFonts w:ascii="宋体" w:hAnsi="宋体" w:cs="宋体" w:hint="eastAsia"/>
                <w:szCs w:val="21"/>
              </w:rPr>
              <w:t>，不重复计分。</w:t>
            </w:r>
            <w:r>
              <w:rPr>
                <w:rFonts w:ascii="宋体" w:hAnsi="宋体" w:cs="宋体" w:hint="eastAsia"/>
                <w:szCs w:val="21"/>
              </w:rPr>
              <w:t>本小项最高得</w:t>
            </w:r>
            <w:r>
              <w:rPr>
                <w:rFonts w:ascii="宋体" w:hAnsi="宋体" w:cs="宋体" w:hint="eastAsia"/>
                <w:szCs w:val="21"/>
              </w:rPr>
              <w:t>60%</w:t>
            </w:r>
            <w:r>
              <w:rPr>
                <w:rFonts w:ascii="宋体" w:hAnsi="宋体" w:cs="宋体" w:hint="eastAsia"/>
                <w:szCs w:val="21"/>
              </w:rPr>
              <w:t>分。</w:t>
            </w:r>
          </w:p>
          <w:p w:rsidR="008C0A47">
            <w:pPr>
              <w:autoSpaceDE w:val="0"/>
              <w:autoSpaceDN w:val="0"/>
              <w:adjustRightInd w:val="0"/>
              <w:jc w:val="left"/>
              <w:rPr>
                <w:rFonts w:ascii="宋体" w:hAnsi="宋体" w:cs="宋体"/>
                <w:szCs w:val="21"/>
              </w:rPr>
            </w:pPr>
            <w:r>
              <w:rPr>
                <w:rFonts w:ascii="宋体" w:hAnsi="宋体" w:cs="宋体" w:hint="eastAsia"/>
                <w:szCs w:val="21"/>
              </w:rPr>
              <w:t>2</w:t>
            </w:r>
            <w:r>
              <w:rPr>
                <w:rFonts w:ascii="宋体" w:hAnsi="宋体" w:cs="宋体" w:hint="eastAsia"/>
                <w:szCs w:val="21"/>
              </w:rPr>
              <w:t>）投标人所获其他荣誉：</w:t>
            </w:r>
          </w:p>
          <w:p w:rsidR="008C0A47">
            <w:pPr>
              <w:autoSpaceDE w:val="0"/>
              <w:autoSpaceDN w:val="0"/>
              <w:adjustRightInd w:val="0"/>
              <w:jc w:val="left"/>
              <w:rPr>
                <w:rFonts w:ascii="宋体" w:hAnsi="宋体" w:cs="宋体"/>
                <w:szCs w:val="21"/>
              </w:rPr>
            </w:pPr>
            <w:r>
              <w:rPr>
                <w:rFonts w:ascii="宋体" w:hAnsi="宋体" w:cs="宋体" w:hint="eastAsia"/>
                <w:szCs w:val="21"/>
              </w:rPr>
              <w:t>投标人获得省级及以上律师行业党组织颁发的党组织荣誉；满足得</w:t>
            </w:r>
            <w:r>
              <w:rPr>
                <w:rFonts w:ascii="宋体" w:hAnsi="宋体" w:cs="宋体" w:hint="eastAsia"/>
                <w:szCs w:val="21"/>
              </w:rPr>
              <w:t>40%</w:t>
            </w:r>
            <w:r>
              <w:rPr>
                <w:rFonts w:ascii="宋体" w:hAnsi="宋体" w:cs="宋体" w:hint="eastAsia"/>
                <w:szCs w:val="21"/>
              </w:rPr>
              <w:t>分；</w:t>
            </w:r>
          </w:p>
          <w:p w:rsidR="008C0A47">
            <w:pPr>
              <w:autoSpaceDE w:val="0"/>
              <w:autoSpaceDN w:val="0"/>
              <w:adjustRightInd w:val="0"/>
              <w:jc w:val="left"/>
              <w:rPr>
                <w:rFonts w:ascii="宋体" w:hAnsi="宋体" w:cs="宋体"/>
                <w:szCs w:val="21"/>
              </w:rPr>
            </w:pPr>
            <w:r>
              <w:rPr>
                <w:rFonts w:ascii="宋体" w:hAnsi="宋体" w:cs="宋体" w:hint="eastAsia"/>
                <w:szCs w:val="21"/>
              </w:rPr>
              <w:t>2</w:t>
            </w:r>
            <w:r>
              <w:rPr>
                <w:rFonts w:ascii="宋体" w:hAnsi="宋体" w:cs="宋体" w:hint="eastAsia"/>
                <w:szCs w:val="21"/>
              </w:rPr>
              <w:t>、证明文件</w:t>
            </w:r>
            <w:r>
              <w:rPr>
                <w:rFonts w:ascii="宋体" w:hAnsi="宋体" w:cs="宋体" w:hint="eastAsia"/>
                <w:szCs w:val="21"/>
              </w:rPr>
              <w:t xml:space="preserve"> </w:t>
            </w:r>
          </w:p>
          <w:p w:rsidR="008C0A47">
            <w:pPr>
              <w:pStyle w:val="Heading2"/>
              <w:jc w:val="left"/>
              <w:rPr>
                <w:rFonts w:ascii="宋体" w:hAnsi="宋体" w:cs="宋体"/>
                <w:kern w:val="2"/>
                <w:sz w:val="21"/>
                <w:szCs w:val="21"/>
              </w:rPr>
            </w:pPr>
            <w:r>
              <w:rPr>
                <w:rFonts w:ascii="宋体" w:hAnsi="宋体" w:cs="宋体" w:hint="eastAsia"/>
                <w:kern w:val="2"/>
                <w:sz w:val="21"/>
                <w:szCs w:val="21"/>
              </w:rPr>
              <w:t>1</w:t>
            </w:r>
            <w:r>
              <w:rPr>
                <w:rFonts w:ascii="宋体" w:hAnsi="宋体" w:cs="宋体" w:hint="eastAsia"/>
                <w:kern w:val="2"/>
                <w:sz w:val="21"/>
                <w:szCs w:val="21"/>
              </w:rPr>
              <w:t>）律师事务所分所（办公室）参与投标的，需单独提供相关证明材料作为得分依据，提供总所相关证明材料的不得分；</w:t>
            </w:r>
          </w:p>
          <w:p w:rsidR="008C0A47">
            <w:pPr>
              <w:pStyle w:val="Heading2"/>
              <w:jc w:val="left"/>
              <w:rPr>
                <w:rFonts w:ascii="宋体" w:hAnsi="宋体" w:cs="宋体"/>
                <w:kern w:val="2"/>
                <w:sz w:val="21"/>
                <w:szCs w:val="21"/>
              </w:rPr>
            </w:pPr>
            <w:r>
              <w:rPr>
                <w:rFonts w:ascii="宋体" w:hAnsi="宋体" w:cs="宋体" w:hint="eastAsia"/>
                <w:kern w:val="2"/>
                <w:sz w:val="21"/>
                <w:szCs w:val="21"/>
              </w:rPr>
              <w:t>2</w:t>
            </w:r>
            <w:r>
              <w:rPr>
                <w:rFonts w:ascii="宋体" w:hAnsi="宋体" w:cs="宋体" w:hint="eastAsia"/>
                <w:kern w:val="2"/>
                <w:sz w:val="21"/>
                <w:szCs w:val="21"/>
              </w:rPr>
              <w:t>）提供奖项照片或获奖（荣誉）证书或其他证明资料作为得分依据；</w:t>
            </w:r>
          </w:p>
          <w:p w:rsidR="008C0A47">
            <w:pPr>
              <w:rPr>
                <w:rFonts w:ascii="宋体" w:hAnsi="宋体" w:cs="宋体"/>
                <w:szCs w:val="21"/>
              </w:rPr>
            </w:pPr>
            <w:r>
              <w:rPr>
                <w:rFonts w:ascii="宋体" w:hAnsi="宋体" w:cs="宋体" w:hint="eastAsia"/>
                <w:szCs w:val="21"/>
              </w:rPr>
              <w:t>以上资料均要求提供扫描件，原件备查。评分中出现无证明资料或专家无法凭所提供资料判断是否得分的情况，一律作不得分处理。</w:t>
            </w:r>
          </w:p>
        </w:tc>
        <w:tc>
          <w:tcPr>
            <w:tcW w:w="1612" w:type="dxa"/>
            <w:tcBorders>
              <w:top w:val="single" w:sz="6" w:space="0" w:color="auto"/>
              <w:left w:val="nil"/>
              <w:bottom w:val="single" w:sz="6" w:space="0" w:color="auto"/>
              <w:right w:val="single" w:sz="6" w:space="0" w:color="auto"/>
            </w:tcBorders>
            <w:vAlign w:val="center"/>
          </w:tcPr>
          <w:p w:rsidR="008C0A47">
            <w:pPr>
              <w:autoSpaceDE w:val="0"/>
              <w:autoSpaceDN w:val="0"/>
              <w:adjustRightInd w:val="0"/>
              <w:jc w:val="center"/>
              <w:rPr>
                <w:rFonts w:ascii="宋体" w:hAnsi="宋体" w:cs="宋体"/>
                <w:szCs w:val="21"/>
              </w:rPr>
            </w:pPr>
            <w:r>
              <w:rPr>
                <w:rFonts w:ascii="宋体" w:hAnsi="宋体" w:cs="宋体" w:hint="eastAsia"/>
                <w:szCs w:val="21"/>
              </w:rPr>
              <w:t>专家打分</w:t>
            </w:r>
          </w:p>
        </w:tc>
      </w:tr>
      <w:tr>
        <w:tblPrEx>
          <w:tblW w:w="9400" w:type="dxa"/>
          <w:jc w:val="center"/>
          <w:tblLayout w:type="fixed"/>
          <w:tblLook w:val="04A0"/>
        </w:tblPrEx>
        <w:trPr>
          <w:trHeight w:val="2395"/>
          <w:jc w:val="center"/>
        </w:trPr>
        <w:tc>
          <w:tcPr>
            <w:tcW w:w="1065" w:type="dxa"/>
            <w:tcBorders>
              <w:top w:val="single" w:sz="6" w:space="0" w:color="auto"/>
              <w:left w:val="single" w:sz="6" w:space="0" w:color="auto"/>
              <w:bottom w:val="single" w:sz="6" w:space="0" w:color="auto"/>
              <w:right w:val="single" w:sz="6" w:space="0" w:color="auto"/>
            </w:tcBorders>
            <w:vAlign w:val="center"/>
          </w:tcPr>
          <w:p w:rsidR="008C0A47">
            <w:pPr>
              <w:autoSpaceDE w:val="0"/>
              <w:autoSpaceDN w:val="0"/>
              <w:adjustRightInd w:val="0"/>
              <w:snapToGrid w:val="0"/>
              <w:jc w:val="center"/>
              <w:rPr>
                <w:rFonts w:ascii="宋体" w:hAnsi="宋体" w:cs="宋体"/>
                <w:kern w:val="0"/>
                <w:szCs w:val="21"/>
              </w:rPr>
            </w:pPr>
            <w:r>
              <w:rPr>
                <w:rFonts w:ascii="宋体" w:hAnsi="宋体" w:cs="宋体" w:hint="eastAsia"/>
                <w:kern w:val="0"/>
                <w:szCs w:val="21"/>
              </w:rPr>
              <w:t>2</w:t>
            </w:r>
          </w:p>
        </w:tc>
        <w:tc>
          <w:tcPr>
            <w:tcW w:w="1125" w:type="dxa"/>
            <w:tcBorders>
              <w:top w:val="single" w:sz="6" w:space="0" w:color="auto"/>
              <w:left w:val="nil"/>
              <w:bottom w:val="single" w:sz="6" w:space="0" w:color="auto"/>
              <w:right w:val="single" w:sz="6" w:space="0" w:color="auto"/>
            </w:tcBorders>
            <w:vAlign w:val="center"/>
          </w:tcPr>
          <w:p w:rsidR="008C0A47">
            <w:pPr>
              <w:autoSpaceDE w:val="0"/>
              <w:autoSpaceDN w:val="0"/>
              <w:adjustRightInd w:val="0"/>
              <w:snapToGrid w:val="0"/>
              <w:jc w:val="center"/>
              <w:rPr>
                <w:rFonts w:ascii="宋体" w:hAnsi="宋体" w:cs="宋体"/>
                <w:kern w:val="0"/>
                <w:szCs w:val="21"/>
              </w:rPr>
            </w:pPr>
            <w:r>
              <w:rPr>
                <w:rFonts w:ascii="宋体" w:hAnsi="宋体" w:cs="宋体" w:hint="eastAsia"/>
                <w:kern w:val="0"/>
                <w:szCs w:val="21"/>
              </w:rPr>
              <w:t>同类项目业绩</w:t>
            </w:r>
          </w:p>
        </w:tc>
        <w:tc>
          <w:tcPr>
            <w:tcW w:w="719" w:type="dxa"/>
            <w:tcBorders>
              <w:top w:val="single" w:sz="6" w:space="0" w:color="auto"/>
              <w:left w:val="nil"/>
              <w:bottom w:val="single" w:sz="4" w:space="0" w:color="auto"/>
              <w:right w:val="single" w:sz="6" w:space="0" w:color="auto"/>
            </w:tcBorders>
            <w:vAlign w:val="center"/>
          </w:tcPr>
          <w:p w:rsidR="008C0A47">
            <w:pPr>
              <w:adjustRightInd w:val="0"/>
              <w:snapToGrid w:val="0"/>
              <w:jc w:val="center"/>
              <w:rPr>
                <w:rFonts w:ascii="宋体" w:hAnsi="宋体" w:cs="宋体"/>
                <w:kern w:val="0"/>
                <w:szCs w:val="21"/>
              </w:rPr>
            </w:pPr>
            <w:r>
              <w:rPr>
                <w:rFonts w:ascii="宋体" w:hAnsi="宋体" w:cs="宋体" w:hint="eastAsia"/>
                <w:kern w:val="0"/>
                <w:szCs w:val="21"/>
              </w:rPr>
              <w:t>10</w:t>
            </w:r>
          </w:p>
        </w:tc>
        <w:tc>
          <w:tcPr>
            <w:tcW w:w="4879" w:type="dxa"/>
            <w:gridSpan w:val="2"/>
            <w:tcBorders>
              <w:top w:val="single" w:sz="6" w:space="0" w:color="auto"/>
              <w:left w:val="nil"/>
              <w:bottom w:val="single" w:sz="4" w:space="0" w:color="auto"/>
              <w:right w:val="single" w:sz="6" w:space="0" w:color="auto"/>
            </w:tcBorders>
            <w:vAlign w:val="center"/>
          </w:tcPr>
          <w:p w:rsidR="008C0A47">
            <w:pPr>
              <w:wordWrap w:val="0"/>
              <w:jc w:val="left"/>
              <w:rPr>
                <w:rFonts w:ascii="宋体" w:hAnsi="宋体" w:cs="宋体"/>
                <w:b/>
                <w:bCs/>
                <w:szCs w:val="21"/>
              </w:rPr>
            </w:pPr>
            <w:r>
              <w:rPr>
                <w:rFonts w:ascii="宋体" w:hAnsi="宋体" w:cs="宋体" w:hint="eastAsia"/>
                <w:b/>
                <w:bCs/>
                <w:szCs w:val="21"/>
              </w:rPr>
              <w:t>1.</w:t>
            </w:r>
            <w:r>
              <w:rPr>
                <w:rFonts w:ascii="宋体" w:hAnsi="宋体" w:cs="宋体" w:hint="eastAsia"/>
                <w:b/>
                <w:bCs/>
                <w:szCs w:val="21"/>
              </w:rPr>
              <w:t>评审标准：</w:t>
            </w:r>
            <w:r>
              <w:rPr>
                <w:rFonts w:ascii="宋体" w:hAnsi="宋体" w:cs="宋体" w:hint="eastAsia"/>
                <w:b/>
                <w:bCs/>
                <w:szCs w:val="21"/>
              </w:rPr>
              <w:t xml:space="preserve"> </w:t>
            </w:r>
          </w:p>
          <w:p w:rsidR="008C0A47">
            <w:pPr>
              <w:rPr>
                <w:rFonts w:ascii="宋体" w:hAnsi="宋体" w:cs="宋体"/>
                <w:kern w:val="0"/>
                <w:szCs w:val="21"/>
              </w:rPr>
            </w:pPr>
            <w:r>
              <w:rPr>
                <w:rFonts w:ascii="宋体" w:hAnsi="宋体" w:cs="宋体" w:hint="eastAsia"/>
                <w:color w:val="000000"/>
                <w:kern w:val="0"/>
                <w:szCs w:val="21"/>
              </w:rPr>
              <w:t>投标人</w:t>
            </w:r>
            <w:r>
              <w:rPr>
                <w:rFonts w:ascii="宋体" w:hAnsi="宋体" w:cs="宋体" w:hint="eastAsia"/>
                <w:kern w:val="0"/>
                <w:szCs w:val="21"/>
              </w:rPr>
              <w:t>行政法律服务经验：</w:t>
            </w:r>
          </w:p>
          <w:p w:rsidR="008C0A47">
            <w:pPr>
              <w:wordWrap w:val="0"/>
              <w:rPr>
                <w:rFonts w:ascii="宋体" w:hAnsi="宋体" w:cs="宋体"/>
                <w:szCs w:val="21"/>
              </w:rPr>
            </w:pPr>
            <w:r>
              <w:rPr>
                <w:rFonts w:ascii="宋体" w:hAnsi="宋体" w:cs="宋体" w:hint="eastAsia"/>
                <w:kern w:val="0"/>
                <w:szCs w:val="21"/>
              </w:rPr>
              <w:t>投标人为政府行政机关或部门提供行政法律服务的经验的（合同签订日期需为</w:t>
            </w:r>
            <w:r>
              <w:rPr>
                <w:rFonts w:ascii="宋体" w:hAnsi="宋体" w:cs="宋体" w:hint="eastAsia"/>
                <w:kern w:val="0"/>
                <w:szCs w:val="21"/>
              </w:rPr>
              <w:t>2013</w:t>
            </w:r>
            <w:r>
              <w:rPr>
                <w:rFonts w:ascii="宋体" w:hAnsi="宋体" w:cs="宋体" w:hint="eastAsia"/>
                <w:kern w:val="0"/>
                <w:szCs w:val="21"/>
              </w:rPr>
              <w:t>年以来），具有一项经验得</w:t>
            </w:r>
            <w:r>
              <w:rPr>
                <w:rFonts w:ascii="宋体" w:hAnsi="宋体" w:cs="宋体" w:hint="eastAsia"/>
                <w:kern w:val="0"/>
                <w:szCs w:val="21"/>
              </w:rPr>
              <w:t>5</w:t>
            </w:r>
            <w:r>
              <w:rPr>
                <w:rFonts w:ascii="宋体" w:hAnsi="宋体" w:cs="宋体" w:hint="eastAsia"/>
                <w:kern w:val="0"/>
                <w:szCs w:val="21"/>
              </w:rPr>
              <w:t>%</w:t>
            </w:r>
            <w:r>
              <w:rPr>
                <w:rFonts w:ascii="宋体" w:hAnsi="宋体" w:cs="宋体" w:hint="eastAsia"/>
                <w:kern w:val="0"/>
                <w:szCs w:val="21"/>
              </w:rPr>
              <w:t>分</w:t>
            </w:r>
            <w:r>
              <w:rPr>
                <w:rFonts w:ascii="宋体" w:hAnsi="宋体" w:cs="宋体" w:hint="eastAsia"/>
                <w:kern w:val="0"/>
                <w:szCs w:val="21"/>
              </w:rPr>
              <w:t>，最高得</w:t>
            </w:r>
            <w:r>
              <w:rPr>
                <w:rFonts w:ascii="宋体" w:hAnsi="宋体" w:cs="宋体" w:hint="eastAsia"/>
                <w:kern w:val="0"/>
                <w:szCs w:val="21"/>
              </w:rPr>
              <w:t>100%</w:t>
            </w:r>
            <w:r>
              <w:rPr>
                <w:rFonts w:ascii="宋体" w:hAnsi="宋体" w:cs="宋体" w:hint="eastAsia"/>
                <w:kern w:val="0"/>
                <w:szCs w:val="21"/>
              </w:rPr>
              <w:t>分，其余不得分。</w:t>
            </w:r>
          </w:p>
          <w:p w:rsidR="008C0A47">
            <w:pPr>
              <w:wordWrap w:val="0"/>
              <w:rPr>
                <w:rFonts w:ascii="宋体" w:hAnsi="宋体" w:cs="宋体"/>
                <w:b/>
                <w:bCs/>
                <w:szCs w:val="21"/>
              </w:rPr>
            </w:pPr>
            <w:r>
              <w:rPr>
                <w:rFonts w:ascii="宋体" w:hAnsi="宋体" w:cs="宋体" w:hint="eastAsia"/>
                <w:b/>
                <w:bCs/>
                <w:szCs w:val="21"/>
              </w:rPr>
              <w:t>2</w:t>
            </w:r>
            <w:r>
              <w:rPr>
                <w:rFonts w:ascii="宋体" w:hAnsi="宋体" w:cs="宋体" w:hint="eastAsia"/>
                <w:b/>
                <w:bCs/>
                <w:szCs w:val="21"/>
              </w:rPr>
              <w:t>、证明文件</w:t>
            </w:r>
            <w:r>
              <w:rPr>
                <w:rFonts w:ascii="宋体" w:hAnsi="宋体" w:cs="宋体" w:hint="eastAsia"/>
                <w:b/>
                <w:bCs/>
                <w:szCs w:val="21"/>
              </w:rPr>
              <w:t xml:space="preserve"> </w:t>
            </w:r>
          </w:p>
          <w:p w:rsidR="008C0A47">
            <w:pP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）律师事务所分所（办公室）参与投标的，需单独提供相关证明材料作为得分依据，提供总所相关证明材料的不得分；</w:t>
            </w:r>
          </w:p>
          <w:p w:rsidR="008C0A47">
            <w:pPr>
              <w:rPr>
                <w:rFonts w:ascii="宋体" w:hAnsi="宋体" w:cs="宋体"/>
                <w:color w:val="000000"/>
                <w:kern w:val="0"/>
                <w:szCs w:val="21"/>
              </w:rPr>
            </w:pPr>
            <w:r>
              <w:rPr>
                <w:rFonts w:ascii="宋体" w:hAnsi="宋体" w:cs="宋体" w:hint="eastAsia"/>
                <w:color w:val="000000"/>
                <w:kern w:val="0"/>
                <w:szCs w:val="21"/>
              </w:rPr>
              <w:t>2</w:t>
            </w:r>
            <w:r>
              <w:rPr>
                <w:rFonts w:ascii="宋体" w:hAnsi="宋体" w:cs="宋体" w:hint="eastAsia"/>
                <w:color w:val="000000"/>
                <w:kern w:val="0"/>
                <w:szCs w:val="21"/>
              </w:rPr>
              <w:t>）须提供合同关键信息页和判决书关键信息页或其他证明资料，原件备查；</w:t>
            </w:r>
          </w:p>
          <w:p w:rsidR="008C0A47">
            <w:pPr>
              <w:jc w:val="left"/>
              <w:rPr>
                <w:rFonts w:ascii="宋体" w:hAnsi="宋体" w:cs="宋体"/>
                <w:kern w:val="0"/>
                <w:szCs w:val="21"/>
              </w:rPr>
            </w:pPr>
            <w:r>
              <w:rPr>
                <w:rFonts w:ascii="宋体" w:hAnsi="宋体" w:cs="宋体" w:hint="eastAsia"/>
                <w:szCs w:val="21"/>
              </w:rPr>
              <w:t>以上资料均要求提供扫描件，原件备查。评分中出现无证明资料或专家无法凭所提供资料判断是否得分的情况，一律作不得分处理。</w:t>
            </w:r>
          </w:p>
        </w:tc>
        <w:tc>
          <w:tcPr>
            <w:tcW w:w="1612" w:type="dxa"/>
            <w:tcBorders>
              <w:top w:val="single" w:sz="6" w:space="0" w:color="auto"/>
              <w:left w:val="nil"/>
              <w:bottom w:val="single" w:sz="6" w:space="0" w:color="auto"/>
              <w:right w:val="single" w:sz="6" w:space="0" w:color="auto"/>
            </w:tcBorders>
            <w:vAlign w:val="center"/>
          </w:tcPr>
          <w:p w:rsidR="008C0A47">
            <w:pPr>
              <w:adjustRightInd w:val="0"/>
              <w:snapToGrid w:val="0"/>
              <w:rPr>
                <w:rFonts w:ascii="宋体" w:hAnsi="宋体" w:cs="宋体"/>
                <w:szCs w:val="21"/>
              </w:rPr>
            </w:pPr>
            <w:r>
              <w:rPr>
                <w:rFonts w:ascii="宋体" w:hAnsi="宋体" w:cs="宋体" w:hint="eastAsia"/>
                <w:szCs w:val="21"/>
              </w:rPr>
              <w:t>专家打分</w:t>
            </w:r>
          </w:p>
        </w:tc>
      </w:tr>
      <w:tr>
        <w:tblPrEx>
          <w:tblW w:w="9400" w:type="dxa"/>
          <w:jc w:val="center"/>
          <w:tblLayout w:type="fixed"/>
          <w:tblLook w:val="04A0"/>
        </w:tblPrEx>
        <w:trPr>
          <w:trHeight w:val="2600"/>
          <w:jc w:val="center"/>
        </w:trPr>
        <w:tc>
          <w:tcPr>
            <w:tcW w:w="1065" w:type="dxa"/>
            <w:tcBorders>
              <w:top w:val="single" w:sz="6" w:space="0" w:color="auto"/>
              <w:left w:val="single" w:sz="6" w:space="0" w:color="auto"/>
              <w:bottom w:val="single" w:sz="6" w:space="0" w:color="auto"/>
              <w:right w:val="single" w:sz="6" w:space="0" w:color="auto"/>
            </w:tcBorders>
            <w:vAlign w:val="center"/>
          </w:tcPr>
          <w:p w:rsidR="008C0A47">
            <w:pPr>
              <w:autoSpaceDE w:val="0"/>
              <w:autoSpaceDN w:val="0"/>
              <w:adjustRightInd w:val="0"/>
              <w:snapToGrid w:val="0"/>
              <w:jc w:val="center"/>
              <w:rPr>
                <w:rFonts w:ascii="宋体" w:hAnsi="宋体" w:cs="宋体"/>
                <w:kern w:val="0"/>
                <w:szCs w:val="21"/>
              </w:rPr>
            </w:pPr>
            <w:r>
              <w:rPr>
                <w:rFonts w:ascii="宋体" w:hAnsi="宋体" w:cs="宋体" w:hint="eastAsia"/>
                <w:kern w:val="0"/>
                <w:szCs w:val="21"/>
              </w:rPr>
              <w:t>3</w:t>
            </w:r>
          </w:p>
        </w:tc>
        <w:tc>
          <w:tcPr>
            <w:tcW w:w="1125" w:type="dxa"/>
            <w:tcBorders>
              <w:top w:val="single" w:sz="6" w:space="0" w:color="auto"/>
              <w:left w:val="nil"/>
              <w:bottom w:val="single" w:sz="6" w:space="0" w:color="auto"/>
              <w:right w:val="single" w:sz="6" w:space="0" w:color="auto"/>
            </w:tcBorders>
            <w:vAlign w:val="center"/>
          </w:tcPr>
          <w:p w:rsidR="008C0A47">
            <w:pPr>
              <w:autoSpaceDE w:val="0"/>
              <w:autoSpaceDN w:val="0"/>
              <w:adjustRightInd w:val="0"/>
              <w:snapToGrid w:val="0"/>
              <w:jc w:val="center"/>
              <w:rPr>
                <w:rFonts w:ascii="宋体" w:hAnsi="宋体" w:cs="宋体"/>
                <w:kern w:val="0"/>
                <w:szCs w:val="21"/>
              </w:rPr>
            </w:pPr>
            <w:r>
              <w:rPr>
                <w:rFonts w:ascii="宋体" w:hAnsi="宋体" w:cs="宋体" w:hint="eastAsia"/>
                <w:kern w:val="0"/>
                <w:szCs w:val="21"/>
              </w:rPr>
              <w:t>履约评价情况</w:t>
            </w:r>
          </w:p>
        </w:tc>
        <w:tc>
          <w:tcPr>
            <w:tcW w:w="719" w:type="dxa"/>
            <w:tcBorders>
              <w:top w:val="single" w:sz="6" w:space="0" w:color="auto"/>
              <w:left w:val="nil"/>
              <w:bottom w:val="single" w:sz="4" w:space="0" w:color="auto"/>
              <w:right w:val="single" w:sz="6" w:space="0" w:color="auto"/>
            </w:tcBorders>
            <w:vAlign w:val="center"/>
          </w:tcPr>
          <w:p w:rsidR="008C0A47">
            <w:pPr>
              <w:adjustRightInd w:val="0"/>
              <w:snapToGrid w:val="0"/>
              <w:jc w:val="center"/>
              <w:rPr>
                <w:rFonts w:ascii="宋体" w:hAnsi="宋体" w:cs="宋体"/>
                <w:kern w:val="0"/>
                <w:szCs w:val="21"/>
              </w:rPr>
            </w:pPr>
            <w:r>
              <w:rPr>
                <w:rFonts w:ascii="宋体" w:hAnsi="宋体" w:cs="宋体" w:hint="eastAsia"/>
                <w:kern w:val="0"/>
                <w:szCs w:val="21"/>
              </w:rPr>
              <w:t>10</w:t>
            </w:r>
          </w:p>
        </w:tc>
        <w:tc>
          <w:tcPr>
            <w:tcW w:w="4879" w:type="dxa"/>
            <w:gridSpan w:val="2"/>
            <w:tcBorders>
              <w:top w:val="single" w:sz="6" w:space="0" w:color="auto"/>
              <w:left w:val="nil"/>
              <w:bottom w:val="single" w:sz="4" w:space="0" w:color="auto"/>
              <w:right w:val="single" w:sz="6" w:space="0" w:color="auto"/>
            </w:tcBorders>
            <w:vAlign w:val="center"/>
          </w:tcPr>
          <w:p w:rsidR="008C0A47">
            <w:pPr>
              <w:wordWrap w:val="0"/>
              <w:jc w:val="left"/>
              <w:rPr>
                <w:rFonts w:ascii="宋体" w:hAnsi="宋体" w:cs="宋体"/>
                <w:szCs w:val="21"/>
              </w:rPr>
            </w:pPr>
            <w:r>
              <w:rPr>
                <w:rFonts w:ascii="宋体" w:hAnsi="宋体" w:cs="宋体" w:hint="eastAsia"/>
                <w:b/>
                <w:bCs/>
                <w:szCs w:val="21"/>
              </w:rPr>
              <w:t>1.</w:t>
            </w:r>
            <w:r>
              <w:rPr>
                <w:rFonts w:ascii="宋体" w:hAnsi="宋体" w:cs="宋体" w:hint="eastAsia"/>
                <w:b/>
                <w:bCs/>
                <w:szCs w:val="21"/>
              </w:rPr>
              <w:t>评审标准：</w:t>
            </w:r>
            <w:r>
              <w:rPr>
                <w:rFonts w:ascii="宋体" w:hAnsi="宋体" w:cs="宋体" w:hint="eastAsia"/>
                <w:szCs w:val="21"/>
              </w:rPr>
              <w:t xml:space="preserve"> </w:t>
            </w:r>
            <w:r>
              <w:rPr>
                <w:rFonts w:ascii="宋体" w:hAnsi="宋体" w:cs="宋体" w:hint="eastAsia"/>
                <w:szCs w:val="21"/>
              </w:rPr>
              <w:t>投标人所提供的政府行政机关或部门法律服务项目（需为上述同类项目业绩的合同对应的履约考核）经采购单位考核为优或满意的，每提供</w:t>
            </w:r>
            <w:r>
              <w:rPr>
                <w:rFonts w:ascii="宋体" w:hAnsi="宋体" w:cs="宋体" w:hint="eastAsia"/>
                <w:szCs w:val="21"/>
              </w:rPr>
              <w:t>1</w:t>
            </w:r>
            <w:r>
              <w:rPr>
                <w:rFonts w:ascii="宋体" w:hAnsi="宋体" w:cs="宋体" w:hint="eastAsia"/>
                <w:szCs w:val="21"/>
              </w:rPr>
              <w:t>份得</w:t>
            </w:r>
            <w:r>
              <w:rPr>
                <w:rFonts w:ascii="宋体" w:hAnsi="宋体" w:cs="宋体" w:hint="eastAsia"/>
                <w:szCs w:val="21"/>
              </w:rPr>
              <w:t>10%</w:t>
            </w:r>
            <w:r>
              <w:rPr>
                <w:rFonts w:ascii="宋体" w:hAnsi="宋体" w:cs="宋体" w:hint="eastAsia"/>
                <w:szCs w:val="21"/>
              </w:rPr>
              <w:t>分，最高得</w:t>
            </w:r>
            <w:r>
              <w:rPr>
                <w:rFonts w:ascii="宋体" w:hAnsi="宋体" w:cs="宋体" w:hint="eastAsia"/>
                <w:szCs w:val="21"/>
              </w:rPr>
              <w:t>100%</w:t>
            </w:r>
            <w:r>
              <w:rPr>
                <w:rFonts w:ascii="宋体" w:hAnsi="宋体" w:cs="宋体" w:hint="eastAsia"/>
                <w:szCs w:val="21"/>
              </w:rPr>
              <w:t>分。</w:t>
            </w:r>
          </w:p>
          <w:p w:rsidR="008C0A47">
            <w:pPr>
              <w:wordWrap w:val="0"/>
              <w:jc w:val="left"/>
              <w:rPr>
                <w:rFonts w:ascii="宋体" w:hAnsi="宋体" w:cs="宋体"/>
                <w:kern w:val="0"/>
                <w:szCs w:val="21"/>
              </w:rPr>
            </w:pPr>
            <w:r>
              <w:rPr>
                <w:rFonts w:ascii="宋体" w:hAnsi="宋体" w:cs="宋体" w:hint="eastAsia"/>
                <w:b/>
                <w:bCs/>
                <w:szCs w:val="21"/>
              </w:rPr>
              <w:t>2.</w:t>
            </w:r>
            <w:r>
              <w:rPr>
                <w:rFonts w:ascii="宋体" w:hAnsi="宋体" w:cs="宋体" w:hint="eastAsia"/>
                <w:b/>
                <w:bCs/>
                <w:szCs w:val="21"/>
              </w:rPr>
              <w:t>证明文件：</w:t>
            </w:r>
            <w:r>
              <w:rPr>
                <w:rFonts w:ascii="宋体" w:hAnsi="宋体" w:cs="宋体" w:hint="eastAsia"/>
                <w:szCs w:val="21"/>
              </w:rPr>
              <w:t xml:space="preserve"> </w:t>
            </w:r>
            <w:r>
              <w:rPr>
                <w:rFonts w:ascii="宋体" w:hAnsi="宋体" w:cs="宋体" w:hint="eastAsia"/>
                <w:szCs w:val="21"/>
              </w:rPr>
              <w:t>须提供考核评价为优或满意的相关证明文件的扫描件，原件备查。评分中出现无证明资料或专家无法凭所提供资料判断是否得分的情况，一律作不得分处理。</w:t>
            </w:r>
          </w:p>
        </w:tc>
        <w:tc>
          <w:tcPr>
            <w:tcW w:w="1612" w:type="dxa"/>
            <w:tcBorders>
              <w:top w:val="single" w:sz="6" w:space="0" w:color="auto"/>
              <w:left w:val="nil"/>
              <w:bottom w:val="single" w:sz="6" w:space="0" w:color="auto"/>
              <w:right w:val="single" w:sz="6" w:space="0" w:color="auto"/>
            </w:tcBorders>
            <w:vAlign w:val="center"/>
          </w:tcPr>
          <w:p w:rsidR="008C0A47">
            <w:pPr>
              <w:adjustRightInd w:val="0"/>
              <w:snapToGrid w:val="0"/>
              <w:rPr>
                <w:rFonts w:ascii="宋体" w:hAnsi="宋体" w:cs="宋体"/>
                <w:szCs w:val="21"/>
              </w:rPr>
            </w:pPr>
            <w:r>
              <w:rPr>
                <w:rFonts w:ascii="宋体" w:hAnsi="宋体" w:cs="宋体" w:hint="eastAsia"/>
                <w:szCs w:val="21"/>
              </w:rPr>
              <w:t>专家打分</w:t>
            </w:r>
          </w:p>
        </w:tc>
      </w:tr>
      <w:tr>
        <w:tblPrEx>
          <w:tblW w:w="9400" w:type="dxa"/>
          <w:jc w:val="center"/>
          <w:tblLayout w:type="fixed"/>
          <w:tblLook w:val="04A0"/>
        </w:tblPrEx>
        <w:trPr>
          <w:trHeight w:val="445"/>
          <w:jc w:val="center"/>
        </w:trPr>
        <w:tc>
          <w:tcPr>
            <w:tcW w:w="1065" w:type="dxa"/>
            <w:tcBorders>
              <w:top w:val="single" w:sz="6" w:space="0" w:color="auto"/>
              <w:left w:val="single" w:sz="6" w:space="0" w:color="auto"/>
              <w:bottom w:val="single" w:sz="6" w:space="0" w:color="auto"/>
              <w:right w:val="single" w:sz="6" w:space="0" w:color="auto"/>
            </w:tcBorders>
            <w:vAlign w:val="center"/>
          </w:tcPr>
          <w:p w:rsidR="008C0A47">
            <w:pPr>
              <w:autoSpaceDE w:val="0"/>
              <w:autoSpaceDN w:val="0"/>
              <w:adjustRightInd w:val="0"/>
              <w:snapToGrid w:val="0"/>
              <w:rPr>
                <w:rFonts w:ascii="宋体" w:hAnsi="宋体" w:cs="宋体"/>
                <w:szCs w:val="21"/>
              </w:rPr>
            </w:pPr>
            <w:r>
              <w:rPr>
                <w:rFonts w:ascii="宋体" w:hAnsi="宋体" w:cs="宋体" w:hint="eastAsia"/>
                <w:szCs w:val="21"/>
              </w:rPr>
              <w:t>4</w:t>
            </w:r>
          </w:p>
        </w:tc>
        <w:tc>
          <w:tcPr>
            <w:tcW w:w="1125" w:type="dxa"/>
            <w:tcBorders>
              <w:top w:val="single" w:sz="6" w:space="0" w:color="auto"/>
              <w:left w:val="nil"/>
              <w:bottom w:val="single" w:sz="6" w:space="0" w:color="auto"/>
              <w:right w:val="single" w:sz="6" w:space="0" w:color="auto"/>
            </w:tcBorders>
            <w:vAlign w:val="center"/>
          </w:tcPr>
          <w:p w:rsidR="008C0A47">
            <w:pPr>
              <w:autoSpaceDE w:val="0"/>
              <w:autoSpaceDN w:val="0"/>
              <w:adjustRightInd w:val="0"/>
              <w:snapToGrid w:val="0"/>
              <w:jc w:val="center"/>
              <w:rPr>
                <w:rFonts w:ascii="宋体" w:hAnsi="宋体" w:cs="宋体"/>
                <w:szCs w:val="21"/>
              </w:rPr>
            </w:pPr>
            <w:r>
              <w:rPr>
                <w:rFonts w:ascii="宋体" w:hAnsi="宋体" w:cs="宋体" w:hint="eastAsia"/>
                <w:szCs w:val="21"/>
              </w:rPr>
              <w:t>专项法律服务小组人员数量配备情况（不含驻点人员）</w:t>
            </w:r>
          </w:p>
        </w:tc>
        <w:tc>
          <w:tcPr>
            <w:tcW w:w="719" w:type="dxa"/>
            <w:tcBorders>
              <w:top w:val="single" w:sz="6" w:space="0" w:color="auto"/>
              <w:left w:val="nil"/>
              <w:bottom w:val="single" w:sz="6" w:space="0" w:color="auto"/>
              <w:right w:val="single" w:sz="6" w:space="0" w:color="auto"/>
            </w:tcBorders>
            <w:vAlign w:val="center"/>
          </w:tcPr>
          <w:p w:rsidR="008C0A47">
            <w:pPr>
              <w:autoSpaceDE w:val="0"/>
              <w:autoSpaceDN w:val="0"/>
              <w:adjustRightInd w:val="0"/>
              <w:snapToGrid w:val="0"/>
              <w:jc w:val="center"/>
              <w:rPr>
                <w:rFonts w:ascii="宋体" w:hAnsi="宋体" w:cs="宋体"/>
                <w:szCs w:val="21"/>
              </w:rPr>
            </w:pPr>
            <w:r>
              <w:rPr>
                <w:rFonts w:ascii="宋体" w:hAnsi="宋体" w:cs="宋体" w:hint="eastAsia"/>
                <w:kern w:val="0"/>
                <w:szCs w:val="21"/>
              </w:rPr>
              <w:t>25</w:t>
            </w:r>
          </w:p>
        </w:tc>
        <w:tc>
          <w:tcPr>
            <w:tcW w:w="4879" w:type="dxa"/>
            <w:gridSpan w:val="2"/>
            <w:tcBorders>
              <w:top w:val="single" w:sz="6" w:space="0" w:color="auto"/>
              <w:left w:val="nil"/>
              <w:bottom w:val="single" w:sz="6" w:space="0" w:color="auto"/>
              <w:right w:val="single" w:sz="6" w:space="0" w:color="auto"/>
            </w:tcBorders>
            <w:vAlign w:val="center"/>
          </w:tcPr>
          <w:p w:rsidR="008C0A47">
            <w:pPr>
              <w:wordWrap w:val="0"/>
              <w:jc w:val="left"/>
              <w:rPr>
                <w:rFonts w:ascii="宋体" w:hAnsi="宋体" w:cs="宋体"/>
                <w:b/>
                <w:bCs/>
                <w:szCs w:val="21"/>
              </w:rPr>
            </w:pPr>
            <w:r>
              <w:rPr>
                <w:rFonts w:ascii="宋体" w:hAnsi="宋体" w:cs="宋体" w:hint="eastAsia"/>
                <w:b/>
                <w:bCs/>
                <w:szCs w:val="21"/>
              </w:rPr>
              <w:t>1.</w:t>
            </w:r>
            <w:r>
              <w:rPr>
                <w:rFonts w:ascii="宋体" w:hAnsi="宋体" w:cs="宋体" w:hint="eastAsia"/>
                <w:b/>
                <w:bCs/>
                <w:szCs w:val="21"/>
              </w:rPr>
              <w:t>评审标准：</w:t>
            </w:r>
            <w:r>
              <w:rPr>
                <w:rFonts w:ascii="宋体" w:hAnsi="宋体" w:cs="宋体" w:hint="eastAsia"/>
                <w:b/>
                <w:bCs/>
                <w:szCs w:val="21"/>
              </w:rPr>
              <w:t xml:space="preserve"> </w:t>
            </w:r>
          </w:p>
          <w:p w:rsidR="008C0A47">
            <w:pPr>
              <w:wordWrap w:val="0"/>
              <w:rPr>
                <w:rFonts w:ascii="宋体" w:hAnsi="宋体" w:cs="宋体"/>
                <w:szCs w:val="21"/>
              </w:rPr>
            </w:pPr>
            <w:r>
              <w:rPr>
                <w:rFonts w:ascii="宋体" w:hAnsi="宋体" w:cs="宋体" w:hint="eastAsia"/>
                <w:szCs w:val="21"/>
              </w:rPr>
              <w:t>在满足招标文件中关于驻点人员数量要求（</w:t>
            </w:r>
            <w:r>
              <w:rPr>
                <w:rFonts w:ascii="宋体" w:hAnsi="宋体" w:cs="宋体" w:hint="eastAsia"/>
                <w:szCs w:val="21"/>
              </w:rPr>
              <w:t>6</w:t>
            </w:r>
            <w:r>
              <w:rPr>
                <w:rFonts w:ascii="宋体" w:hAnsi="宋体" w:cs="宋体" w:hint="eastAsia"/>
                <w:szCs w:val="21"/>
              </w:rPr>
              <w:t>人，含</w:t>
            </w:r>
            <w:r>
              <w:rPr>
                <w:rFonts w:ascii="宋体" w:hAnsi="宋体" w:cs="宋体" w:hint="eastAsia"/>
                <w:szCs w:val="21"/>
              </w:rPr>
              <w:t>2</w:t>
            </w:r>
            <w:r>
              <w:rPr>
                <w:rFonts w:ascii="宋体" w:hAnsi="宋体" w:cs="宋体" w:hint="eastAsia"/>
                <w:szCs w:val="21"/>
              </w:rPr>
              <w:t>名执业律师、另有</w:t>
            </w:r>
            <w:r>
              <w:rPr>
                <w:rFonts w:ascii="宋体" w:hAnsi="宋体" w:cs="宋体" w:hint="eastAsia"/>
                <w:szCs w:val="21"/>
              </w:rPr>
              <w:t>3</w:t>
            </w:r>
            <w:r>
              <w:rPr>
                <w:rFonts w:ascii="宋体" w:hAnsi="宋体" w:cs="宋体" w:hint="eastAsia"/>
                <w:szCs w:val="21"/>
              </w:rPr>
              <w:t>名具有法律职业资格证人员、</w:t>
            </w:r>
            <w:r>
              <w:rPr>
                <w:rFonts w:ascii="宋体" w:hAnsi="宋体" w:cs="宋体" w:hint="eastAsia"/>
                <w:szCs w:val="21"/>
              </w:rPr>
              <w:t>1</w:t>
            </w:r>
            <w:r>
              <w:rPr>
                <w:rFonts w:ascii="宋体" w:hAnsi="宋体" w:cs="宋体" w:hint="eastAsia"/>
                <w:szCs w:val="21"/>
              </w:rPr>
              <w:t>名应诉辅助人员）的基础上，投标人需组建专项法律服务小组的，按以下标准评审：</w:t>
            </w:r>
          </w:p>
          <w:p w:rsidR="008C0A47">
            <w:pPr>
              <w:wordWrap w:val="0"/>
              <w:rPr>
                <w:rFonts w:ascii="宋体" w:hAnsi="宋体" w:cs="宋体"/>
                <w:szCs w:val="21"/>
              </w:rPr>
            </w:pPr>
            <w:r>
              <w:rPr>
                <w:rFonts w:ascii="宋体" w:hAnsi="宋体" w:cs="宋体" w:hint="eastAsia"/>
                <w:szCs w:val="21"/>
              </w:rPr>
              <w:t>1</w:t>
            </w:r>
            <w:r>
              <w:rPr>
                <w:rFonts w:ascii="宋体" w:hAnsi="宋体" w:cs="宋体" w:hint="eastAsia"/>
                <w:szCs w:val="21"/>
              </w:rPr>
              <w:t>）专项法律服务小组需指定</w:t>
            </w:r>
            <w:r>
              <w:rPr>
                <w:rFonts w:ascii="宋体" w:hAnsi="宋体" w:cs="宋体" w:hint="eastAsia"/>
                <w:szCs w:val="21"/>
              </w:rPr>
              <w:t>1</w:t>
            </w:r>
            <w:r>
              <w:rPr>
                <w:rFonts w:ascii="宋体" w:hAnsi="宋体" w:cs="宋体" w:hint="eastAsia"/>
                <w:szCs w:val="21"/>
              </w:rPr>
              <w:t>名项目负责人：</w:t>
            </w:r>
          </w:p>
          <w:p w:rsidR="008C0A47">
            <w:pPr>
              <w:wordWrap w:val="0"/>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）项目负责人担任律所负责人职务；</w:t>
            </w:r>
          </w:p>
          <w:p w:rsidR="008C0A47">
            <w:pPr>
              <w:wordWrap w:val="0"/>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）取得律师执业证，执业年限</w:t>
            </w:r>
            <w:r>
              <w:rPr>
                <w:rFonts w:ascii="宋体" w:hAnsi="宋体" w:cs="宋体" w:hint="eastAsia"/>
                <w:szCs w:val="21"/>
              </w:rPr>
              <w:t>15</w:t>
            </w:r>
            <w:r>
              <w:rPr>
                <w:rFonts w:ascii="宋体" w:hAnsi="宋体" w:cs="宋体" w:hint="eastAsia"/>
                <w:szCs w:val="21"/>
              </w:rPr>
              <w:t>年及以上；</w:t>
            </w:r>
          </w:p>
          <w:p w:rsidR="008C0A47">
            <w:pPr>
              <w:wordWrap w:val="0"/>
              <w:rPr>
                <w:rFonts w:ascii="宋体" w:hAnsi="宋体" w:cs="宋体"/>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）自</w:t>
            </w:r>
            <w:r>
              <w:rPr>
                <w:rFonts w:ascii="宋体" w:hAnsi="宋体" w:cs="宋体" w:hint="eastAsia"/>
                <w:szCs w:val="21"/>
              </w:rPr>
              <w:t>2017</w:t>
            </w:r>
            <w:r>
              <w:rPr>
                <w:rFonts w:ascii="宋体" w:hAnsi="宋体" w:cs="宋体" w:hint="eastAsia"/>
                <w:szCs w:val="21"/>
              </w:rPr>
              <w:t>年（含</w:t>
            </w:r>
            <w:r>
              <w:rPr>
                <w:rFonts w:ascii="宋体" w:hAnsi="宋体" w:cs="宋体" w:hint="eastAsia"/>
                <w:szCs w:val="21"/>
              </w:rPr>
              <w:t>2017</w:t>
            </w:r>
            <w:r>
              <w:rPr>
                <w:rFonts w:ascii="宋体" w:hAnsi="宋体" w:cs="宋体" w:hint="eastAsia"/>
                <w:szCs w:val="21"/>
              </w:rPr>
              <w:t>年）以来近五年来代理行政复议或诉讼</w:t>
            </w:r>
            <w:r>
              <w:rPr>
                <w:rFonts w:ascii="宋体" w:hAnsi="宋体" w:cs="宋体" w:hint="eastAsia"/>
                <w:szCs w:val="21"/>
              </w:rPr>
              <w:t>10</w:t>
            </w:r>
            <w:r>
              <w:rPr>
                <w:rFonts w:ascii="宋体" w:hAnsi="宋体" w:cs="宋体" w:hint="eastAsia"/>
                <w:szCs w:val="21"/>
              </w:rPr>
              <w:t>宗及以上：</w:t>
            </w:r>
          </w:p>
          <w:p w:rsidR="008C0A47">
            <w:pPr>
              <w:wordWrap w:val="0"/>
              <w:rPr>
                <w:rFonts w:ascii="宋体" w:hAnsi="宋体" w:cs="宋体"/>
                <w:color w:val="000000"/>
                <w:kern w:val="0"/>
                <w:szCs w:val="21"/>
              </w:rPr>
            </w:pPr>
            <w:r>
              <w:rPr>
                <w:rFonts w:ascii="宋体" w:hAnsi="宋体" w:cs="宋体" w:hint="eastAsia"/>
                <w:color w:val="000000"/>
                <w:kern w:val="0"/>
                <w:szCs w:val="21"/>
              </w:rPr>
              <w:t>同时满足</w:t>
            </w:r>
            <w:r>
              <w:rPr>
                <w:rFonts w:ascii="宋体" w:hAnsi="宋体" w:cs="宋体" w:hint="eastAsia"/>
                <w:color w:val="000000"/>
                <w:kern w:val="0"/>
                <w:szCs w:val="21"/>
              </w:rPr>
              <w:t>3</w:t>
            </w:r>
            <w:r>
              <w:rPr>
                <w:rFonts w:ascii="宋体" w:hAnsi="宋体" w:cs="宋体" w:hint="eastAsia"/>
                <w:color w:val="000000"/>
                <w:kern w:val="0"/>
                <w:szCs w:val="21"/>
              </w:rPr>
              <w:t>项得</w:t>
            </w:r>
            <w:r>
              <w:rPr>
                <w:rFonts w:ascii="宋体" w:hAnsi="宋体" w:cs="宋体" w:hint="eastAsia"/>
                <w:color w:val="000000"/>
                <w:kern w:val="0"/>
                <w:szCs w:val="21"/>
              </w:rPr>
              <w:t>6</w:t>
            </w:r>
            <w:r>
              <w:rPr>
                <w:rFonts w:ascii="宋体" w:hAnsi="宋体" w:cs="宋体" w:hint="eastAsia"/>
                <w:color w:val="000000"/>
                <w:kern w:val="0"/>
                <w:szCs w:val="21"/>
              </w:rPr>
              <w:t>0%</w:t>
            </w:r>
            <w:r>
              <w:rPr>
                <w:rFonts w:ascii="宋体" w:hAnsi="宋体" w:cs="宋体" w:hint="eastAsia"/>
                <w:color w:val="000000"/>
                <w:kern w:val="0"/>
                <w:szCs w:val="21"/>
              </w:rPr>
              <w:t>分，满足</w:t>
            </w:r>
            <w:r>
              <w:rPr>
                <w:rFonts w:ascii="宋体" w:hAnsi="宋体" w:cs="宋体" w:hint="eastAsia"/>
                <w:color w:val="000000"/>
                <w:kern w:val="0"/>
                <w:szCs w:val="21"/>
              </w:rPr>
              <w:t>2</w:t>
            </w:r>
            <w:r>
              <w:rPr>
                <w:rFonts w:ascii="宋体" w:hAnsi="宋体" w:cs="宋体" w:hint="eastAsia"/>
                <w:color w:val="000000"/>
                <w:kern w:val="0"/>
                <w:szCs w:val="21"/>
              </w:rPr>
              <w:t>项得</w:t>
            </w:r>
            <w:r>
              <w:rPr>
                <w:rFonts w:ascii="宋体" w:hAnsi="宋体" w:cs="宋体" w:hint="eastAsia"/>
                <w:color w:val="000000"/>
                <w:kern w:val="0"/>
                <w:szCs w:val="21"/>
              </w:rPr>
              <w:t>4</w:t>
            </w:r>
            <w:r>
              <w:rPr>
                <w:rFonts w:ascii="宋体" w:hAnsi="宋体" w:cs="宋体" w:hint="eastAsia"/>
                <w:color w:val="000000"/>
                <w:kern w:val="0"/>
                <w:szCs w:val="21"/>
              </w:rPr>
              <w:t>0%</w:t>
            </w:r>
            <w:r>
              <w:rPr>
                <w:rFonts w:ascii="宋体" w:hAnsi="宋体" w:cs="宋体" w:hint="eastAsia"/>
                <w:color w:val="000000"/>
                <w:kern w:val="0"/>
                <w:szCs w:val="21"/>
              </w:rPr>
              <w:t>，其余不得分。；</w:t>
            </w:r>
          </w:p>
          <w:p w:rsidR="008C0A47">
            <w:pPr>
              <w:wordWrap w:val="0"/>
              <w:rPr>
                <w:rFonts w:ascii="宋体" w:hAnsi="宋体" w:cs="宋体"/>
                <w:szCs w:val="21"/>
              </w:rPr>
            </w:pPr>
            <w:r>
              <w:rPr>
                <w:rFonts w:ascii="宋体" w:hAnsi="宋体" w:cs="宋体" w:hint="eastAsia"/>
                <w:color w:val="000000"/>
                <w:kern w:val="0"/>
                <w:szCs w:val="21"/>
              </w:rPr>
              <w:t>2</w:t>
            </w:r>
            <w:r>
              <w:rPr>
                <w:rFonts w:ascii="宋体" w:hAnsi="宋体" w:cs="宋体" w:hint="eastAsia"/>
                <w:color w:val="000000"/>
                <w:kern w:val="0"/>
                <w:szCs w:val="21"/>
              </w:rPr>
              <w:t>）</w:t>
            </w:r>
            <w:r>
              <w:rPr>
                <w:rFonts w:ascii="宋体" w:hAnsi="宋体" w:cs="宋体" w:hint="eastAsia"/>
                <w:szCs w:val="21"/>
              </w:rPr>
              <w:t>专项法律服务小组其他人员（不含项目负责人）：</w:t>
            </w:r>
          </w:p>
          <w:p w:rsidR="008C0A47">
            <w:pPr>
              <w:wordWrap w:val="0"/>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）具备</w:t>
            </w:r>
            <w:r>
              <w:rPr>
                <w:rFonts w:ascii="宋体" w:hAnsi="宋体" w:cs="宋体" w:hint="eastAsia"/>
                <w:szCs w:val="21"/>
              </w:rPr>
              <w:t>10</w:t>
            </w:r>
            <w:r>
              <w:rPr>
                <w:rFonts w:ascii="宋体" w:hAnsi="宋体" w:cs="宋体" w:hint="eastAsia"/>
                <w:szCs w:val="21"/>
              </w:rPr>
              <w:t>年及以上执业经验项目成员</w:t>
            </w:r>
            <w:r>
              <w:rPr>
                <w:rFonts w:ascii="宋体" w:hAnsi="宋体" w:cs="宋体" w:hint="eastAsia"/>
                <w:szCs w:val="21"/>
              </w:rPr>
              <w:t>10</w:t>
            </w:r>
            <w:r>
              <w:rPr>
                <w:rFonts w:ascii="宋体" w:hAnsi="宋体" w:cs="宋体" w:hint="eastAsia"/>
                <w:szCs w:val="21"/>
              </w:rPr>
              <w:t>人及以上的；</w:t>
            </w:r>
          </w:p>
          <w:p w:rsidR="008C0A47">
            <w:pPr>
              <w:wordWrap w:val="0"/>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）具有</w:t>
            </w:r>
            <w:r>
              <w:rPr>
                <w:rFonts w:ascii="宋体" w:hAnsi="宋体" w:cs="宋体" w:hint="eastAsia"/>
                <w:szCs w:val="21"/>
              </w:rPr>
              <w:t>10</w:t>
            </w:r>
            <w:r>
              <w:rPr>
                <w:rFonts w:ascii="宋体" w:hAnsi="宋体" w:cs="宋体" w:hint="eastAsia"/>
                <w:szCs w:val="21"/>
              </w:rPr>
              <w:t>家及以上政府行政机关或部门法律服务经验；</w:t>
            </w:r>
          </w:p>
          <w:p w:rsidR="008C0A47">
            <w:pPr>
              <w:wordWrap w:val="0"/>
              <w:rPr>
                <w:rFonts w:ascii="宋体" w:hAnsi="宋体" w:cs="宋体"/>
                <w:szCs w:val="21"/>
              </w:rPr>
            </w:pPr>
            <w:r>
              <w:rPr>
                <w:rFonts w:ascii="宋体" w:hAnsi="宋体" w:cs="宋体" w:hint="eastAsia"/>
                <w:color w:val="000000"/>
                <w:kern w:val="0"/>
                <w:szCs w:val="21"/>
              </w:rPr>
              <w:t>以上</w:t>
            </w:r>
            <w:r>
              <w:rPr>
                <w:rFonts w:ascii="宋体" w:hAnsi="宋体" w:cs="宋体" w:hint="eastAsia"/>
                <w:color w:val="000000"/>
                <w:kern w:val="0"/>
                <w:szCs w:val="21"/>
              </w:rPr>
              <w:t>每满足</w:t>
            </w:r>
            <w:r>
              <w:rPr>
                <w:rFonts w:ascii="宋体" w:hAnsi="宋体" w:cs="宋体" w:hint="eastAsia"/>
                <w:color w:val="000000"/>
                <w:kern w:val="0"/>
                <w:szCs w:val="21"/>
              </w:rPr>
              <w:t>1</w:t>
            </w:r>
            <w:r>
              <w:rPr>
                <w:rFonts w:ascii="宋体" w:hAnsi="宋体" w:cs="宋体" w:hint="eastAsia"/>
                <w:color w:val="000000"/>
                <w:kern w:val="0"/>
                <w:szCs w:val="21"/>
              </w:rPr>
              <w:t>项的，得</w:t>
            </w:r>
            <w:r>
              <w:rPr>
                <w:rFonts w:ascii="宋体" w:hAnsi="宋体" w:cs="宋体" w:hint="eastAsia"/>
                <w:color w:val="000000"/>
                <w:kern w:val="0"/>
                <w:szCs w:val="21"/>
              </w:rPr>
              <w:t>20%</w:t>
            </w:r>
            <w:r>
              <w:rPr>
                <w:rFonts w:ascii="宋体" w:hAnsi="宋体" w:cs="宋体" w:hint="eastAsia"/>
                <w:color w:val="000000"/>
                <w:kern w:val="0"/>
                <w:szCs w:val="21"/>
              </w:rPr>
              <w:t>分，最高得</w:t>
            </w:r>
            <w:r>
              <w:rPr>
                <w:rFonts w:ascii="宋体" w:hAnsi="宋体" w:cs="宋体" w:hint="eastAsia"/>
                <w:color w:val="000000"/>
                <w:kern w:val="0"/>
                <w:szCs w:val="21"/>
              </w:rPr>
              <w:t>40%</w:t>
            </w:r>
            <w:r>
              <w:rPr>
                <w:rFonts w:ascii="宋体" w:hAnsi="宋体" w:cs="宋体" w:hint="eastAsia"/>
                <w:szCs w:val="21"/>
              </w:rPr>
              <w:t>。</w:t>
            </w:r>
          </w:p>
          <w:p w:rsidR="008C0A47">
            <w:pPr>
              <w:wordWrap w:val="0"/>
              <w:rPr>
                <w:rFonts w:ascii="宋体" w:hAnsi="宋体" w:cs="宋体"/>
                <w:szCs w:val="21"/>
              </w:rPr>
            </w:pPr>
            <w:r>
              <w:rPr>
                <w:rFonts w:ascii="宋体" w:hAnsi="宋体" w:cs="宋体" w:hint="eastAsia"/>
                <w:b/>
                <w:bCs/>
                <w:szCs w:val="21"/>
              </w:rPr>
              <w:t>2.</w:t>
            </w:r>
            <w:r>
              <w:rPr>
                <w:rFonts w:ascii="宋体" w:hAnsi="宋体" w:cs="宋体" w:hint="eastAsia"/>
                <w:b/>
                <w:bCs/>
                <w:szCs w:val="21"/>
              </w:rPr>
              <w:t>证明文件：</w:t>
            </w:r>
          </w:p>
          <w:p w:rsidR="008C0A47">
            <w:pP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）律师事务所分所（办公室）参与投标的，需单独提供相关证明材料，提供总所相关证明材料的，不得分；</w:t>
            </w:r>
          </w:p>
          <w:p w:rsidR="008C0A47">
            <w:pPr>
              <w:rPr>
                <w:rFonts w:ascii="宋体" w:hAnsi="宋体" w:cs="宋体"/>
                <w:color w:val="000000"/>
                <w:kern w:val="0"/>
                <w:szCs w:val="21"/>
              </w:rPr>
            </w:pPr>
            <w:r>
              <w:rPr>
                <w:rFonts w:ascii="宋体" w:hAnsi="宋体" w:cs="宋体" w:hint="eastAsia"/>
                <w:color w:val="000000"/>
                <w:kern w:val="0"/>
                <w:szCs w:val="21"/>
              </w:rPr>
              <w:t>2</w:t>
            </w:r>
            <w:r>
              <w:rPr>
                <w:rFonts w:ascii="宋体" w:hAnsi="宋体" w:cs="宋体" w:hint="eastAsia"/>
                <w:color w:val="000000"/>
                <w:kern w:val="0"/>
                <w:szCs w:val="21"/>
              </w:rPr>
              <w:t>）须提供任职证明、律师开始执业时间证明、律师执业证等证明材料，原件备查；</w:t>
            </w:r>
          </w:p>
          <w:p w:rsidR="008C0A47">
            <w:pPr>
              <w:wordWrap w:val="0"/>
              <w:rPr>
                <w:rFonts w:ascii="宋体" w:hAnsi="宋体" w:cs="宋体"/>
                <w:szCs w:val="21"/>
              </w:rPr>
            </w:pPr>
            <w:r>
              <w:rPr>
                <w:rFonts w:ascii="宋体" w:hAnsi="宋体" w:cs="宋体" w:hint="eastAsia"/>
                <w:szCs w:val="21"/>
              </w:rPr>
              <w:t>3</w:t>
            </w:r>
            <w:r>
              <w:rPr>
                <w:rFonts w:ascii="宋体" w:hAnsi="宋体" w:cs="宋体" w:hint="eastAsia"/>
                <w:szCs w:val="21"/>
              </w:rPr>
              <w:t>）须提供合同关键信息页、判决书关键信息或其他证明材料（载明专项法律服务小组人员为代理人的行政复议《决定书》、行政诉讼</w:t>
            </w:r>
            <w:r>
              <w:rPr>
                <w:rFonts w:ascii="宋体" w:hAnsi="宋体" w:cs="宋体" w:hint="eastAsia"/>
                <w:szCs w:val="21"/>
              </w:rPr>
              <w:t>《裁定书》《判决书》等法律文件）扫描件。</w:t>
            </w:r>
          </w:p>
          <w:p w:rsidR="008C0A47">
            <w:pPr>
              <w:wordWrap w:val="0"/>
              <w:rPr>
                <w:rFonts w:ascii="宋体" w:hAnsi="宋体" w:cs="宋体"/>
                <w:szCs w:val="21"/>
              </w:rPr>
            </w:pPr>
            <w:r>
              <w:rPr>
                <w:rFonts w:ascii="宋体" w:hAnsi="宋体" w:cs="宋体" w:hint="eastAsia"/>
                <w:szCs w:val="21"/>
              </w:rPr>
              <w:t>4</w:t>
            </w:r>
            <w:r>
              <w:rPr>
                <w:rFonts w:ascii="宋体" w:hAnsi="宋体" w:cs="宋体" w:hint="eastAsia"/>
                <w:szCs w:val="21"/>
              </w:rPr>
              <w:t>）评分中出现无证明资料或专家无法凭所提供资料判断是否得分的情况，一律作不得分处理。</w:t>
            </w:r>
          </w:p>
        </w:tc>
        <w:tc>
          <w:tcPr>
            <w:tcW w:w="1612" w:type="dxa"/>
            <w:tcBorders>
              <w:top w:val="single" w:sz="6" w:space="0" w:color="auto"/>
              <w:left w:val="nil"/>
              <w:bottom w:val="single" w:sz="6" w:space="0" w:color="auto"/>
              <w:right w:val="single" w:sz="6" w:space="0" w:color="auto"/>
            </w:tcBorders>
            <w:vAlign w:val="center"/>
          </w:tcPr>
          <w:p w:rsidR="008C0A47">
            <w:pPr>
              <w:autoSpaceDE w:val="0"/>
              <w:autoSpaceDN w:val="0"/>
              <w:adjustRightInd w:val="0"/>
              <w:snapToGrid w:val="0"/>
              <w:jc w:val="center"/>
              <w:rPr>
                <w:rFonts w:ascii="宋体" w:hAnsi="宋体" w:cs="宋体"/>
                <w:szCs w:val="21"/>
              </w:rPr>
            </w:pPr>
            <w:r>
              <w:rPr>
                <w:rFonts w:ascii="宋体" w:hAnsi="宋体" w:cs="宋体" w:hint="eastAsia"/>
                <w:szCs w:val="21"/>
              </w:rPr>
              <w:t>专家打分</w:t>
            </w:r>
          </w:p>
        </w:tc>
      </w:tr>
      <w:tr>
        <w:tblPrEx>
          <w:tblW w:w="9400" w:type="dxa"/>
          <w:jc w:val="center"/>
          <w:tblLayout w:type="fixed"/>
          <w:tblLook w:val="04A0"/>
        </w:tblPrEx>
        <w:trPr>
          <w:trHeight w:val="445"/>
          <w:jc w:val="center"/>
        </w:trPr>
        <w:tc>
          <w:tcPr>
            <w:tcW w:w="1065" w:type="dxa"/>
            <w:tcBorders>
              <w:top w:val="single" w:sz="6" w:space="0" w:color="auto"/>
              <w:left w:val="single" w:sz="6" w:space="0" w:color="auto"/>
              <w:bottom w:val="single" w:sz="6" w:space="0" w:color="auto"/>
              <w:right w:val="single" w:sz="6" w:space="0" w:color="auto"/>
            </w:tcBorders>
            <w:vAlign w:val="center"/>
          </w:tcPr>
          <w:p w:rsidR="008C0A47">
            <w:pPr>
              <w:autoSpaceDE w:val="0"/>
              <w:autoSpaceDN w:val="0"/>
              <w:adjustRightInd w:val="0"/>
              <w:snapToGrid w:val="0"/>
              <w:rPr>
                <w:rFonts w:ascii="宋体" w:hAnsi="宋体" w:cs="宋体"/>
                <w:szCs w:val="21"/>
              </w:rPr>
            </w:pPr>
            <w:r>
              <w:rPr>
                <w:rFonts w:ascii="宋体" w:hAnsi="宋体" w:cs="宋体" w:hint="eastAsia"/>
                <w:szCs w:val="21"/>
              </w:rPr>
              <w:t>5</w:t>
            </w:r>
          </w:p>
        </w:tc>
        <w:tc>
          <w:tcPr>
            <w:tcW w:w="1125" w:type="dxa"/>
            <w:tcBorders>
              <w:top w:val="single" w:sz="6" w:space="0" w:color="auto"/>
              <w:left w:val="nil"/>
              <w:bottom w:val="single" w:sz="6" w:space="0" w:color="auto"/>
              <w:right w:val="single" w:sz="6" w:space="0" w:color="auto"/>
            </w:tcBorders>
            <w:vAlign w:val="center"/>
          </w:tcPr>
          <w:p w:rsidR="008C0A47">
            <w:pPr>
              <w:autoSpaceDE w:val="0"/>
              <w:autoSpaceDN w:val="0"/>
              <w:adjustRightInd w:val="0"/>
              <w:snapToGrid w:val="0"/>
              <w:jc w:val="center"/>
              <w:rPr>
                <w:rFonts w:ascii="宋体" w:hAnsi="宋体" w:cs="宋体"/>
                <w:szCs w:val="21"/>
              </w:rPr>
            </w:pPr>
            <w:r>
              <w:rPr>
                <w:rFonts w:ascii="宋体" w:hAnsi="宋体" w:cs="宋体" w:hint="eastAsia"/>
                <w:szCs w:val="21"/>
              </w:rPr>
              <w:t>拟派驻点人员情况</w:t>
            </w:r>
          </w:p>
        </w:tc>
        <w:tc>
          <w:tcPr>
            <w:tcW w:w="719" w:type="dxa"/>
            <w:tcBorders>
              <w:top w:val="single" w:sz="6" w:space="0" w:color="auto"/>
              <w:left w:val="nil"/>
              <w:bottom w:val="single" w:sz="6" w:space="0" w:color="auto"/>
              <w:right w:val="single" w:sz="6" w:space="0" w:color="auto"/>
            </w:tcBorders>
            <w:vAlign w:val="center"/>
          </w:tcPr>
          <w:p w:rsidR="008C0A47">
            <w:pPr>
              <w:autoSpaceDE w:val="0"/>
              <w:autoSpaceDN w:val="0"/>
              <w:adjustRightInd w:val="0"/>
              <w:snapToGrid w:val="0"/>
              <w:jc w:val="center"/>
              <w:rPr>
                <w:rFonts w:ascii="宋体" w:hAnsi="宋体" w:cs="宋体"/>
                <w:kern w:val="0"/>
                <w:szCs w:val="21"/>
              </w:rPr>
            </w:pPr>
            <w:r>
              <w:rPr>
                <w:rFonts w:ascii="宋体" w:hAnsi="宋体" w:cs="宋体" w:hint="eastAsia"/>
                <w:szCs w:val="21"/>
              </w:rPr>
              <w:t>15</w:t>
            </w:r>
          </w:p>
        </w:tc>
        <w:tc>
          <w:tcPr>
            <w:tcW w:w="4879" w:type="dxa"/>
            <w:gridSpan w:val="2"/>
            <w:tcBorders>
              <w:top w:val="single" w:sz="6" w:space="0" w:color="auto"/>
              <w:left w:val="nil"/>
              <w:bottom w:val="single" w:sz="6" w:space="0" w:color="auto"/>
              <w:right w:val="single" w:sz="6" w:space="0" w:color="auto"/>
            </w:tcBorders>
            <w:vAlign w:val="center"/>
          </w:tcPr>
          <w:p w:rsidR="008C0A47">
            <w:pPr>
              <w:wordWrap w:val="0"/>
              <w:jc w:val="left"/>
              <w:rPr>
                <w:rFonts w:ascii="宋体" w:hAnsi="宋体" w:cs="宋体"/>
                <w:szCs w:val="21"/>
              </w:rPr>
            </w:pPr>
            <w:r>
              <w:rPr>
                <w:rFonts w:ascii="宋体" w:hAnsi="宋体" w:cs="宋体" w:hint="eastAsia"/>
                <w:szCs w:val="21"/>
              </w:rPr>
              <w:t>1.</w:t>
            </w:r>
            <w:r>
              <w:rPr>
                <w:rFonts w:ascii="宋体" w:hAnsi="宋体" w:cs="宋体" w:hint="eastAsia"/>
                <w:szCs w:val="21"/>
              </w:rPr>
              <w:t>评审标准：</w:t>
            </w:r>
            <w:r>
              <w:rPr>
                <w:rFonts w:ascii="宋体" w:hAnsi="宋体" w:cs="宋体" w:hint="eastAsia"/>
                <w:szCs w:val="21"/>
              </w:rPr>
              <w:t xml:space="preserve"> </w:t>
            </w:r>
          </w:p>
          <w:p w:rsidR="008C0A47">
            <w:pPr>
              <w:wordWrap w:val="0"/>
              <w:rPr>
                <w:rFonts w:ascii="宋体" w:hAnsi="宋体" w:cs="宋体"/>
                <w:szCs w:val="21"/>
              </w:rPr>
            </w:pPr>
            <w:r>
              <w:rPr>
                <w:rFonts w:ascii="宋体" w:hAnsi="宋体" w:cs="宋体" w:hint="eastAsia"/>
                <w:szCs w:val="21"/>
              </w:rPr>
              <w:t>在满足招标文件中关于驻点人员数量要求（</w:t>
            </w:r>
            <w:r>
              <w:rPr>
                <w:rFonts w:ascii="宋体" w:hAnsi="宋体" w:cs="宋体" w:hint="eastAsia"/>
                <w:szCs w:val="21"/>
              </w:rPr>
              <w:t>2</w:t>
            </w:r>
            <w:r>
              <w:rPr>
                <w:rFonts w:ascii="宋体" w:hAnsi="宋体" w:cs="宋体" w:hint="eastAsia"/>
                <w:szCs w:val="21"/>
              </w:rPr>
              <w:t>名执业律师、另有</w:t>
            </w:r>
            <w:r>
              <w:rPr>
                <w:rFonts w:ascii="宋体" w:hAnsi="宋体" w:cs="宋体" w:hint="eastAsia"/>
                <w:szCs w:val="21"/>
              </w:rPr>
              <w:t>3</w:t>
            </w:r>
            <w:r>
              <w:rPr>
                <w:rFonts w:ascii="宋体" w:hAnsi="宋体" w:cs="宋体" w:hint="eastAsia"/>
                <w:szCs w:val="21"/>
              </w:rPr>
              <w:t>名具有法律职业资格人员、</w:t>
            </w:r>
            <w:r>
              <w:rPr>
                <w:rFonts w:ascii="宋体" w:hAnsi="宋体" w:cs="宋体" w:hint="eastAsia"/>
                <w:szCs w:val="21"/>
              </w:rPr>
              <w:t>1</w:t>
            </w:r>
            <w:r>
              <w:rPr>
                <w:rFonts w:ascii="宋体" w:hAnsi="宋体" w:cs="宋体" w:hint="eastAsia"/>
                <w:szCs w:val="21"/>
              </w:rPr>
              <w:t>名应诉辅助人员）的基础上，按以下标准评分：</w:t>
            </w:r>
          </w:p>
          <w:p w:rsidR="008C0A47">
            <w:pPr>
              <w:wordWrap w:val="0"/>
              <w:rPr>
                <w:rFonts w:ascii="宋体" w:hAnsi="宋体" w:cs="宋体"/>
                <w:szCs w:val="21"/>
              </w:rPr>
            </w:pPr>
            <w:r>
              <w:rPr>
                <w:rFonts w:ascii="宋体" w:hAnsi="宋体" w:cs="宋体" w:hint="eastAsia"/>
                <w:szCs w:val="21"/>
              </w:rPr>
              <w:t>1</w:t>
            </w:r>
            <w:r>
              <w:rPr>
                <w:rFonts w:ascii="宋体" w:hAnsi="宋体" w:cs="宋体" w:hint="eastAsia"/>
                <w:szCs w:val="21"/>
              </w:rPr>
              <w:t>）</w:t>
            </w:r>
            <w:r>
              <w:rPr>
                <w:rFonts w:ascii="宋体" w:hAnsi="宋体" w:cs="宋体" w:hint="eastAsia"/>
                <w:szCs w:val="21"/>
              </w:rPr>
              <w:t>2</w:t>
            </w:r>
            <w:r>
              <w:rPr>
                <w:rFonts w:ascii="宋体" w:hAnsi="宋体" w:cs="宋体" w:hint="eastAsia"/>
                <w:szCs w:val="21"/>
              </w:rPr>
              <w:t>名执业律师符合以下要求：</w:t>
            </w:r>
          </w:p>
          <w:p w:rsidR="008C0A47">
            <w:pPr>
              <w:pStyle w:val="Heading2"/>
              <w:wordWrap w:val="0"/>
              <w:jc w:val="both"/>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1</w:t>
            </w:r>
            <w:r>
              <w:rPr>
                <w:rFonts w:ascii="宋体" w:hAnsi="宋体" w:cs="宋体" w:hint="eastAsia"/>
                <w:sz w:val="21"/>
                <w:szCs w:val="21"/>
              </w:rPr>
              <w:t>）具有硕士研究生及以上学位</w:t>
            </w:r>
          </w:p>
          <w:p w:rsidR="008C0A47">
            <w:pPr>
              <w:wordWrap w:val="0"/>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）执业年限</w:t>
            </w:r>
            <w:r>
              <w:rPr>
                <w:rFonts w:ascii="宋体" w:hAnsi="宋体" w:cs="宋体" w:hint="eastAsia"/>
                <w:szCs w:val="21"/>
              </w:rPr>
              <w:t>6</w:t>
            </w:r>
            <w:r>
              <w:rPr>
                <w:rFonts w:ascii="宋体" w:hAnsi="宋体" w:cs="宋体" w:hint="eastAsia"/>
                <w:szCs w:val="21"/>
              </w:rPr>
              <w:t>年及以上；</w:t>
            </w:r>
          </w:p>
          <w:p w:rsidR="008C0A47">
            <w:pPr>
              <w:wordWrap w:val="0"/>
              <w:rPr>
                <w:rFonts w:ascii="宋体" w:hAnsi="宋体" w:cs="宋体"/>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）每名执业律师都具有</w:t>
            </w:r>
            <w:r>
              <w:rPr>
                <w:rFonts w:ascii="宋体" w:hAnsi="宋体" w:cs="宋体" w:hint="eastAsia"/>
                <w:szCs w:val="21"/>
              </w:rPr>
              <w:t>10</w:t>
            </w:r>
            <w:r>
              <w:rPr>
                <w:rFonts w:ascii="宋体" w:hAnsi="宋体" w:cs="宋体" w:hint="eastAsia"/>
                <w:szCs w:val="21"/>
              </w:rPr>
              <w:t>次及以上行政复议或行政诉讼代理经验；</w:t>
            </w:r>
          </w:p>
          <w:p w:rsidR="008C0A47">
            <w:pPr>
              <w:wordWrap w:val="0"/>
              <w:rPr>
                <w:rFonts w:ascii="宋体" w:hAnsi="宋体" w:cs="宋体"/>
                <w:szCs w:val="21"/>
              </w:rPr>
            </w:pPr>
            <w:r>
              <w:rPr>
                <w:rFonts w:ascii="宋体" w:hAnsi="宋体" w:cs="宋体" w:hint="eastAsia"/>
                <w:szCs w:val="21"/>
              </w:rPr>
              <w:t>同时满足以上</w:t>
            </w:r>
            <w:r>
              <w:rPr>
                <w:rFonts w:ascii="宋体" w:hAnsi="宋体" w:cs="宋体" w:hint="eastAsia"/>
                <w:szCs w:val="21"/>
              </w:rPr>
              <w:t>3</w:t>
            </w:r>
            <w:r>
              <w:rPr>
                <w:rFonts w:ascii="宋体" w:hAnsi="宋体" w:cs="宋体" w:hint="eastAsia"/>
                <w:szCs w:val="21"/>
              </w:rPr>
              <w:t>项的，得</w:t>
            </w:r>
            <w:r>
              <w:rPr>
                <w:rFonts w:ascii="宋体" w:hAnsi="宋体" w:cs="宋体" w:hint="eastAsia"/>
                <w:szCs w:val="21"/>
              </w:rPr>
              <w:t>70%</w:t>
            </w:r>
            <w:r>
              <w:rPr>
                <w:rFonts w:ascii="宋体" w:hAnsi="宋体" w:cs="宋体" w:hint="eastAsia"/>
                <w:szCs w:val="21"/>
              </w:rPr>
              <w:t>分，满足以上</w:t>
            </w:r>
            <w:r>
              <w:rPr>
                <w:rFonts w:ascii="宋体" w:hAnsi="宋体" w:cs="宋体" w:hint="eastAsia"/>
                <w:szCs w:val="21"/>
              </w:rPr>
              <w:t>2</w:t>
            </w:r>
            <w:r>
              <w:rPr>
                <w:rFonts w:ascii="宋体" w:hAnsi="宋体" w:cs="宋体" w:hint="eastAsia"/>
                <w:szCs w:val="21"/>
              </w:rPr>
              <w:t>项的，得</w:t>
            </w:r>
            <w:r>
              <w:rPr>
                <w:rFonts w:ascii="宋体" w:hAnsi="宋体" w:cs="宋体" w:hint="eastAsia"/>
                <w:szCs w:val="21"/>
              </w:rPr>
              <w:t>35%</w:t>
            </w:r>
            <w:r>
              <w:rPr>
                <w:rFonts w:ascii="宋体" w:hAnsi="宋体" w:cs="宋体" w:hint="eastAsia"/>
                <w:szCs w:val="21"/>
              </w:rPr>
              <w:t>，其余不得分；；</w:t>
            </w:r>
          </w:p>
          <w:p w:rsidR="008C0A47">
            <w:pPr>
              <w:wordWrap w:val="0"/>
              <w:rPr>
                <w:rFonts w:ascii="宋体" w:hAnsi="宋体" w:cs="宋体"/>
                <w:szCs w:val="21"/>
              </w:rPr>
            </w:pPr>
            <w:r>
              <w:rPr>
                <w:rFonts w:ascii="宋体" w:hAnsi="宋体" w:cs="宋体" w:hint="eastAsia"/>
                <w:szCs w:val="21"/>
              </w:rPr>
              <w:t>2</w:t>
            </w:r>
            <w:r>
              <w:rPr>
                <w:rFonts w:ascii="宋体" w:hAnsi="宋体" w:cs="宋体" w:hint="eastAsia"/>
                <w:szCs w:val="21"/>
              </w:rPr>
              <w:t>）</w:t>
            </w:r>
            <w:r>
              <w:rPr>
                <w:rFonts w:ascii="宋体" w:hAnsi="宋体" w:cs="宋体" w:hint="eastAsia"/>
                <w:szCs w:val="21"/>
              </w:rPr>
              <w:t>3</w:t>
            </w:r>
            <w:r>
              <w:rPr>
                <w:rFonts w:ascii="宋体" w:hAnsi="宋体" w:cs="宋体" w:hint="eastAsia"/>
                <w:szCs w:val="21"/>
              </w:rPr>
              <w:t>名具有法律职业资格驻点人员符合以下要求：</w:t>
            </w:r>
          </w:p>
          <w:p w:rsidR="008C0A47">
            <w:pPr>
              <w:wordWrap w:val="0"/>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w:t>
            </w:r>
            <w:r>
              <w:rPr>
                <w:rFonts w:ascii="宋体" w:hAnsi="宋体" w:cs="宋体" w:hint="eastAsia"/>
                <w:szCs w:val="21"/>
              </w:rPr>
              <w:t>3</w:t>
            </w:r>
            <w:r>
              <w:rPr>
                <w:rFonts w:ascii="宋体" w:hAnsi="宋体" w:cs="宋体" w:hint="eastAsia"/>
                <w:szCs w:val="21"/>
              </w:rPr>
              <w:t>名驻点人员均具有</w:t>
            </w:r>
            <w:r>
              <w:rPr>
                <w:rFonts w:ascii="宋体" w:hAnsi="宋体" w:cs="宋体" w:hint="eastAsia"/>
                <w:szCs w:val="21"/>
              </w:rPr>
              <w:t>3</w:t>
            </w:r>
            <w:r>
              <w:rPr>
                <w:rFonts w:ascii="宋体" w:hAnsi="宋体" w:cs="宋体" w:hint="eastAsia"/>
                <w:szCs w:val="21"/>
              </w:rPr>
              <w:t>家及以上政府行政机关</w:t>
            </w:r>
            <w:r>
              <w:rPr>
                <w:rFonts w:ascii="宋体" w:hAnsi="宋体" w:cs="宋体" w:hint="eastAsia"/>
                <w:szCs w:val="21"/>
              </w:rPr>
              <w:t>或部门法律服务经验；</w:t>
            </w:r>
          </w:p>
          <w:p w:rsidR="008C0A47">
            <w:pPr>
              <w:wordWrap w:val="0"/>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w:t>
            </w:r>
            <w:r>
              <w:rPr>
                <w:rFonts w:ascii="宋体" w:hAnsi="宋体" w:cs="宋体" w:hint="eastAsia"/>
                <w:szCs w:val="21"/>
              </w:rPr>
              <w:t>3</w:t>
            </w:r>
            <w:r>
              <w:rPr>
                <w:rFonts w:ascii="宋体" w:hAnsi="宋体" w:cs="宋体" w:hint="eastAsia"/>
                <w:szCs w:val="21"/>
              </w:rPr>
              <w:t>名驻点人员均具有</w:t>
            </w:r>
            <w:r>
              <w:rPr>
                <w:rFonts w:ascii="宋体" w:hAnsi="宋体" w:cs="宋体" w:hint="eastAsia"/>
                <w:szCs w:val="21"/>
              </w:rPr>
              <w:t>2</w:t>
            </w:r>
            <w:r>
              <w:rPr>
                <w:rFonts w:ascii="宋体" w:hAnsi="宋体" w:cs="宋体" w:hint="eastAsia"/>
                <w:szCs w:val="21"/>
              </w:rPr>
              <w:t>家及以上政府行政机关或部门政府投资、招标投标或建设工程领域法律实务工作经验；</w:t>
            </w:r>
          </w:p>
          <w:p w:rsidR="008C0A47">
            <w:pPr>
              <w:wordWrap w:val="0"/>
              <w:rPr>
                <w:rFonts w:ascii="宋体" w:hAnsi="宋体" w:cs="宋体"/>
                <w:szCs w:val="21"/>
              </w:rPr>
            </w:pPr>
            <w:r>
              <w:rPr>
                <w:rFonts w:ascii="宋体" w:hAnsi="宋体" w:cs="宋体" w:hint="eastAsia"/>
                <w:szCs w:val="21"/>
              </w:rPr>
              <w:t>满足其中一项得</w:t>
            </w:r>
            <w:r>
              <w:rPr>
                <w:rFonts w:ascii="宋体" w:hAnsi="宋体" w:cs="宋体" w:hint="eastAsia"/>
                <w:szCs w:val="21"/>
              </w:rPr>
              <w:t>15%</w:t>
            </w:r>
            <w:r>
              <w:rPr>
                <w:rFonts w:ascii="宋体" w:hAnsi="宋体" w:cs="宋体" w:hint="eastAsia"/>
                <w:szCs w:val="21"/>
              </w:rPr>
              <w:t>分，最高得</w:t>
            </w:r>
            <w:r>
              <w:rPr>
                <w:rFonts w:ascii="宋体" w:hAnsi="宋体" w:cs="宋体" w:hint="eastAsia"/>
                <w:szCs w:val="21"/>
              </w:rPr>
              <w:t>30%</w:t>
            </w:r>
            <w:r>
              <w:rPr>
                <w:rFonts w:ascii="宋体" w:hAnsi="宋体" w:cs="宋体" w:hint="eastAsia"/>
                <w:szCs w:val="21"/>
              </w:rPr>
              <w:t>分。</w:t>
            </w:r>
          </w:p>
          <w:p w:rsidR="008C0A47">
            <w:pPr>
              <w:wordWrap w:val="0"/>
              <w:rPr>
                <w:rFonts w:ascii="宋体" w:hAnsi="宋体" w:cs="宋体"/>
                <w:szCs w:val="21"/>
              </w:rPr>
            </w:pPr>
            <w:r>
              <w:rPr>
                <w:rFonts w:ascii="宋体" w:hAnsi="宋体" w:cs="宋体" w:hint="eastAsia"/>
                <w:szCs w:val="21"/>
              </w:rPr>
              <w:t>2.</w:t>
            </w:r>
            <w:r>
              <w:rPr>
                <w:rFonts w:ascii="宋体" w:hAnsi="宋体" w:cs="宋体" w:hint="eastAsia"/>
                <w:szCs w:val="21"/>
              </w:rPr>
              <w:t>证明文件：</w:t>
            </w:r>
            <w:r>
              <w:rPr>
                <w:rFonts w:ascii="宋体" w:hAnsi="宋体" w:cs="宋体" w:hint="eastAsia"/>
                <w:szCs w:val="21"/>
              </w:rPr>
              <w:t xml:space="preserve"> </w:t>
            </w:r>
          </w:p>
          <w:p w:rsidR="008C0A47">
            <w:pPr>
              <w:wordWrap w:val="0"/>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）律师事务所如分所（办公室）参与投标的，需单独提供相关证明材料，提供总所相关证明材料的，不</w:t>
            </w:r>
            <w:r>
              <w:rPr>
                <w:rFonts w:ascii="宋体" w:hAnsi="宋体" w:cs="宋体" w:hint="eastAsia"/>
                <w:color w:val="000000"/>
                <w:kern w:val="0"/>
                <w:szCs w:val="21"/>
              </w:rPr>
              <w:t>得分；</w:t>
            </w:r>
          </w:p>
          <w:p w:rsidR="008C0A47">
            <w:pPr>
              <w:wordWrap w:val="0"/>
              <w:rPr>
                <w:rFonts w:ascii="宋体" w:hAnsi="宋体" w:cs="宋体"/>
                <w:color w:val="000000"/>
                <w:kern w:val="0"/>
                <w:szCs w:val="21"/>
              </w:rPr>
            </w:pPr>
            <w:r>
              <w:rPr>
                <w:rFonts w:ascii="宋体" w:hAnsi="宋体" w:cs="宋体" w:hint="eastAsia"/>
                <w:color w:val="000000"/>
                <w:kern w:val="0"/>
                <w:szCs w:val="21"/>
              </w:rPr>
              <w:t>2</w:t>
            </w:r>
            <w:r>
              <w:rPr>
                <w:rFonts w:ascii="宋体" w:hAnsi="宋体" w:cs="宋体" w:hint="eastAsia"/>
                <w:color w:val="000000"/>
                <w:kern w:val="0"/>
                <w:szCs w:val="21"/>
              </w:rPr>
              <w:t>）</w:t>
            </w:r>
            <w:r>
              <w:rPr>
                <w:rFonts w:ascii="宋体" w:hAnsi="宋体" w:cs="宋体" w:hint="eastAsia"/>
                <w:color w:val="000000"/>
                <w:kern w:val="0"/>
                <w:szCs w:val="21"/>
              </w:rPr>
              <w:t>执业律师</w:t>
            </w:r>
            <w:r>
              <w:rPr>
                <w:rFonts w:ascii="宋体" w:hAnsi="宋体" w:cs="宋体" w:hint="eastAsia"/>
                <w:color w:val="000000"/>
                <w:kern w:val="0"/>
                <w:szCs w:val="21"/>
              </w:rPr>
              <w:t>须提供律师</w:t>
            </w:r>
            <w:r>
              <w:rPr>
                <w:rFonts w:ascii="宋体" w:hAnsi="宋体" w:cs="宋体" w:hint="eastAsia"/>
                <w:color w:val="000000"/>
                <w:kern w:val="0"/>
                <w:szCs w:val="21"/>
              </w:rPr>
              <w:t>学位证（</w:t>
            </w:r>
            <w:r>
              <w:rPr>
                <w:rFonts w:ascii="宋体" w:hAnsi="宋体" w:cs="宋体" w:hint="eastAsia"/>
                <w:color w:val="000000"/>
                <w:kern w:val="0"/>
                <w:szCs w:val="21"/>
              </w:rPr>
              <w:t>学位证明需同时</w:t>
            </w:r>
            <w:r>
              <w:rPr>
                <w:rFonts w:ascii="宋体" w:hAnsi="宋体" w:cs="宋体" w:hint="eastAsia"/>
                <w:color w:val="000000"/>
                <w:kern w:val="0"/>
                <w:szCs w:val="21"/>
              </w:rPr>
              <w:t>提供学信网</w:t>
            </w:r>
            <w:r>
              <w:rPr>
                <w:rFonts w:ascii="宋体" w:hAnsi="宋体" w:cs="宋体" w:hint="eastAsia"/>
                <w:color w:val="000000"/>
                <w:kern w:val="0"/>
                <w:szCs w:val="21"/>
              </w:rPr>
              <w:t>查询记录，原件备查。较早颁发的学历学位证书，学</w:t>
            </w:r>
            <w:r>
              <w:rPr>
                <w:rFonts w:ascii="宋体" w:hAnsi="宋体" w:cs="宋体" w:hint="eastAsia"/>
                <w:color w:val="000000"/>
                <w:kern w:val="0"/>
                <w:szCs w:val="21"/>
              </w:rPr>
              <w:t>信网无法</w:t>
            </w:r>
            <w:r>
              <w:rPr>
                <w:rFonts w:ascii="宋体" w:hAnsi="宋体" w:cs="宋体" w:hint="eastAsia"/>
                <w:color w:val="000000"/>
                <w:kern w:val="0"/>
                <w:szCs w:val="21"/>
              </w:rPr>
              <w:t>查询的，投标人须提供其他佐证材料</w:t>
            </w:r>
            <w:r>
              <w:rPr>
                <w:rFonts w:ascii="宋体" w:hAnsi="宋体" w:cs="宋体" w:hint="eastAsia"/>
                <w:color w:val="000000"/>
                <w:kern w:val="0"/>
                <w:szCs w:val="21"/>
              </w:rPr>
              <w:t>，</w:t>
            </w:r>
            <w:r>
              <w:rPr>
                <w:rFonts w:ascii="宋体" w:hAnsi="宋体" w:cs="宋体" w:hint="eastAsia"/>
                <w:color w:val="000000"/>
                <w:kern w:val="0"/>
                <w:szCs w:val="21"/>
              </w:rPr>
              <w:t>如毕业院校、</w:t>
            </w:r>
            <w:r>
              <w:rPr>
                <w:rFonts w:ascii="宋体" w:hAnsi="宋体" w:cs="宋体" w:hint="eastAsia"/>
                <w:color w:val="000000"/>
                <w:kern w:val="0"/>
                <w:szCs w:val="21"/>
              </w:rPr>
              <w:t>人社部门</w:t>
            </w:r>
            <w:r>
              <w:rPr>
                <w:rFonts w:ascii="宋体" w:hAnsi="宋体" w:cs="宋体" w:hint="eastAsia"/>
                <w:color w:val="000000"/>
                <w:kern w:val="0"/>
                <w:szCs w:val="21"/>
              </w:rPr>
              <w:t>等颁发机构或监管机构等单位出具的证明</w:t>
            </w:r>
            <w:r>
              <w:rPr>
                <w:rFonts w:ascii="宋体" w:hAnsi="宋体" w:cs="宋体" w:hint="eastAsia"/>
                <w:color w:val="000000"/>
                <w:kern w:val="0"/>
                <w:szCs w:val="21"/>
              </w:rPr>
              <w:t>）、</w:t>
            </w:r>
            <w:r>
              <w:rPr>
                <w:rFonts w:ascii="宋体" w:hAnsi="宋体" w:cs="宋体" w:hint="eastAsia"/>
                <w:color w:val="000000"/>
                <w:kern w:val="0"/>
                <w:szCs w:val="21"/>
              </w:rPr>
              <w:t>开始执业时间证明、律师执业证、合同关键信息页、判决书关键信息页或其他证明资料等证明材料，原件备查。</w:t>
            </w:r>
          </w:p>
          <w:p w:rsidR="008C0A47">
            <w:pPr>
              <w:rPr>
                <w:rFonts w:ascii="宋体" w:hAnsi="宋体" w:cs="宋体"/>
                <w:szCs w:val="21"/>
              </w:rPr>
            </w:pPr>
            <w:r>
              <w:rPr>
                <w:rFonts w:ascii="宋体" w:hAnsi="宋体" w:cs="宋体" w:hint="eastAsia"/>
                <w:szCs w:val="21"/>
              </w:rPr>
              <w:t>3</w:t>
            </w:r>
            <w:r>
              <w:rPr>
                <w:rFonts w:ascii="宋体" w:hAnsi="宋体" w:cs="宋体" w:hint="eastAsia"/>
                <w:szCs w:val="21"/>
              </w:rPr>
              <w:t>）</w:t>
            </w:r>
            <w:r>
              <w:rPr>
                <w:rFonts w:ascii="宋体" w:hAnsi="宋体" w:cs="宋体" w:hint="eastAsia"/>
                <w:szCs w:val="21"/>
              </w:rPr>
              <w:t>法律职业资格驻点人员</w:t>
            </w:r>
            <w:r>
              <w:rPr>
                <w:rFonts w:ascii="宋体" w:hAnsi="宋体" w:cs="宋体" w:hint="eastAsia"/>
                <w:szCs w:val="21"/>
              </w:rPr>
              <w:t>须提供法律职业资格证、合同关键信息页、判决书关键信息页或其他证明资料（载明驻点人员为代理人的行政复议《决定书》、行政诉讼《裁定书》《判决书》等法律文件）扫描件，原件备查。评分中出</w:t>
            </w:r>
            <w:r>
              <w:rPr>
                <w:rFonts w:ascii="宋体" w:hAnsi="宋体" w:cs="宋体" w:hint="eastAsia"/>
                <w:szCs w:val="21"/>
              </w:rPr>
              <w:t>现无证明资料或专家无法凭所提供资料判断是否得分的情况，一律作不得分处理。</w:t>
            </w:r>
          </w:p>
        </w:tc>
        <w:tc>
          <w:tcPr>
            <w:tcW w:w="1612" w:type="dxa"/>
            <w:tcBorders>
              <w:top w:val="single" w:sz="6" w:space="0" w:color="auto"/>
              <w:left w:val="nil"/>
              <w:bottom w:val="single" w:sz="6" w:space="0" w:color="auto"/>
              <w:right w:val="single" w:sz="6" w:space="0" w:color="auto"/>
            </w:tcBorders>
            <w:vAlign w:val="center"/>
          </w:tcPr>
          <w:p w:rsidR="008C0A47">
            <w:pPr>
              <w:autoSpaceDE w:val="0"/>
              <w:autoSpaceDN w:val="0"/>
              <w:adjustRightInd w:val="0"/>
              <w:snapToGrid w:val="0"/>
              <w:rPr>
                <w:rFonts w:ascii="宋体" w:hAnsi="宋体" w:cs="宋体"/>
                <w:szCs w:val="21"/>
              </w:rPr>
            </w:pPr>
            <w:r>
              <w:rPr>
                <w:rFonts w:ascii="宋体" w:hAnsi="宋体" w:cs="宋体" w:hint="eastAsia"/>
                <w:szCs w:val="21"/>
              </w:rPr>
              <w:t>专家打分</w:t>
            </w:r>
          </w:p>
        </w:tc>
      </w:tr>
      <w:tr>
        <w:tblPrEx>
          <w:tblW w:w="9400" w:type="dxa"/>
          <w:jc w:val="center"/>
          <w:tblLayout w:type="fixed"/>
          <w:tblLook w:val="04A0"/>
        </w:tblPrEx>
        <w:trPr>
          <w:trHeight w:val="480"/>
          <w:jc w:val="center"/>
        </w:trPr>
        <w:tc>
          <w:tcPr>
            <w:tcW w:w="7788" w:type="dxa"/>
            <w:gridSpan w:val="5"/>
            <w:tcBorders>
              <w:top w:val="single" w:sz="6" w:space="0" w:color="auto"/>
              <w:left w:val="single" w:sz="6" w:space="0" w:color="auto"/>
              <w:bottom w:val="single" w:sz="6" w:space="0" w:color="auto"/>
              <w:right w:val="single" w:sz="6" w:space="0" w:color="auto"/>
            </w:tcBorders>
            <w:vAlign w:val="center"/>
          </w:tcPr>
          <w:p w:rsidR="008C0A47">
            <w:pPr>
              <w:autoSpaceDE w:val="0"/>
              <w:autoSpaceDN w:val="0"/>
              <w:adjustRightInd w:val="0"/>
              <w:snapToGrid w:val="0"/>
              <w:jc w:val="center"/>
              <w:rPr>
                <w:rFonts w:ascii="宋体" w:hAnsi="宋体" w:cs="宋体"/>
                <w:b/>
                <w:szCs w:val="21"/>
              </w:rPr>
            </w:pPr>
            <w:r>
              <w:rPr>
                <w:rFonts w:ascii="宋体" w:hAnsi="宋体" w:cs="宋体" w:hint="eastAsia"/>
                <w:b/>
                <w:szCs w:val="21"/>
              </w:rPr>
              <w:t>三、技术部分</w:t>
            </w:r>
          </w:p>
        </w:tc>
        <w:tc>
          <w:tcPr>
            <w:tcW w:w="1612" w:type="dxa"/>
            <w:tcBorders>
              <w:top w:val="single" w:sz="6" w:space="0" w:color="auto"/>
              <w:left w:val="nil"/>
              <w:bottom w:val="single" w:sz="6" w:space="0" w:color="auto"/>
              <w:right w:val="single" w:sz="6" w:space="0" w:color="auto"/>
            </w:tcBorders>
            <w:vAlign w:val="center"/>
          </w:tcPr>
          <w:p w:rsidR="008C0A47">
            <w:pPr>
              <w:autoSpaceDE w:val="0"/>
              <w:autoSpaceDN w:val="0"/>
              <w:adjustRightInd w:val="0"/>
              <w:snapToGrid w:val="0"/>
              <w:jc w:val="center"/>
              <w:rPr>
                <w:rFonts w:ascii="宋体" w:hAnsi="宋体" w:cs="宋体"/>
                <w:szCs w:val="21"/>
              </w:rPr>
            </w:pPr>
            <w:r>
              <w:rPr>
                <w:rFonts w:ascii="宋体" w:hAnsi="宋体" w:cs="宋体" w:hint="eastAsia"/>
                <w:szCs w:val="21"/>
              </w:rPr>
              <w:t>1</w:t>
            </w:r>
            <w:r>
              <w:rPr>
                <w:rFonts w:ascii="宋体" w:hAnsi="宋体" w:cs="宋体" w:hint="eastAsia"/>
                <w:szCs w:val="21"/>
              </w:rPr>
              <w:t>0</w:t>
            </w:r>
          </w:p>
        </w:tc>
      </w:tr>
      <w:tr>
        <w:tblPrEx>
          <w:tblW w:w="9400" w:type="dxa"/>
          <w:jc w:val="center"/>
          <w:tblLayout w:type="fixed"/>
          <w:tblLook w:val="04A0"/>
        </w:tblPrEx>
        <w:trPr>
          <w:trHeight w:val="480"/>
          <w:jc w:val="center"/>
        </w:trPr>
        <w:tc>
          <w:tcPr>
            <w:tcW w:w="1065" w:type="dxa"/>
            <w:tcBorders>
              <w:top w:val="single" w:sz="6" w:space="0" w:color="auto"/>
              <w:left w:val="single" w:sz="6" w:space="0" w:color="auto"/>
              <w:bottom w:val="single" w:sz="6" w:space="0" w:color="auto"/>
              <w:right w:val="single" w:sz="6" w:space="0" w:color="auto"/>
            </w:tcBorders>
            <w:vAlign w:val="center"/>
          </w:tcPr>
          <w:p w:rsidR="008C0A47">
            <w:pPr>
              <w:autoSpaceDE w:val="0"/>
              <w:autoSpaceDN w:val="0"/>
              <w:adjustRightInd w:val="0"/>
              <w:snapToGrid w:val="0"/>
              <w:jc w:val="center"/>
              <w:rPr>
                <w:rFonts w:ascii="宋体" w:hAnsi="宋体" w:cs="宋体"/>
                <w:szCs w:val="21"/>
              </w:rPr>
            </w:pPr>
            <w:r>
              <w:rPr>
                <w:rFonts w:ascii="宋体" w:hAnsi="宋体" w:cs="宋体" w:hint="eastAsia"/>
                <w:szCs w:val="21"/>
              </w:rPr>
              <w:t>序号</w:t>
            </w:r>
          </w:p>
        </w:tc>
        <w:tc>
          <w:tcPr>
            <w:tcW w:w="1125" w:type="dxa"/>
            <w:tcBorders>
              <w:top w:val="single" w:sz="6" w:space="0" w:color="auto"/>
              <w:left w:val="nil"/>
              <w:bottom w:val="single" w:sz="6" w:space="0" w:color="auto"/>
              <w:right w:val="single" w:sz="6" w:space="0" w:color="auto"/>
            </w:tcBorders>
            <w:vAlign w:val="center"/>
          </w:tcPr>
          <w:p w:rsidR="008C0A47">
            <w:pPr>
              <w:autoSpaceDE w:val="0"/>
              <w:autoSpaceDN w:val="0"/>
              <w:adjustRightInd w:val="0"/>
              <w:snapToGrid w:val="0"/>
              <w:jc w:val="center"/>
              <w:rPr>
                <w:rFonts w:ascii="宋体" w:hAnsi="宋体" w:cs="宋体"/>
                <w:szCs w:val="21"/>
              </w:rPr>
            </w:pPr>
            <w:r>
              <w:rPr>
                <w:rFonts w:ascii="宋体" w:hAnsi="宋体" w:cs="宋体" w:hint="eastAsia"/>
                <w:szCs w:val="21"/>
              </w:rPr>
              <w:t>内容</w:t>
            </w:r>
          </w:p>
        </w:tc>
        <w:tc>
          <w:tcPr>
            <w:tcW w:w="777" w:type="dxa"/>
            <w:gridSpan w:val="2"/>
            <w:tcBorders>
              <w:top w:val="single" w:sz="6" w:space="0" w:color="auto"/>
              <w:left w:val="nil"/>
              <w:bottom w:val="single" w:sz="6" w:space="0" w:color="auto"/>
              <w:right w:val="single" w:sz="6" w:space="0" w:color="auto"/>
            </w:tcBorders>
            <w:vAlign w:val="center"/>
          </w:tcPr>
          <w:p w:rsidR="008C0A47">
            <w:pPr>
              <w:autoSpaceDE w:val="0"/>
              <w:autoSpaceDN w:val="0"/>
              <w:adjustRightInd w:val="0"/>
              <w:snapToGrid w:val="0"/>
              <w:jc w:val="center"/>
              <w:rPr>
                <w:rFonts w:ascii="宋体" w:hAnsi="宋体" w:cs="宋体"/>
                <w:szCs w:val="21"/>
              </w:rPr>
            </w:pPr>
            <w:r>
              <w:rPr>
                <w:rFonts w:ascii="宋体" w:hAnsi="宋体" w:cs="宋体" w:hint="eastAsia"/>
                <w:szCs w:val="21"/>
              </w:rPr>
              <w:t>权重</w:t>
            </w:r>
          </w:p>
        </w:tc>
        <w:tc>
          <w:tcPr>
            <w:tcW w:w="4821" w:type="dxa"/>
            <w:tcBorders>
              <w:top w:val="single" w:sz="6" w:space="0" w:color="auto"/>
              <w:left w:val="nil"/>
              <w:bottom w:val="single" w:sz="6" w:space="0" w:color="auto"/>
              <w:right w:val="single" w:sz="6" w:space="0" w:color="auto"/>
            </w:tcBorders>
            <w:vAlign w:val="center"/>
          </w:tcPr>
          <w:p w:rsidR="008C0A47">
            <w:pPr>
              <w:autoSpaceDE w:val="0"/>
              <w:autoSpaceDN w:val="0"/>
              <w:adjustRightInd w:val="0"/>
              <w:snapToGrid w:val="0"/>
              <w:jc w:val="center"/>
              <w:rPr>
                <w:rFonts w:ascii="宋体" w:hAnsi="宋体" w:cs="宋体"/>
                <w:szCs w:val="21"/>
              </w:rPr>
            </w:pPr>
            <w:r>
              <w:rPr>
                <w:rFonts w:ascii="宋体" w:hAnsi="宋体" w:cs="宋体" w:hint="eastAsia"/>
                <w:szCs w:val="21"/>
              </w:rPr>
              <w:t>评分规则</w:t>
            </w:r>
          </w:p>
        </w:tc>
        <w:tc>
          <w:tcPr>
            <w:tcW w:w="1612" w:type="dxa"/>
            <w:tcBorders>
              <w:top w:val="single" w:sz="6" w:space="0" w:color="auto"/>
              <w:left w:val="nil"/>
              <w:bottom w:val="single" w:sz="6" w:space="0" w:color="auto"/>
              <w:right w:val="single" w:sz="6" w:space="0" w:color="auto"/>
            </w:tcBorders>
            <w:vAlign w:val="center"/>
          </w:tcPr>
          <w:p w:rsidR="008C0A47">
            <w:pPr>
              <w:autoSpaceDE w:val="0"/>
              <w:autoSpaceDN w:val="0"/>
              <w:adjustRightInd w:val="0"/>
              <w:snapToGrid w:val="0"/>
              <w:jc w:val="center"/>
              <w:rPr>
                <w:rFonts w:ascii="宋体" w:hAnsi="宋体" w:cs="宋体"/>
                <w:szCs w:val="21"/>
              </w:rPr>
            </w:pPr>
            <w:r>
              <w:rPr>
                <w:rFonts w:ascii="宋体" w:hAnsi="宋体" w:cs="宋体" w:hint="eastAsia"/>
                <w:szCs w:val="21"/>
              </w:rPr>
              <w:t>评分方式</w:t>
            </w:r>
          </w:p>
        </w:tc>
      </w:tr>
      <w:tr>
        <w:tblPrEx>
          <w:tblW w:w="9400" w:type="dxa"/>
          <w:jc w:val="center"/>
          <w:tblLayout w:type="fixed"/>
          <w:tblLook w:val="04A0"/>
        </w:tblPrEx>
        <w:trPr>
          <w:trHeight w:val="480"/>
          <w:jc w:val="center"/>
        </w:trPr>
        <w:tc>
          <w:tcPr>
            <w:tcW w:w="1065" w:type="dxa"/>
            <w:tcBorders>
              <w:top w:val="single" w:sz="6" w:space="0" w:color="auto"/>
              <w:left w:val="single" w:sz="6" w:space="0" w:color="auto"/>
              <w:bottom w:val="single" w:sz="6" w:space="0" w:color="auto"/>
              <w:right w:val="single" w:sz="6" w:space="0" w:color="auto"/>
            </w:tcBorders>
            <w:vAlign w:val="center"/>
          </w:tcPr>
          <w:p w:rsidR="008C0A47">
            <w:pPr>
              <w:autoSpaceDE w:val="0"/>
              <w:autoSpaceDN w:val="0"/>
              <w:adjustRightInd w:val="0"/>
              <w:snapToGrid w:val="0"/>
              <w:jc w:val="center"/>
              <w:rPr>
                <w:rFonts w:ascii="宋体" w:hAnsi="宋体" w:cs="宋体"/>
                <w:szCs w:val="21"/>
              </w:rPr>
            </w:pPr>
            <w:r>
              <w:rPr>
                <w:rFonts w:ascii="宋体" w:hAnsi="宋体" w:cs="宋体" w:hint="eastAsia"/>
                <w:szCs w:val="21"/>
              </w:rPr>
              <w:t>1</w:t>
            </w:r>
          </w:p>
        </w:tc>
        <w:tc>
          <w:tcPr>
            <w:tcW w:w="1125" w:type="dxa"/>
            <w:tcBorders>
              <w:top w:val="single" w:sz="6" w:space="0" w:color="auto"/>
              <w:left w:val="nil"/>
              <w:bottom w:val="single" w:sz="6" w:space="0" w:color="auto"/>
              <w:right w:val="single" w:sz="6" w:space="0" w:color="auto"/>
            </w:tcBorders>
            <w:vAlign w:val="center"/>
          </w:tcPr>
          <w:p w:rsidR="008C0A47">
            <w:pPr>
              <w:autoSpaceDE w:val="0"/>
              <w:autoSpaceDN w:val="0"/>
              <w:adjustRightInd w:val="0"/>
              <w:snapToGrid w:val="0"/>
              <w:jc w:val="center"/>
              <w:rPr>
                <w:rFonts w:ascii="宋体" w:hAnsi="宋体" w:cs="宋体"/>
                <w:szCs w:val="21"/>
              </w:rPr>
            </w:pPr>
            <w:r>
              <w:rPr>
                <w:rFonts w:ascii="宋体" w:hAnsi="宋体" w:cs="宋体" w:hint="eastAsia"/>
                <w:szCs w:val="21"/>
              </w:rPr>
              <w:t>服务方案及计划</w:t>
            </w:r>
          </w:p>
        </w:tc>
        <w:tc>
          <w:tcPr>
            <w:tcW w:w="719" w:type="dxa"/>
            <w:tcBorders>
              <w:top w:val="single" w:sz="6" w:space="0" w:color="auto"/>
              <w:left w:val="nil"/>
              <w:bottom w:val="single" w:sz="6" w:space="0" w:color="auto"/>
              <w:right w:val="single" w:sz="6" w:space="0" w:color="auto"/>
            </w:tcBorders>
            <w:vAlign w:val="center"/>
          </w:tcPr>
          <w:p w:rsidR="008C0A47">
            <w:pPr>
              <w:autoSpaceDE w:val="0"/>
              <w:autoSpaceDN w:val="0"/>
              <w:adjustRightInd w:val="0"/>
              <w:snapToGrid w:val="0"/>
              <w:jc w:val="center"/>
              <w:rPr>
                <w:rFonts w:ascii="宋体" w:hAnsi="宋体" w:cs="宋体"/>
                <w:szCs w:val="21"/>
              </w:rPr>
            </w:pPr>
            <w:r>
              <w:rPr>
                <w:rFonts w:ascii="宋体" w:hAnsi="宋体" w:cs="宋体" w:hint="eastAsia"/>
                <w:szCs w:val="21"/>
              </w:rPr>
              <w:t>5</w:t>
            </w:r>
          </w:p>
        </w:tc>
        <w:tc>
          <w:tcPr>
            <w:tcW w:w="4879" w:type="dxa"/>
            <w:gridSpan w:val="2"/>
            <w:tcBorders>
              <w:top w:val="single" w:sz="6" w:space="0" w:color="auto"/>
              <w:left w:val="nil"/>
              <w:bottom w:val="single" w:sz="6" w:space="0" w:color="auto"/>
              <w:right w:val="single" w:sz="6" w:space="0" w:color="auto"/>
            </w:tcBorders>
            <w:vAlign w:val="center"/>
          </w:tcPr>
          <w:p w:rsidR="008C0A47">
            <w:pPr>
              <w:jc w:val="left"/>
              <w:rPr>
                <w:rFonts w:ascii="宋体" w:hAnsi="宋体" w:cs="宋体"/>
                <w:b/>
                <w:bCs/>
                <w:szCs w:val="21"/>
              </w:rPr>
            </w:pPr>
            <w:r>
              <w:rPr>
                <w:rFonts w:ascii="宋体" w:hAnsi="宋体" w:cs="宋体" w:hint="eastAsia"/>
                <w:b/>
                <w:bCs/>
                <w:szCs w:val="21"/>
              </w:rPr>
              <w:t>1.</w:t>
            </w:r>
            <w:r>
              <w:rPr>
                <w:rFonts w:ascii="宋体" w:hAnsi="宋体" w:cs="宋体" w:hint="eastAsia"/>
                <w:b/>
                <w:bCs/>
                <w:szCs w:val="21"/>
              </w:rPr>
              <w:t>评审内容：</w:t>
            </w:r>
          </w:p>
          <w:p w:rsidR="008C0A47">
            <w:pPr>
              <w:jc w:val="left"/>
              <w:rPr>
                <w:rFonts w:ascii="宋体" w:hAnsi="宋体" w:cs="宋体"/>
                <w:szCs w:val="21"/>
              </w:rPr>
            </w:pPr>
            <w:r>
              <w:rPr>
                <w:rFonts w:ascii="宋体" w:hAnsi="宋体" w:cs="宋体" w:hint="eastAsia"/>
                <w:szCs w:val="21"/>
              </w:rPr>
              <w:t>考察投标人是否具有完整详细的年度服务实施方案，包括</w:t>
            </w:r>
          </w:p>
          <w:p w:rsidR="008C0A47">
            <w:pPr>
              <w:jc w:val="left"/>
              <w:rPr>
                <w:rFonts w:ascii="宋体" w:hAnsi="宋体" w:cs="宋体"/>
                <w:szCs w:val="21"/>
              </w:rPr>
            </w:pPr>
            <w:r>
              <w:rPr>
                <w:rFonts w:ascii="宋体" w:hAnsi="宋体" w:cs="宋体" w:hint="eastAsia"/>
                <w:szCs w:val="21"/>
              </w:rPr>
              <w:t>1.</w:t>
            </w:r>
            <w:r>
              <w:rPr>
                <w:rFonts w:ascii="宋体" w:hAnsi="宋体" w:cs="宋体" w:hint="eastAsia"/>
                <w:szCs w:val="21"/>
              </w:rPr>
              <w:t>服务目标、</w:t>
            </w:r>
          </w:p>
          <w:p w:rsidR="008C0A47">
            <w:pPr>
              <w:jc w:val="left"/>
              <w:rPr>
                <w:rFonts w:ascii="宋体" w:hAnsi="宋体" w:cs="宋体"/>
                <w:szCs w:val="21"/>
              </w:rPr>
            </w:pPr>
            <w:r>
              <w:rPr>
                <w:rFonts w:ascii="宋体" w:hAnsi="宋体" w:cs="宋体" w:hint="eastAsia"/>
                <w:szCs w:val="21"/>
              </w:rPr>
              <w:t>2.</w:t>
            </w:r>
            <w:r>
              <w:rPr>
                <w:rFonts w:ascii="宋体" w:hAnsi="宋体" w:cs="宋体" w:hint="eastAsia"/>
                <w:szCs w:val="21"/>
              </w:rPr>
              <w:t>重点及具体服务内容</w:t>
            </w:r>
          </w:p>
          <w:p w:rsidR="008C0A47">
            <w:pPr>
              <w:jc w:val="left"/>
              <w:rPr>
                <w:rFonts w:ascii="宋体" w:hAnsi="宋体" w:cs="宋体"/>
                <w:szCs w:val="21"/>
              </w:rPr>
            </w:pPr>
            <w:r>
              <w:rPr>
                <w:rFonts w:ascii="宋体" w:hAnsi="宋体" w:cs="宋体" w:hint="eastAsia"/>
                <w:szCs w:val="21"/>
              </w:rPr>
              <w:t>3.</w:t>
            </w:r>
            <w:r>
              <w:rPr>
                <w:rFonts w:ascii="宋体" w:hAnsi="宋体" w:cs="宋体" w:hint="eastAsia"/>
                <w:szCs w:val="21"/>
              </w:rPr>
              <w:t>具有符合需求的措施、方法、手段及流程。</w:t>
            </w:r>
          </w:p>
          <w:p w:rsidR="008C0A47">
            <w:pPr>
              <w:jc w:val="left"/>
              <w:rPr>
                <w:rFonts w:ascii="宋体" w:hAnsi="宋体" w:cs="宋体"/>
                <w:b/>
                <w:bCs/>
                <w:szCs w:val="21"/>
              </w:rPr>
            </w:pPr>
            <w:r>
              <w:rPr>
                <w:rFonts w:ascii="宋体" w:hAnsi="宋体" w:cs="宋体" w:hint="eastAsia"/>
                <w:b/>
                <w:bCs/>
                <w:szCs w:val="21"/>
              </w:rPr>
              <w:t>2.</w:t>
            </w:r>
            <w:r>
              <w:rPr>
                <w:rFonts w:ascii="宋体" w:hAnsi="宋体" w:cs="宋体" w:hint="eastAsia"/>
                <w:b/>
                <w:bCs/>
                <w:szCs w:val="21"/>
              </w:rPr>
              <w:t>评审标准：</w:t>
            </w:r>
          </w:p>
          <w:p w:rsidR="008C0A47">
            <w:pPr>
              <w:jc w:val="left"/>
              <w:rPr>
                <w:rFonts w:ascii="宋体" w:hAnsi="宋体" w:cs="宋体"/>
                <w:bCs/>
                <w:iCs/>
                <w:szCs w:val="21"/>
              </w:rPr>
            </w:pPr>
            <w:r>
              <w:rPr>
                <w:rFonts w:ascii="宋体" w:hAnsi="宋体" w:cs="宋体" w:hint="eastAsia"/>
                <w:bCs/>
                <w:iCs/>
                <w:szCs w:val="21"/>
              </w:rPr>
              <w:t>（</w:t>
            </w:r>
            <w:r>
              <w:rPr>
                <w:rFonts w:ascii="宋体" w:hAnsi="宋体" w:cs="宋体" w:hint="eastAsia"/>
                <w:bCs/>
                <w:iCs/>
                <w:szCs w:val="21"/>
              </w:rPr>
              <w:t>1</w:t>
            </w:r>
            <w:r>
              <w:rPr>
                <w:rFonts w:ascii="宋体" w:hAnsi="宋体" w:cs="宋体" w:hint="eastAsia"/>
                <w:bCs/>
                <w:iCs/>
                <w:szCs w:val="21"/>
              </w:rPr>
              <w:t>）服务方案及计划包含上述三点得</w:t>
            </w:r>
            <w:r>
              <w:rPr>
                <w:rFonts w:ascii="宋体" w:hAnsi="宋体" w:cs="宋体" w:hint="eastAsia"/>
                <w:bCs/>
                <w:iCs/>
                <w:szCs w:val="21"/>
              </w:rPr>
              <w:t>60%</w:t>
            </w:r>
            <w:r>
              <w:rPr>
                <w:rFonts w:ascii="宋体" w:hAnsi="宋体" w:cs="宋体" w:hint="eastAsia"/>
                <w:bCs/>
                <w:iCs/>
                <w:szCs w:val="21"/>
              </w:rPr>
              <w:t>分，</w:t>
            </w:r>
            <w:r>
              <w:rPr>
                <w:rFonts w:ascii="宋体" w:hAnsi="宋体" w:cs="宋体" w:hint="eastAsia"/>
                <w:szCs w:val="21"/>
              </w:rPr>
              <w:t>每满足</w:t>
            </w:r>
            <w:r>
              <w:rPr>
                <w:rFonts w:ascii="宋体" w:hAnsi="宋体" w:cs="宋体" w:hint="eastAsia"/>
                <w:szCs w:val="21"/>
              </w:rPr>
              <w:t>任意一点得</w:t>
            </w:r>
            <w:r>
              <w:rPr>
                <w:rFonts w:ascii="宋体" w:hAnsi="宋体" w:cs="宋体" w:hint="eastAsia"/>
                <w:szCs w:val="21"/>
              </w:rPr>
              <w:t>20%</w:t>
            </w:r>
            <w:r>
              <w:rPr>
                <w:rFonts w:ascii="宋体" w:hAnsi="宋体" w:cs="宋体" w:hint="eastAsia"/>
                <w:szCs w:val="21"/>
              </w:rPr>
              <w:t>分，最高得</w:t>
            </w:r>
            <w:r>
              <w:rPr>
                <w:rFonts w:ascii="宋体" w:hAnsi="宋体" w:cs="宋体" w:hint="eastAsia"/>
                <w:szCs w:val="21"/>
              </w:rPr>
              <w:t>60%</w:t>
            </w:r>
            <w:r>
              <w:rPr>
                <w:rFonts w:ascii="宋体" w:hAnsi="宋体" w:cs="宋体" w:hint="eastAsia"/>
                <w:szCs w:val="21"/>
              </w:rPr>
              <w:t>分</w:t>
            </w:r>
            <w:r>
              <w:rPr>
                <w:rFonts w:ascii="宋体" w:hAnsi="宋体" w:cs="宋体" w:hint="eastAsia"/>
                <w:szCs w:val="21"/>
              </w:rPr>
              <w:t>，未满足不得分</w:t>
            </w:r>
            <w:r>
              <w:rPr>
                <w:rFonts w:ascii="宋体" w:hAnsi="宋体" w:cs="宋体" w:hint="eastAsia"/>
                <w:bCs/>
                <w:iCs/>
                <w:szCs w:val="21"/>
              </w:rPr>
              <w:t>；</w:t>
            </w:r>
          </w:p>
          <w:p w:rsidR="008C0A47">
            <w:pPr>
              <w:jc w:val="left"/>
              <w:rPr>
                <w:rFonts w:ascii="宋体" w:hAnsi="宋体" w:cs="宋体"/>
                <w:szCs w:val="21"/>
              </w:rPr>
            </w:pPr>
            <w:r>
              <w:rPr>
                <w:rFonts w:ascii="宋体" w:hAnsi="宋体" w:cs="宋体" w:hint="eastAsia"/>
                <w:bCs/>
                <w:iCs/>
                <w:szCs w:val="21"/>
              </w:rPr>
              <w:t>（</w:t>
            </w:r>
            <w:r>
              <w:rPr>
                <w:rFonts w:ascii="宋体" w:hAnsi="宋体" w:cs="宋体" w:hint="eastAsia"/>
                <w:bCs/>
                <w:iCs/>
                <w:szCs w:val="21"/>
              </w:rPr>
              <w:t>2</w:t>
            </w:r>
            <w:r>
              <w:rPr>
                <w:rFonts w:ascii="宋体" w:hAnsi="宋体" w:cs="宋体" w:hint="eastAsia"/>
                <w:bCs/>
                <w:iCs/>
                <w:szCs w:val="21"/>
              </w:rPr>
              <w:t>）在此基础上，专家根据各供应商的</w:t>
            </w:r>
            <w:r>
              <w:rPr>
                <w:rFonts w:ascii="宋体" w:hAnsi="宋体" w:cs="宋体" w:hint="eastAsia"/>
                <w:bCs/>
                <w:iCs/>
                <w:szCs w:val="21"/>
              </w:rPr>
              <w:t>具体响应</w:t>
            </w:r>
            <w:r>
              <w:rPr>
                <w:rFonts w:ascii="宋体" w:hAnsi="宋体" w:cs="宋体" w:hint="eastAsia"/>
                <w:bCs/>
                <w:iCs/>
                <w:szCs w:val="21"/>
              </w:rPr>
              <w:t>内容进一步评审：方案成熟，内容详细，可行性强，评审</w:t>
            </w:r>
            <w:r>
              <w:rPr>
                <w:rFonts w:ascii="宋体" w:hAnsi="宋体" w:cs="宋体" w:hint="eastAsia"/>
                <w:bCs/>
                <w:iCs/>
                <w:szCs w:val="21"/>
              </w:rPr>
              <w:t>为优得</w:t>
            </w:r>
            <w:r>
              <w:rPr>
                <w:rFonts w:ascii="宋体" w:hAnsi="宋体" w:cs="宋体" w:hint="eastAsia"/>
                <w:bCs/>
                <w:iCs/>
                <w:szCs w:val="21"/>
              </w:rPr>
              <w:t>40%</w:t>
            </w:r>
            <w:r>
              <w:rPr>
                <w:rFonts w:ascii="宋体" w:hAnsi="宋体" w:cs="宋体" w:hint="eastAsia"/>
                <w:bCs/>
                <w:iCs/>
                <w:szCs w:val="21"/>
              </w:rPr>
              <w:t>分；方案较为成熟的，内容较详细，可行性较强，评价</w:t>
            </w:r>
            <w:r>
              <w:rPr>
                <w:rFonts w:ascii="宋体" w:hAnsi="宋体" w:cs="宋体" w:hint="eastAsia"/>
                <w:bCs/>
                <w:iCs/>
                <w:szCs w:val="21"/>
              </w:rPr>
              <w:t>为良得</w:t>
            </w:r>
            <w:r>
              <w:rPr>
                <w:rFonts w:ascii="宋体" w:hAnsi="宋体" w:cs="宋体" w:hint="eastAsia"/>
                <w:bCs/>
                <w:iCs/>
                <w:szCs w:val="21"/>
              </w:rPr>
              <w:t>30%</w:t>
            </w:r>
            <w:r>
              <w:rPr>
                <w:rFonts w:ascii="宋体" w:hAnsi="宋体" w:cs="宋体" w:hint="eastAsia"/>
                <w:bCs/>
                <w:iCs/>
                <w:szCs w:val="21"/>
              </w:rPr>
              <w:t>分；方案不完善，不满足项目部分需求的，评价为中得</w:t>
            </w:r>
            <w:r>
              <w:rPr>
                <w:rFonts w:ascii="宋体" w:hAnsi="宋体" w:cs="宋体" w:hint="eastAsia"/>
                <w:bCs/>
                <w:iCs/>
                <w:szCs w:val="21"/>
              </w:rPr>
              <w:t>20%</w:t>
            </w:r>
            <w:r>
              <w:rPr>
                <w:rFonts w:ascii="宋体" w:hAnsi="宋体" w:cs="宋体" w:hint="eastAsia"/>
                <w:bCs/>
                <w:iCs/>
                <w:szCs w:val="21"/>
              </w:rPr>
              <w:t>分；方案基本不能满足本项目要求的评审为差的不得分。</w:t>
            </w:r>
          </w:p>
        </w:tc>
        <w:tc>
          <w:tcPr>
            <w:tcW w:w="1612" w:type="dxa"/>
            <w:tcBorders>
              <w:top w:val="single" w:sz="6" w:space="0" w:color="auto"/>
              <w:left w:val="nil"/>
              <w:bottom w:val="single" w:sz="6" w:space="0" w:color="auto"/>
              <w:right w:val="single" w:sz="6" w:space="0" w:color="auto"/>
            </w:tcBorders>
            <w:vAlign w:val="center"/>
          </w:tcPr>
          <w:p w:rsidR="008C0A47">
            <w:pPr>
              <w:autoSpaceDE w:val="0"/>
              <w:autoSpaceDN w:val="0"/>
              <w:adjustRightInd w:val="0"/>
              <w:snapToGrid w:val="0"/>
              <w:jc w:val="center"/>
              <w:rPr>
                <w:rFonts w:ascii="宋体" w:hAnsi="宋体" w:cs="宋体"/>
                <w:szCs w:val="21"/>
              </w:rPr>
            </w:pPr>
            <w:r>
              <w:rPr>
                <w:rFonts w:ascii="宋体" w:hAnsi="宋体" w:cs="宋体" w:hint="eastAsia"/>
                <w:szCs w:val="21"/>
              </w:rPr>
              <w:t>专家打分</w:t>
            </w:r>
          </w:p>
        </w:tc>
      </w:tr>
      <w:tr>
        <w:tblPrEx>
          <w:tblW w:w="9400" w:type="dxa"/>
          <w:jc w:val="center"/>
          <w:tblLayout w:type="fixed"/>
          <w:tblLook w:val="04A0"/>
        </w:tblPrEx>
        <w:trPr>
          <w:trHeight w:val="90"/>
          <w:jc w:val="center"/>
        </w:trPr>
        <w:tc>
          <w:tcPr>
            <w:tcW w:w="1065" w:type="dxa"/>
            <w:tcBorders>
              <w:top w:val="single" w:sz="6" w:space="0" w:color="auto"/>
              <w:left w:val="single" w:sz="6" w:space="0" w:color="auto"/>
              <w:bottom w:val="single" w:sz="6" w:space="0" w:color="auto"/>
              <w:right w:val="single" w:sz="6" w:space="0" w:color="auto"/>
            </w:tcBorders>
            <w:vAlign w:val="center"/>
          </w:tcPr>
          <w:p w:rsidR="008C0A47">
            <w:pPr>
              <w:autoSpaceDE w:val="0"/>
              <w:autoSpaceDN w:val="0"/>
              <w:adjustRightInd w:val="0"/>
              <w:snapToGrid w:val="0"/>
              <w:rPr>
                <w:rFonts w:ascii="宋体" w:hAnsi="宋体" w:cs="宋体"/>
                <w:szCs w:val="21"/>
              </w:rPr>
            </w:pPr>
            <w:r>
              <w:rPr>
                <w:rFonts w:ascii="宋体" w:hAnsi="宋体" w:cs="宋体" w:hint="eastAsia"/>
                <w:szCs w:val="21"/>
              </w:rPr>
              <w:t>2</w:t>
            </w:r>
          </w:p>
        </w:tc>
        <w:tc>
          <w:tcPr>
            <w:tcW w:w="1125" w:type="dxa"/>
            <w:tcBorders>
              <w:top w:val="single" w:sz="6" w:space="0" w:color="auto"/>
              <w:left w:val="nil"/>
              <w:bottom w:val="single" w:sz="6" w:space="0" w:color="auto"/>
              <w:right w:val="single" w:sz="6" w:space="0" w:color="auto"/>
            </w:tcBorders>
            <w:vAlign w:val="center"/>
          </w:tcPr>
          <w:p w:rsidR="008C0A47">
            <w:pPr>
              <w:autoSpaceDE w:val="0"/>
              <w:autoSpaceDN w:val="0"/>
              <w:adjustRightInd w:val="0"/>
              <w:snapToGrid w:val="0"/>
              <w:jc w:val="center"/>
              <w:rPr>
                <w:rFonts w:ascii="宋体" w:hAnsi="宋体" w:cs="宋体"/>
                <w:szCs w:val="21"/>
              </w:rPr>
            </w:pPr>
            <w:r>
              <w:rPr>
                <w:rFonts w:ascii="宋体" w:hAnsi="宋体" w:cs="宋体" w:hint="eastAsia"/>
                <w:szCs w:val="21"/>
              </w:rPr>
              <w:t>质量（完成时间、安全、环保）保障措施及方案</w:t>
            </w:r>
          </w:p>
        </w:tc>
        <w:tc>
          <w:tcPr>
            <w:tcW w:w="719" w:type="dxa"/>
            <w:tcBorders>
              <w:top w:val="single" w:sz="6" w:space="0" w:color="auto"/>
              <w:left w:val="nil"/>
              <w:bottom w:val="single" w:sz="6" w:space="0" w:color="auto"/>
              <w:right w:val="single" w:sz="6" w:space="0" w:color="auto"/>
            </w:tcBorders>
            <w:vAlign w:val="center"/>
          </w:tcPr>
          <w:p w:rsidR="008C0A47">
            <w:pPr>
              <w:autoSpaceDE w:val="0"/>
              <w:autoSpaceDN w:val="0"/>
              <w:adjustRightInd w:val="0"/>
              <w:snapToGrid w:val="0"/>
              <w:jc w:val="center"/>
              <w:rPr>
                <w:rFonts w:ascii="宋体" w:hAnsi="宋体" w:cs="宋体"/>
                <w:szCs w:val="21"/>
              </w:rPr>
            </w:pPr>
            <w:r>
              <w:rPr>
                <w:rFonts w:ascii="宋体" w:hAnsi="宋体" w:cs="宋体" w:hint="eastAsia"/>
                <w:szCs w:val="21"/>
              </w:rPr>
              <w:t>5</w:t>
            </w:r>
          </w:p>
        </w:tc>
        <w:tc>
          <w:tcPr>
            <w:tcW w:w="4879" w:type="dxa"/>
            <w:gridSpan w:val="2"/>
            <w:tcBorders>
              <w:top w:val="single" w:sz="6" w:space="0" w:color="auto"/>
              <w:left w:val="nil"/>
              <w:bottom w:val="single" w:sz="6" w:space="0" w:color="auto"/>
              <w:right w:val="single" w:sz="6" w:space="0" w:color="auto"/>
            </w:tcBorders>
            <w:vAlign w:val="center"/>
          </w:tcPr>
          <w:p w:rsidR="008C0A47">
            <w:pPr>
              <w:jc w:val="left"/>
              <w:rPr>
                <w:rFonts w:ascii="宋体" w:hAnsi="宋体" w:cs="宋体"/>
                <w:b/>
                <w:bCs/>
                <w:szCs w:val="21"/>
              </w:rPr>
            </w:pPr>
            <w:r>
              <w:rPr>
                <w:rFonts w:ascii="宋体" w:hAnsi="宋体" w:cs="宋体" w:hint="eastAsia"/>
                <w:b/>
                <w:bCs/>
                <w:szCs w:val="21"/>
              </w:rPr>
              <w:t>1.</w:t>
            </w:r>
            <w:r>
              <w:rPr>
                <w:rFonts w:ascii="宋体" w:hAnsi="宋体" w:cs="宋体" w:hint="eastAsia"/>
                <w:b/>
                <w:bCs/>
                <w:szCs w:val="21"/>
              </w:rPr>
              <w:t>评审标准：</w:t>
            </w:r>
          </w:p>
          <w:p w:rsidR="008C0A47">
            <w:pPr>
              <w:jc w:val="left"/>
              <w:rPr>
                <w:rFonts w:ascii="宋体" w:hAnsi="宋体" w:cs="宋体"/>
                <w:szCs w:val="21"/>
              </w:rPr>
            </w:pPr>
            <w:r>
              <w:rPr>
                <w:rFonts w:ascii="宋体" w:hAnsi="宋体" w:cs="宋体" w:hint="eastAsia"/>
                <w:szCs w:val="21"/>
              </w:rPr>
              <w:t>为保障项目有效运作，针对制定配套的项目管理制度，至少包括项目质量控制制度、保密措施、完成时限、项目沟通联络制度（包括跟踪服务、意见反馈等反面）、项目档案管理制度、项目风险管理制度等进行综合评价。</w:t>
            </w:r>
          </w:p>
          <w:p w:rsidR="008C0A47">
            <w:pPr>
              <w:jc w:val="left"/>
              <w:rPr>
                <w:rFonts w:ascii="宋体" w:hAnsi="宋体" w:cs="宋体"/>
                <w:b/>
                <w:bCs/>
                <w:szCs w:val="21"/>
              </w:rPr>
            </w:pPr>
            <w:r>
              <w:rPr>
                <w:rFonts w:ascii="宋体" w:hAnsi="宋体" w:cs="宋体" w:hint="eastAsia"/>
                <w:b/>
                <w:bCs/>
                <w:szCs w:val="21"/>
              </w:rPr>
              <w:t>2.</w:t>
            </w:r>
            <w:r>
              <w:rPr>
                <w:rFonts w:ascii="宋体" w:hAnsi="宋体" w:cs="宋体" w:hint="eastAsia"/>
                <w:b/>
                <w:bCs/>
                <w:szCs w:val="21"/>
              </w:rPr>
              <w:t>评审标准：</w:t>
            </w:r>
          </w:p>
          <w:p w:rsidR="008C0A47">
            <w:pPr>
              <w:widowControl/>
              <w:autoSpaceDE w:val="0"/>
              <w:jc w:val="left"/>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w:t>
            </w:r>
            <w:r>
              <w:rPr>
                <w:rFonts w:ascii="宋体" w:hAnsi="宋体" w:cs="宋体" w:hint="eastAsia"/>
                <w:szCs w:val="21"/>
              </w:rPr>
              <w:t>项目管理制度方案包含上述</w:t>
            </w:r>
            <w:r>
              <w:rPr>
                <w:rFonts w:ascii="宋体" w:hAnsi="宋体" w:cs="宋体" w:hint="eastAsia"/>
                <w:szCs w:val="21"/>
              </w:rPr>
              <w:t>6</w:t>
            </w:r>
            <w:r>
              <w:rPr>
                <w:rFonts w:ascii="宋体" w:hAnsi="宋体" w:cs="宋体" w:hint="eastAsia"/>
                <w:szCs w:val="21"/>
              </w:rPr>
              <w:t>点得</w:t>
            </w:r>
            <w:r>
              <w:rPr>
                <w:rFonts w:ascii="宋体" w:hAnsi="宋体" w:cs="宋体" w:hint="eastAsia"/>
                <w:szCs w:val="21"/>
              </w:rPr>
              <w:t>60%</w:t>
            </w:r>
            <w:r>
              <w:rPr>
                <w:rFonts w:ascii="宋体" w:hAnsi="宋体" w:cs="宋体" w:hint="eastAsia"/>
                <w:szCs w:val="21"/>
              </w:rPr>
              <w:t>分，</w:t>
            </w:r>
            <w:r>
              <w:rPr>
                <w:rFonts w:ascii="宋体" w:hAnsi="宋体" w:cs="宋体" w:hint="eastAsia"/>
                <w:szCs w:val="21"/>
              </w:rPr>
              <w:t>每满足</w:t>
            </w:r>
            <w:r>
              <w:rPr>
                <w:rFonts w:ascii="宋体" w:hAnsi="宋体" w:cs="宋体" w:hint="eastAsia"/>
                <w:szCs w:val="21"/>
              </w:rPr>
              <w:t>任意一点得</w:t>
            </w:r>
            <w:r>
              <w:rPr>
                <w:rFonts w:ascii="宋体" w:hAnsi="宋体" w:cs="宋体" w:hint="eastAsia"/>
                <w:szCs w:val="21"/>
              </w:rPr>
              <w:t>10%</w:t>
            </w:r>
            <w:r>
              <w:rPr>
                <w:rFonts w:ascii="宋体" w:hAnsi="宋体" w:cs="宋体" w:hint="eastAsia"/>
                <w:szCs w:val="21"/>
              </w:rPr>
              <w:t>分，最高得</w:t>
            </w:r>
            <w:r>
              <w:rPr>
                <w:rFonts w:ascii="宋体" w:hAnsi="宋体" w:cs="宋体" w:hint="eastAsia"/>
                <w:szCs w:val="21"/>
              </w:rPr>
              <w:t>60%</w:t>
            </w:r>
            <w:r>
              <w:rPr>
                <w:rFonts w:ascii="宋体" w:hAnsi="宋体" w:cs="宋体" w:hint="eastAsia"/>
                <w:szCs w:val="21"/>
              </w:rPr>
              <w:t>，未满足不得分；</w:t>
            </w:r>
          </w:p>
          <w:p w:rsidR="008C0A47">
            <w:pPr>
              <w:widowControl/>
              <w:autoSpaceDE w:val="0"/>
              <w:jc w:val="left"/>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）在此基础上，专家根据各供应商的</w:t>
            </w:r>
            <w:r>
              <w:rPr>
                <w:rFonts w:ascii="宋体" w:hAnsi="宋体" w:cs="宋体" w:hint="eastAsia"/>
                <w:szCs w:val="21"/>
              </w:rPr>
              <w:t>具体响应</w:t>
            </w:r>
            <w:r>
              <w:rPr>
                <w:rFonts w:ascii="宋体" w:hAnsi="宋体" w:cs="宋体" w:hint="eastAsia"/>
                <w:szCs w:val="21"/>
              </w:rPr>
              <w:t>内容进一步评审：项目质量保障措施方案成熟，内容详细，可行性强，评审</w:t>
            </w:r>
            <w:r>
              <w:rPr>
                <w:rFonts w:ascii="宋体" w:hAnsi="宋体" w:cs="宋体" w:hint="eastAsia"/>
                <w:szCs w:val="21"/>
              </w:rPr>
              <w:t>为优得</w:t>
            </w:r>
            <w:r>
              <w:rPr>
                <w:rFonts w:ascii="宋体" w:hAnsi="宋体" w:cs="宋体" w:hint="eastAsia"/>
                <w:szCs w:val="21"/>
              </w:rPr>
              <w:t>40%</w:t>
            </w:r>
            <w:r>
              <w:rPr>
                <w:rFonts w:ascii="宋体" w:hAnsi="宋体" w:cs="宋体" w:hint="eastAsia"/>
                <w:szCs w:val="21"/>
              </w:rPr>
              <w:t>分；方案较为成熟的，内容较详细，可行性较强，评价</w:t>
            </w:r>
            <w:r>
              <w:rPr>
                <w:rFonts w:ascii="宋体" w:hAnsi="宋体" w:cs="宋体" w:hint="eastAsia"/>
                <w:szCs w:val="21"/>
              </w:rPr>
              <w:t>为良得</w:t>
            </w:r>
            <w:r>
              <w:rPr>
                <w:rFonts w:ascii="宋体" w:hAnsi="宋体" w:cs="宋体" w:hint="eastAsia"/>
                <w:szCs w:val="21"/>
              </w:rPr>
              <w:t>30%</w:t>
            </w:r>
            <w:r>
              <w:rPr>
                <w:rFonts w:ascii="宋体" w:hAnsi="宋体" w:cs="宋体" w:hint="eastAsia"/>
                <w:szCs w:val="21"/>
              </w:rPr>
              <w:t>分；方案不完善，不满足项目部分需求的，评价为中得</w:t>
            </w:r>
            <w:r>
              <w:rPr>
                <w:rFonts w:ascii="宋体" w:hAnsi="宋体" w:cs="宋体" w:hint="eastAsia"/>
                <w:szCs w:val="21"/>
              </w:rPr>
              <w:t>20%</w:t>
            </w:r>
            <w:r>
              <w:rPr>
                <w:rFonts w:ascii="宋体" w:hAnsi="宋体" w:cs="宋体" w:hint="eastAsia"/>
                <w:szCs w:val="21"/>
              </w:rPr>
              <w:t>分；方案基本不能满足本项目要求的评审为差的不得分。</w:t>
            </w:r>
          </w:p>
        </w:tc>
        <w:tc>
          <w:tcPr>
            <w:tcW w:w="1612" w:type="dxa"/>
            <w:tcBorders>
              <w:top w:val="single" w:sz="6" w:space="0" w:color="auto"/>
              <w:left w:val="nil"/>
              <w:bottom w:val="single" w:sz="6" w:space="0" w:color="auto"/>
              <w:right w:val="single" w:sz="6" w:space="0" w:color="auto"/>
            </w:tcBorders>
            <w:vAlign w:val="center"/>
          </w:tcPr>
          <w:p w:rsidR="008C0A47">
            <w:pPr>
              <w:autoSpaceDE w:val="0"/>
              <w:autoSpaceDN w:val="0"/>
              <w:adjustRightInd w:val="0"/>
              <w:snapToGrid w:val="0"/>
              <w:jc w:val="center"/>
              <w:rPr>
                <w:rFonts w:ascii="宋体" w:hAnsi="宋体" w:cs="宋体"/>
                <w:szCs w:val="21"/>
              </w:rPr>
            </w:pPr>
            <w:r>
              <w:rPr>
                <w:rFonts w:ascii="宋体" w:hAnsi="宋体" w:cs="宋体" w:hint="eastAsia"/>
                <w:szCs w:val="21"/>
              </w:rPr>
              <w:t>专家打分</w:t>
            </w:r>
          </w:p>
        </w:tc>
      </w:tr>
      <w:tr>
        <w:tblPrEx>
          <w:tblW w:w="9400" w:type="dxa"/>
          <w:jc w:val="center"/>
          <w:tblLayout w:type="fixed"/>
          <w:tblLook w:val="04A0"/>
        </w:tblPrEx>
        <w:trPr>
          <w:trHeight w:val="480"/>
          <w:jc w:val="center"/>
        </w:trPr>
        <w:tc>
          <w:tcPr>
            <w:tcW w:w="7788" w:type="dxa"/>
            <w:gridSpan w:val="5"/>
            <w:tcBorders>
              <w:top w:val="single" w:sz="6" w:space="0" w:color="auto"/>
              <w:left w:val="single" w:sz="6" w:space="0" w:color="auto"/>
              <w:bottom w:val="single" w:sz="6" w:space="0" w:color="auto"/>
              <w:right w:val="single" w:sz="6" w:space="0" w:color="auto"/>
            </w:tcBorders>
            <w:vAlign w:val="center"/>
          </w:tcPr>
          <w:p w:rsidR="008C0A47">
            <w:pPr>
              <w:autoSpaceDE w:val="0"/>
              <w:autoSpaceDN w:val="0"/>
              <w:adjustRightInd w:val="0"/>
              <w:snapToGrid w:val="0"/>
              <w:jc w:val="center"/>
              <w:rPr>
                <w:rFonts w:ascii="宋体" w:hAnsi="宋体" w:cs="宋体"/>
                <w:b/>
                <w:szCs w:val="21"/>
              </w:rPr>
            </w:pPr>
            <w:r>
              <w:rPr>
                <w:rFonts w:ascii="宋体" w:hAnsi="宋体" w:cs="宋体" w:hint="eastAsia"/>
                <w:b/>
                <w:szCs w:val="21"/>
              </w:rPr>
              <w:t>四</w:t>
            </w:r>
            <w:r>
              <w:rPr>
                <w:rFonts w:ascii="宋体" w:hAnsi="宋体" w:cs="宋体" w:hint="eastAsia"/>
                <w:b/>
                <w:szCs w:val="21"/>
              </w:rPr>
              <w:t>、</w:t>
            </w:r>
            <w:r>
              <w:rPr>
                <w:rFonts w:ascii="宋体" w:hAnsi="宋体" w:cs="宋体" w:hint="eastAsia"/>
                <w:b/>
                <w:szCs w:val="21"/>
              </w:rPr>
              <w:t>诚信</w:t>
            </w:r>
            <w:r>
              <w:rPr>
                <w:rFonts w:ascii="宋体" w:hAnsi="宋体" w:cs="宋体" w:hint="eastAsia"/>
                <w:b/>
                <w:szCs w:val="21"/>
              </w:rPr>
              <w:t>部分</w:t>
            </w:r>
          </w:p>
        </w:tc>
        <w:tc>
          <w:tcPr>
            <w:tcW w:w="1612" w:type="dxa"/>
            <w:tcBorders>
              <w:top w:val="single" w:sz="6" w:space="0" w:color="auto"/>
              <w:left w:val="nil"/>
              <w:bottom w:val="single" w:sz="6" w:space="0" w:color="auto"/>
              <w:right w:val="single" w:sz="6" w:space="0" w:color="auto"/>
            </w:tcBorders>
            <w:vAlign w:val="center"/>
          </w:tcPr>
          <w:p w:rsidR="008C0A47">
            <w:pPr>
              <w:autoSpaceDE w:val="0"/>
              <w:autoSpaceDN w:val="0"/>
              <w:adjustRightInd w:val="0"/>
              <w:snapToGrid w:val="0"/>
              <w:jc w:val="center"/>
              <w:rPr>
                <w:rFonts w:ascii="宋体" w:hAnsi="宋体" w:cs="宋体"/>
                <w:szCs w:val="21"/>
              </w:rPr>
            </w:pPr>
            <w:r>
              <w:rPr>
                <w:rFonts w:ascii="宋体" w:hAnsi="宋体" w:cs="宋体" w:hint="eastAsia"/>
                <w:szCs w:val="21"/>
              </w:rPr>
              <w:t>5</w:t>
            </w:r>
          </w:p>
        </w:tc>
      </w:tr>
      <w:tr>
        <w:tblPrEx>
          <w:tblW w:w="9400" w:type="dxa"/>
          <w:jc w:val="center"/>
          <w:tblLayout w:type="fixed"/>
          <w:tblLook w:val="04A0"/>
        </w:tblPrEx>
        <w:trPr>
          <w:trHeight w:val="480"/>
          <w:jc w:val="center"/>
        </w:trPr>
        <w:tc>
          <w:tcPr>
            <w:tcW w:w="1065" w:type="dxa"/>
            <w:tcBorders>
              <w:top w:val="single" w:sz="6" w:space="0" w:color="auto"/>
              <w:left w:val="single" w:sz="6" w:space="0" w:color="auto"/>
              <w:bottom w:val="single" w:sz="6" w:space="0" w:color="auto"/>
              <w:right w:val="single" w:sz="6" w:space="0" w:color="auto"/>
            </w:tcBorders>
            <w:vAlign w:val="center"/>
          </w:tcPr>
          <w:p w:rsidR="008C0A47">
            <w:pPr>
              <w:autoSpaceDE w:val="0"/>
              <w:autoSpaceDN w:val="0"/>
              <w:adjustRightInd w:val="0"/>
              <w:snapToGrid w:val="0"/>
              <w:jc w:val="center"/>
              <w:rPr>
                <w:rFonts w:ascii="宋体" w:hAnsi="宋体" w:cs="宋体"/>
                <w:szCs w:val="21"/>
              </w:rPr>
            </w:pPr>
            <w:r>
              <w:rPr>
                <w:rFonts w:ascii="宋体" w:hAnsi="宋体" w:cs="宋体" w:hint="eastAsia"/>
                <w:szCs w:val="21"/>
              </w:rPr>
              <w:t>序号</w:t>
            </w:r>
          </w:p>
        </w:tc>
        <w:tc>
          <w:tcPr>
            <w:tcW w:w="1125" w:type="dxa"/>
            <w:tcBorders>
              <w:top w:val="single" w:sz="6" w:space="0" w:color="auto"/>
              <w:left w:val="nil"/>
              <w:bottom w:val="single" w:sz="6" w:space="0" w:color="auto"/>
              <w:right w:val="single" w:sz="6" w:space="0" w:color="auto"/>
            </w:tcBorders>
            <w:vAlign w:val="center"/>
          </w:tcPr>
          <w:p w:rsidR="008C0A47">
            <w:pPr>
              <w:autoSpaceDE w:val="0"/>
              <w:autoSpaceDN w:val="0"/>
              <w:adjustRightInd w:val="0"/>
              <w:snapToGrid w:val="0"/>
              <w:jc w:val="center"/>
              <w:rPr>
                <w:rFonts w:ascii="宋体" w:hAnsi="宋体" w:cs="宋体"/>
                <w:szCs w:val="21"/>
              </w:rPr>
            </w:pPr>
            <w:r>
              <w:rPr>
                <w:rFonts w:ascii="宋体" w:hAnsi="宋体" w:cs="宋体" w:hint="eastAsia"/>
                <w:szCs w:val="21"/>
              </w:rPr>
              <w:t>内容</w:t>
            </w:r>
          </w:p>
        </w:tc>
        <w:tc>
          <w:tcPr>
            <w:tcW w:w="719" w:type="dxa"/>
            <w:tcBorders>
              <w:top w:val="single" w:sz="6" w:space="0" w:color="auto"/>
              <w:left w:val="nil"/>
              <w:bottom w:val="single" w:sz="6" w:space="0" w:color="auto"/>
              <w:right w:val="single" w:sz="6" w:space="0" w:color="auto"/>
            </w:tcBorders>
            <w:vAlign w:val="center"/>
          </w:tcPr>
          <w:p w:rsidR="008C0A47">
            <w:pPr>
              <w:autoSpaceDE w:val="0"/>
              <w:autoSpaceDN w:val="0"/>
              <w:adjustRightInd w:val="0"/>
              <w:snapToGrid w:val="0"/>
              <w:jc w:val="center"/>
              <w:rPr>
                <w:rFonts w:ascii="宋体" w:hAnsi="宋体" w:cs="宋体"/>
                <w:szCs w:val="21"/>
              </w:rPr>
            </w:pPr>
            <w:r>
              <w:rPr>
                <w:rFonts w:ascii="宋体" w:hAnsi="宋体" w:cs="宋体" w:hint="eastAsia"/>
                <w:szCs w:val="21"/>
              </w:rPr>
              <w:t>权重</w:t>
            </w:r>
          </w:p>
        </w:tc>
        <w:tc>
          <w:tcPr>
            <w:tcW w:w="4879" w:type="dxa"/>
            <w:gridSpan w:val="2"/>
            <w:tcBorders>
              <w:top w:val="single" w:sz="6" w:space="0" w:color="auto"/>
              <w:left w:val="nil"/>
              <w:bottom w:val="single" w:sz="6" w:space="0" w:color="auto"/>
              <w:right w:val="single" w:sz="6" w:space="0" w:color="auto"/>
            </w:tcBorders>
            <w:vAlign w:val="center"/>
          </w:tcPr>
          <w:p w:rsidR="008C0A47">
            <w:pPr>
              <w:autoSpaceDE w:val="0"/>
              <w:autoSpaceDN w:val="0"/>
              <w:adjustRightInd w:val="0"/>
              <w:snapToGrid w:val="0"/>
              <w:jc w:val="center"/>
              <w:rPr>
                <w:rFonts w:ascii="宋体" w:hAnsi="宋体" w:cs="宋体"/>
                <w:szCs w:val="21"/>
              </w:rPr>
            </w:pPr>
            <w:r>
              <w:rPr>
                <w:rFonts w:ascii="宋体" w:hAnsi="宋体" w:cs="宋体" w:hint="eastAsia"/>
                <w:szCs w:val="21"/>
              </w:rPr>
              <w:t>评分规则</w:t>
            </w:r>
          </w:p>
        </w:tc>
        <w:tc>
          <w:tcPr>
            <w:tcW w:w="1612" w:type="dxa"/>
            <w:tcBorders>
              <w:top w:val="single" w:sz="6" w:space="0" w:color="auto"/>
              <w:left w:val="nil"/>
              <w:bottom w:val="single" w:sz="6" w:space="0" w:color="auto"/>
              <w:right w:val="single" w:sz="6" w:space="0" w:color="auto"/>
            </w:tcBorders>
            <w:vAlign w:val="center"/>
          </w:tcPr>
          <w:p w:rsidR="008C0A47">
            <w:pPr>
              <w:autoSpaceDE w:val="0"/>
              <w:autoSpaceDN w:val="0"/>
              <w:adjustRightInd w:val="0"/>
              <w:snapToGrid w:val="0"/>
              <w:jc w:val="center"/>
              <w:rPr>
                <w:rFonts w:ascii="宋体" w:hAnsi="宋体" w:cs="宋体"/>
                <w:szCs w:val="21"/>
              </w:rPr>
            </w:pPr>
            <w:r>
              <w:rPr>
                <w:rFonts w:ascii="宋体" w:hAnsi="宋体" w:cs="宋体" w:hint="eastAsia"/>
                <w:szCs w:val="21"/>
              </w:rPr>
              <w:t>评分方式</w:t>
            </w:r>
          </w:p>
        </w:tc>
      </w:tr>
      <w:tr>
        <w:tblPrEx>
          <w:tblW w:w="9400" w:type="dxa"/>
          <w:jc w:val="center"/>
          <w:tblLayout w:type="fixed"/>
          <w:tblLook w:val="04A0"/>
        </w:tblPrEx>
        <w:trPr>
          <w:trHeight w:val="90"/>
          <w:jc w:val="center"/>
        </w:trPr>
        <w:tc>
          <w:tcPr>
            <w:tcW w:w="1065" w:type="dxa"/>
            <w:tcBorders>
              <w:top w:val="single" w:sz="6" w:space="0" w:color="auto"/>
              <w:left w:val="single" w:sz="6" w:space="0" w:color="auto"/>
              <w:bottom w:val="single" w:sz="6" w:space="0" w:color="auto"/>
              <w:right w:val="single" w:sz="6" w:space="0" w:color="auto"/>
            </w:tcBorders>
            <w:vAlign w:val="center"/>
          </w:tcPr>
          <w:p w:rsidR="008C0A47">
            <w:pPr>
              <w:autoSpaceDE w:val="0"/>
              <w:autoSpaceDN w:val="0"/>
              <w:adjustRightInd w:val="0"/>
              <w:snapToGrid w:val="0"/>
              <w:rPr>
                <w:rFonts w:ascii="宋体" w:hAnsi="宋体" w:cs="宋体"/>
                <w:szCs w:val="21"/>
              </w:rPr>
            </w:pPr>
            <w:r>
              <w:rPr>
                <w:rFonts w:ascii="宋体" w:hAnsi="宋体" w:cs="宋体" w:hint="eastAsia"/>
                <w:szCs w:val="21"/>
              </w:rPr>
              <w:t>1</w:t>
            </w:r>
          </w:p>
        </w:tc>
        <w:tc>
          <w:tcPr>
            <w:tcW w:w="1125" w:type="dxa"/>
            <w:tcBorders>
              <w:top w:val="single" w:sz="6" w:space="0" w:color="auto"/>
              <w:left w:val="nil"/>
              <w:bottom w:val="single" w:sz="6" w:space="0" w:color="auto"/>
              <w:right w:val="single" w:sz="6" w:space="0" w:color="auto"/>
            </w:tcBorders>
            <w:vAlign w:val="center"/>
          </w:tcPr>
          <w:p w:rsidR="008C0A47">
            <w:pPr>
              <w:autoSpaceDE w:val="0"/>
              <w:autoSpaceDN w:val="0"/>
              <w:adjustRightInd w:val="0"/>
              <w:snapToGrid w:val="0"/>
              <w:jc w:val="center"/>
              <w:rPr>
                <w:rFonts w:ascii="宋体" w:hAnsi="宋体" w:cs="宋体"/>
                <w:szCs w:val="21"/>
              </w:rPr>
            </w:pPr>
            <w:r>
              <w:rPr>
                <w:rFonts w:ascii="宋体" w:hAnsi="宋体" w:cs="宋体" w:hint="eastAsia"/>
                <w:szCs w:val="21"/>
              </w:rPr>
              <w:t>诚信档案</w:t>
            </w:r>
          </w:p>
        </w:tc>
        <w:tc>
          <w:tcPr>
            <w:tcW w:w="719" w:type="dxa"/>
            <w:tcBorders>
              <w:top w:val="single" w:sz="6" w:space="0" w:color="auto"/>
              <w:left w:val="nil"/>
              <w:bottom w:val="single" w:sz="6" w:space="0" w:color="auto"/>
              <w:right w:val="single" w:sz="6" w:space="0" w:color="auto"/>
            </w:tcBorders>
            <w:vAlign w:val="center"/>
          </w:tcPr>
          <w:p w:rsidR="008C0A47">
            <w:pPr>
              <w:autoSpaceDE w:val="0"/>
              <w:autoSpaceDN w:val="0"/>
              <w:adjustRightInd w:val="0"/>
              <w:snapToGrid w:val="0"/>
              <w:jc w:val="center"/>
              <w:rPr>
                <w:rFonts w:ascii="宋体" w:hAnsi="宋体" w:cs="宋体"/>
                <w:szCs w:val="21"/>
              </w:rPr>
            </w:pPr>
            <w:r>
              <w:rPr>
                <w:rFonts w:ascii="宋体" w:hAnsi="宋体" w:cs="宋体" w:hint="eastAsia"/>
                <w:szCs w:val="21"/>
              </w:rPr>
              <w:t>5</w:t>
            </w:r>
          </w:p>
        </w:tc>
        <w:tc>
          <w:tcPr>
            <w:tcW w:w="4879" w:type="dxa"/>
            <w:gridSpan w:val="2"/>
            <w:tcBorders>
              <w:top w:val="single" w:sz="6" w:space="0" w:color="auto"/>
              <w:left w:val="nil"/>
              <w:bottom w:val="single" w:sz="6" w:space="0" w:color="auto"/>
              <w:right w:val="single" w:sz="6" w:space="0" w:color="auto"/>
            </w:tcBorders>
            <w:vAlign w:val="center"/>
          </w:tcPr>
          <w:p w:rsidR="008C0A47">
            <w:pPr>
              <w:widowControl/>
              <w:autoSpaceDE w:val="0"/>
              <w:jc w:val="left"/>
              <w:rPr>
                <w:rFonts w:ascii="宋体" w:hAnsi="宋体" w:cs="宋体"/>
                <w:szCs w:val="21"/>
              </w:rPr>
            </w:pPr>
            <w:r>
              <w:rPr>
                <w:rFonts w:ascii="宋体" w:hAnsi="宋体" w:cs="宋体" w:hint="eastAsia"/>
                <w:szCs w:val="21"/>
              </w:rPr>
              <w:t>投标人在参与政府采购活动中存在诚信相关问题且在主管部门相关处理措施实施期限内的，本项不得分，否则得满分。投标人无需提供任何证明材料，由工作人员依据深圳公共资源交易中心网站系统查询结果向评审委员会提供相关信息。</w:t>
            </w:r>
          </w:p>
        </w:tc>
        <w:tc>
          <w:tcPr>
            <w:tcW w:w="1612" w:type="dxa"/>
            <w:tcBorders>
              <w:top w:val="single" w:sz="6" w:space="0" w:color="auto"/>
              <w:left w:val="nil"/>
              <w:bottom w:val="single" w:sz="6" w:space="0" w:color="auto"/>
              <w:right w:val="single" w:sz="6" w:space="0" w:color="auto"/>
            </w:tcBorders>
            <w:vAlign w:val="center"/>
          </w:tcPr>
          <w:p w:rsidR="008C0A47">
            <w:pPr>
              <w:autoSpaceDE w:val="0"/>
              <w:autoSpaceDN w:val="0"/>
              <w:adjustRightInd w:val="0"/>
              <w:snapToGrid w:val="0"/>
              <w:rPr>
                <w:rFonts w:ascii="宋体" w:hAnsi="宋体" w:cs="宋体"/>
                <w:szCs w:val="21"/>
              </w:rPr>
            </w:pPr>
            <w:r>
              <w:rPr>
                <w:rFonts w:ascii="宋体" w:hAnsi="宋体" w:cs="宋体" w:hint="eastAsia"/>
                <w:szCs w:val="21"/>
              </w:rPr>
              <w:t>专家打分</w:t>
            </w:r>
          </w:p>
        </w:tc>
      </w:tr>
    </w:tbl>
    <w:p w:rsidR="008C0A47">
      <w:pPr>
        <w:jc w:val="left"/>
        <w:rPr>
          <w:rFonts w:asciiTheme="majorEastAsia" w:eastAsiaTheme="majorEastAsia" w:hAnsiTheme="majorEastAsia" w:cstheme="majorEastAsia"/>
          <w:b/>
          <w:bCs/>
          <w:kern w:val="44"/>
          <w:sz w:val="36"/>
          <w:szCs w:val="36"/>
        </w:rPr>
      </w:pPr>
      <w:r>
        <w:rPr>
          <w:rFonts w:asciiTheme="majorEastAsia" w:eastAsiaTheme="majorEastAsia" w:hAnsiTheme="majorEastAsia" w:cstheme="majorEastAsia" w:hint="eastAsia"/>
        </w:rPr>
        <w:br w:type="page"/>
      </w:r>
    </w:p>
    <w:p w:rsidR="008C0A47">
      <w:pPr>
        <w:pStyle w:val="Heading2"/>
        <w:rPr>
          <w:rFonts w:ascii="微软雅黑" w:eastAsia="微软雅黑" w:hAnsi="微软雅黑" w:cs="微软雅黑"/>
          <w:b/>
          <w:bCs/>
          <w:sz w:val="32"/>
          <w:szCs w:val="32"/>
        </w:rPr>
      </w:pPr>
      <w:bookmarkStart w:id="1" w:name="bt其他资料由投标人自定"/>
      <w:bookmarkStart w:id="2" w:name="bt投标文件签署授权委托书"/>
      <w:bookmarkStart w:id="3" w:name="bt商务标投标文件格式"/>
      <w:bookmarkStart w:id="4" w:name="bt其他资料2"/>
      <w:bookmarkStart w:id="5" w:name="bt投标报价汇总表"/>
      <w:bookmarkStart w:id="6" w:name="bt合同条款及格式"/>
      <w:bookmarkStart w:id="7" w:name="bt投标人情况介绍"/>
      <w:bookmarkStart w:id="8" w:name="bt项目管理班子配备情况"/>
      <w:bookmarkStart w:id="9" w:name="bt说明"/>
      <w:bookmarkStart w:id="10" w:name="bt技术标投标文件格式"/>
      <w:bookmarkStart w:id="11" w:name="bt投标函"/>
      <w:bookmarkStart w:id="12" w:name="bt合同条款"/>
      <w:bookmarkStart w:id="13" w:name="bt投标人须知"/>
      <w:bookmarkStart w:id="14" w:name="合同格式"/>
      <w:bookmarkStart w:id="15" w:name="bt本工程承诺书"/>
      <w:bookmarkStart w:id="16" w:name="bt合同格式"/>
      <w:bookmarkStart w:id="17" w:name="bt开标一览表"/>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Fonts w:ascii="微软雅黑" w:eastAsia="微软雅黑" w:hAnsi="微软雅黑" w:cs="微软雅黑" w:hint="eastAsia"/>
          <w:b/>
          <w:bCs/>
          <w:sz w:val="32"/>
          <w:szCs w:val="32"/>
        </w:rPr>
        <w:t>第一章</w:t>
      </w:r>
      <w:r>
        <w:rPr>
          <w:rFonts w:ascii="微软雅黑" w:eastAsia="微软雅黑" w:hAnsi="微软雅黑" w:cs="微软雅黑" w:hint="eastAsia"/>
          <w:b/>
          <w:bCs/>
          <w:sz w:val="32"/>
          <w:szCs w:val="32"/>
        </w:rPr>
        <w:t xml:space="preserve">  </w:t>
      </w:r>
      <w:r>
        <w:rPr>
          <w:rFonts w:ascii="微软雅黑" w:eastAsia="微软雅黑" w:hAnsi="微软雅黑" w:cs="微软雅黑" w:hint="eastAsia"/>
          <w:b/>
          <w:bCs/>
          <w:sz w:val="32"/>
          <w:szCs w:val="32"/>
        </w:rPr>
        <w:t>招标公告</w:t>
      </w:r>
    </w:p>
    <w:p w:rsidR="008C0A47">
      <w:pPr>
        <w:spacing w:line="420" w:lineRule="exact"/>
        <w:ind w:firstLine="480" w:firstLineChars="200"/>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一、项目基本情况</w:t>
      </w:r>
    </w:p>
    <w:p w:rsidR="008C0A47">
      <w:pPr>
        <w:spacing w:line="42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w:t>
      </w:r>
      <w:r>
        <w:rPr>
          <w:rFonts w:asciiTheme="majorEastAsia" w:eastAsiaTheme="majorEastAsia" w:hAnsiTheme="majorEastAsia" w:cstheme="majorEastAsia" w:hint="eastAsia"/>
          <w:szCs w:val="21"/>
        </w:rPr>
        <w:t>、项目编号：</w:t>
      </w:r>
      <w:r>
        <w:rPr>
          <w:rFonts w:asciiTheme="majorEastAsia" w:eastAsiaTheme="majorEastAsia" w:hAnsiTheme="majorEastAsia" w:cstheme="majorEastAsia" w:hint="eastAsia"/>
          <w:szCs w:val="21"/>
        </w:rPr>
        <w:t>SZDL2022001410</w:t>
      </w:r>
    </w:p>
    <w:p w:rsidR="008C0A47">
      <w:pPr>
        <w:spacing w:line="42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w:t>
      </w:r>
      <w:r>
        <w:rPr>
          <w:rFonts w:asciiTheme="majorEastAsia" w:eastAsiaTheme="majorEastAsia" w:hAnsiTheme="majorEastAsia" w:cstheme="majorEastAsia" w:hint="eastAsia"/>
          <w:szCs w:val="21"/>
        </w:rPr>
        <w:t>、项目名称：深圳市司法局</w:t>
      </w:r>
      <w:r>
        <w:rPr>
          <w:rFonts w:asciiTheme="majorEastAsia" w:eastAsiaTheme="majorEastAsia" w:hAnsiTheme="majorEastAsia" w:cstheme="majorEastAsia" w:hint="eastAsia"/>
          <w:szCs w:val="21"/>
        </w:rPr>
        <w:t>2022</w:t>
      </w:r>
      <w:r>
        <w:rPr>
          <w:rFonts w:asciiTheme="majorEastAsia" w:eastAsiaTheme="majorEastAsia" w:hAnsiTheme="majorEastAsia" w:cstheme="majorEastAsia" w:hint="eastAsia"/>
          <w:szCs w:val="21"/>
        </w:rPr>
        <w:t>年度</w:t>
      </w:r>
      <w:r>
        <w:rPr>
          <w:rFonts w:asciiTheme="majorEastAsia" w:eastAsiaTheme="majorEastAsia" w:hAnsiTheme="majorEastAsia" w:cstheme="majorEastAsia" w:hint="eastAsia"/>
          <w:szCs w:val="21"/>
        </w:rPr>
        <w:t>行政复议服务</w:t>
      </w:r>
    </w:p>
    <w:p w:rsidR="008C0A47">
      <w:pPr>
        <w:spacing w:line="42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w:t>
      </w:r>
      <w:r>
        <w:rPr>
          <w:rFonts w:asciiTheme="majorEastAsia" w:eastAsiaTheme="majorEastAsia" w:hAnsiTheme="majorEastAsia" w:cstheme="majorEastAsia" w:hint="eastAsia"/>
          <w:szCs w:val="21"/>
        </w:rPr>
        <w:t>、预算金额：人民币</w:t>
      </w:r>
      <w:r>
        <w:rPr>
          <w:rFonts w:asciiTheme="majorEastAsia" w:eastAsiaTheme="majorEastAsia" w:hAnsiTheme="majorEastAsia" w:cstheme="majorEastAsia"/>
          <w:szCs w:val="21"/>
        </w:rPr>
        <w:t>150</w:t>
      </w:r>
      <w:r>
        <w:rPr>
          <w:rFonts w:asciiTheme="majorEastAsia" w:eastAsiaTheme="majorEastAsia" w:hAnsiTheme="majorEastAsia" w:cstheme="majorEastAsia" w:hint="eastAsia"/>
          <w:szCs w:val="21"/>
        </w:rPr>
        <w:t>万元</w:t>
      </w:r>
    </w:p>
    <w:p w:rsidR="008C0A47">
      <w:pPr>
        <w:spacing w:line="42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4</w:t>
      </w:r>
      <w:r>
        <w:rPr>
          <w:rFonts w:asciiTheme="majorEastAsia" w:eastAsiaTheme="majorEastAsia" w:hAnsiTheme="majorEastAsia" w:cstheme="majorEastAsia" w:hint="eastAsia"/>
          <w:szCs w:val="21"/>
        </w:rPr>
        <w:t>、最高限价：人民币</w:t>
      </w:r>
      <w:r>
        <w:rPr>
          <w:rFonts w:asciiTheme="majorEastAsia" w:eastAsiaTheme="majorEastAsia" w:hAnsiTheme="majorEastAsia" w:cstheme="majorEastAsia"/>
          <w:szCs w:val="21"/>
        </w:rPr>
        <w:t>150</w:t>
      </w:r>
      <w:r>
        <w:rPr>
          <w:rFonts w:asciiTheme="majorEastAsia" w:eastAsiaTheme="majorEastAsia" w:hAnsiTheme="majorEastAsia" w:cstheme="majorEastAsia" w:hint="eastAsia"/>
          <w:szCs w:val="21"/>
        </w:rPr>
        <w:t>万元</w:t>
      </w:r>
    </w:p>
    <w:p w:rsidR="008C0A47">
      <w:pPr>
        <w:spacing w:line="42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5</w:t>
      </w:r>
      <w:r>
        <w:rPr>
          <w:rFonts w:asciiTheme="majorEastAsia" w:eastAsiaTheme="majorEastAsia" w:hAnsiTheme="majorEastAsia" w:cstheme="majorEastAsia" w:hint="eastAsia"/>
          <w:szCs w:val="21"/>
        </w:rPr>
        <w:t>、采购需求：详见招标文件相关内容</w:t>
      </w:r>
    </w:p>
    <w:p w:rsidR="008C0A47">
      <w:pPr>
        <w:spacing w:line="42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6</w:t>
      </w:r>
      <w:r>
        <w:rPr>
          <w:rFonts w:asciiTheme="majorEastAsia" w:eastAsiaTheme="majorEastAsia" w:hAnsiTheme="majorEastAsia" w:cstheme="majorEastAsia" w:hint="eastAsia"/>
          <w:szCs w:val="21"/>
        </w:rPr>
        <w:t>、合同履行期限：详见招标文件相关内容</w:t>
      </w:r>
    </w:p>
    <w:p w:rsidR="008C0A47">
      <w:pPr>
        <w:spacing w:line="42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7</w:t>
      </w:r>
      <w:r>
        <w:rPr>
          <w:rFonts w:asciiTheme="majorEastAsia" w:eastAsiaTheme="majorEastAsia" w:hAnsiTheme="majorEastAsia" w:cstheme="majorEastAsia" w:hint="eastAsia"/>
          <w:szCs w:val="21"/>
        </w:rPr>
        <w:t>、本项目是否接受联合体投标：</w:t>
      </w:r>
      <w:r>
        <w:rPr>
          <w:rFonts w:asciiTheme="majorEastAsia" w:eastAsiaTheme="majorEastAsia" w:hAnsiTheme="majorEastAsia" w:cstheme="majorEastAsia" w:hint="eastAsia"/>
          <w:szCs w:val="21"/>
        </w:rPr>
        <w:t>否</w:t>
      </w:r>
    </w:p>
    <w:p w:rsidR="008C0A47">
      <w:pPr>
        <w:spacing w:line="420" w:lineRule="exact"/>
        <w:ind w:firstLine="480" w:firstLineChars="200"/>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二、投标人的资格要求</w:t>
      </w:r>
    </w:p>
    <w:p w:rsidR="008C0A47">
      <w:pPr>
        <w:spacing w:line="42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w:t>
      </w:r>
      <w:r>
        <w:rPr>
          <w:rFonts w:asciiTheme="majorEastAsia" w:eastAsiaTheme="majorEastAsia" w:hAnsiTheme="majorEastAsia" w:cstheme="majorEastAsia" w:hint="eastAsia"/>
          <w:szCs w:val="21"/>
        </w:rPr>
        <w:t>、投标人必须具有律师事务所执业许可证</w:t>
      </w:r>
      <w:r>
        <w:rPr>
          <w:rFonts w:asciiTheme="majorEastAsia" w:eastAsiaTheme="majorEastAsia" w:hAnsiTheme="majorEastAsia" w:cstheme="majorEastAsia" w:hint="eastAsia"/>
          <w:szCs w:val="21"/>
        </w:rPr>
        <w:t xml:space="preserve"> </w:t>
      </w:r>
      <w:r>
        <w:rPr>
          <w:rStyle w:val="CommentReference"/>
          <w:rFonts w:ascii="宋体" w:hint="eastAsia"/>
          <w:kern w:val="0"/>
        </w:rPr>
        <w:t>（需提供许可证及年审合格证明材料扫描件，原件备查）</w:t>
      </w:r>
      <w:r>
        <w:rPr>
          <w:rFonts w:asciiTheme="majorEastAsia" w:eastAsiaTheme="majorEastAsia" w:hAnsiTheme="majorEastAsia" w:cstheme="majorEastAsia" w:hint="eastAsia"/>
          <w:szCs w:val="21"/>
        </w:rPr>
        <w:t>。分所投标须同时提供由总所出具的愿为其参与本项目投标、履约等行为承担民事责任的证明文件（格式自拟），且同一个总所若有两家或以上的分支机构，总所只能授权其中一家参与投标；总所和分所不得同时参与投标；</w:t>
      </w:r>
    </w:p>
    <w:p w:rsidR="008C0A47">
      <w:pPr>
        <w:spacing w:line="42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w:t>
      </w:r>
      <w:r>
        <w:rPr>
          <w:rFonts w:asciiTheme="majorEastAsia" w:eastAsiaTheme="majorEastAsia" w:hAnsiTheme="majorEastAsia" w:cstheme="majorEastAsia" w:hint="eastAsia"/>
          <w:szCs w:val="21"/>
        </w:rPr>
        <w:t>、本项目不接受联合体投标，不允许分包；不接受投标人选用进口产品参与投标（无需提供证明文件）；</w:t>
      </w:r>
    </w:p>
    <w:p w:rsidR="008C0A47">
      <w:pPr>
        <w:spacing w:line="42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szCs w:val="21"/>
        </w:rPr>
        <w:t>3</w:t>
      </w:r>
      <w:r>
        <w:rPr>
          <w:rFonts w:asciiTheme="majorEastAsia" w:eastAsiaTheme="majorEastAsia" w:hAnsiTheme="majorEastAsia" w:cstheme="majorEastAsia" w:hint="eastAsia"/>
          <w:szCs w:val="21"/>
        </w:rPr>
        <w:t>、投标人须承诺，参与本项目投标前三年内（即从本项目招标公告发布之日起往前推算</w:t>
      </w:r>
      <w:r>
        <w:rPr>
          <w:rFonts w:asciiTheme="majorEastAsia" w:eastAsiaTheme="majorEastAsia" w:hAnsiTheme="majorEastAsia" w:cstheme="majorEastAsia" w:hint="eastAsia"/>
          <w:szCs w:val="21"/>
        </w:rPr>
        <w:t>36</w:t>
      </w:r>
      <w:r>
        <w:rPr>
          <w:rFonts w:asciiTheme="majorEastAsia" w:eastAsiaTheme="majorEastAsia" w:hAnsiTheme="majorEastAsia" w:cstheme="majorEastAsia" w:hint="eastAsia"/>
          <w:szCs w:val="21"/>
        </w:rPr>
        <w:t>个月），在经营活动中没有重大违法记录，以及参与本项目政府采购活动时不存在被有关部门禁止参与政府采购活动且在有效期内的情况；与其他投标供应商不存在单位负责人为同一人或者存在直接控股、管理关系；未对本次采购项目提供整体设计、规范编制或者项目管理、监理、检测等服务。（由供应商在《政府采购投标及履约承诺函》中</w:t>
      </w:r>
      <w:r>
        <w:rPr>
          <w:rFonts w:asciiTheme="majorEastAsia" w:eastAsiaTheme="majorEastAsia" w:hAnsiTheme="majorEastAsia" w:cstheme="majorEastAsia" w:hint="eastAsia"/>
          <w:szCs w:val="21"/>
        </w:rPr>
        <w:t>作出</w:t>
      </w:r>
      <w:r>
        <w:rPr>
          <w:rFonts w:asciiTheme="majorEastAsia" w:eastAsiaTheme="majorEastAsia" w:hAnsiTheme="majorEastAsia" w:cstheme="majorEastAsia" w:hint="eastAsia"/>
          <w:szCs w:val="21"/>
        </w:rPr>
        <w:t>声明）；</w:t>
      </w:r>
    </w:p>
    <w:p w:rsidR="008C0A47">
      <w:pPr>
        <w:spacing w:line="42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szCs w:val="21"/>
        </w:rPr>
        <w:t>4</w:t>
      </w:r>
      <w:r>
        <w:rPr>
          <w:rFonts w:asciiTheme="majorEastAsia" w:eastAsiaTheme="majorEastAsia" w:hAnsiTheme="majorEastAsia" w:cstheme="majorEastAsia" w:hint="eastAsia"/>
          <w:szCs w:val="21"/>
        </w:rPr>
        <w:t>、参与政府采购项</w:t>
      </w:r>
      <w:r>
        <w:rPr>
          <w:rFonts w:asciiTheme="majorEastAsia" w:eastAsiaTheme="majorEastAsia" w:hAnsiTheme="majorEastAsia" w:cstheme="majorEastAsia" w:hint="eastAsia"/>
          <w:szCs w:val="21"/>
        </w:rPr>
        <w:t>目投标的供应商未被列入失信被执行人、重大税收违法案件当事人名单、政府采购严重违法失信行为记录名单（由供应商在《政府采购投标及履约承诺函》中</w:t>
      </w:r>
      <w:r>
        <w:rPr>
          <w:rFonts w:asciiTheme="majorEastAsia" w:eastAsiaTheme="majorEastAsia" w:hAnsiTheme="majorEastAsia" w:cstheme="majorEastAsia" w:hint="eastAsia"/>
          <w:szCs w:val="21"/>
        </w:rPr>
        <w:t>作出</w:t>
      </w:r>
      <w:r>
        <w:rPr>
          <w:rFonts w:asciiTheme="majorEastAsia" w:eastAsiaTheme="majorEastAsia" w:hAnsiTheme="majorEastAsia" w:cstheme="majorEastAsia" w:hint="eastAsia"/>
          <w:szCs w:val="21"/>
        </w:rPr>
        <w:t>声明）；</w:t>
      </w:r>
    </w:p>
    <w:p w:rsidR="008C0A47">
      <w:pPr>
        <w:spacing w:line="42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szCs w:val="21"/>
        </w:rPr>
        <w:t>5</w:t>
      </w:r>
      <w:r>
        <w:rPr>
          <w:rFonts w:asciiTheme="majorEastAsia" w:eastAsiaTheme="majorEastAsia" w:hAnsiTheme="majorEastAsia" w:cstheme="majorEastAsia" w:hint="eastAsia"/>
          <w:szCs w:val="21"/>
        </w:rPr>
        <w:t>、投标人在“信用中国”网（</w:t>
      </w:r>
      <w:r>
        <w:rPr>
          <w:rFonts w:asciiTheme="majorEastAsia" w:eastAsiaTheme="majorEastAsia" w:hAnsiTheme="majorEastAsia" w:cstheme="majorEastAsia" w:hint="eastAsia"/>
          <w:szCs w:val="21"/>
        </w:rPr>
        <w:t>www.creditchina.gov.cn</w:t>
      </w:r>
      <w:r>
        <w:rPr>
          <w:rFonts w:asciiTheme="majorEastAsia" w:eastAsiaTheme="majorEastAsia" w:hAnsiTheme="majorEastAsia" w:cstheme="majorEastAsia" w:hint="eastAsia"/>
          <w:szCs w:val="21"/>
        </w:rPr>
        <w:t>）信用信息查询记录中不存在“限制或禁止参与政府采购活动”的处罚（投标人无需提供证明材料，查询结果以招标代理机构开标现场核实为准）；若投标人为非法人组织，则对此</w:t>
      </w:r>
      <w:r>
        <w:rPr>
          <w:rFonts w:asciiTheme="majorEastAsia" w:eastAsiaTheme="majorEastAsia" w:hAnsiTheme="majorEastAsia" w:cstheme="majorEastAsia" w:hint="eastAsia"/>
          <w:szCs w:val="21"/>
        </w:rPr>
        <w:t>项资格</w:t>
      </w:r>
      <w:r>
        <w:rPr>
          <w:rFonts w:asciiTheme="majorEastAsia" w:eastAsiaTheme="majorEastAsia" w:hAnsiTheme="majorEastAsia" w:cstheme="majorEastAsia" w:hint="eastAsia"/>
          <w:szCs w:val="21"/>
        </w:rPr>
        <w:t>不做要求。</w:t>
      </w:r>
    </w:p>
    <w:p w:rsidR="008C0A47">
      <w:pPr>
        <w:ind w:firstLine="480" w:firstLineChars="200"/>
        <w:jc w:val="right"/>
        <w:rPr>
          <w:rFonts w:asciiTheme="majorEastAsia" w:eastAsiaTheme="majorEastAsia" w:hAnsiTheme="majorEastAsia" w:cstheme="majorEastAsia"/>
          <w:sz w:val="32"/>
          <w:szCs w:val="32"/>
        </w:rPr>
      </w:pPr>
      <w:r>
        <w:rPr>
          <w:rFonts w:ascii="宋体" w:hAnsi="宋体" w:cs="宋体" w:hint="eastAsia"/>
          <w:b/>
          <w:color w:val="FF0000"/>
          <w:sz w:val="22"/>
          <w:szCs w:val="22"/>
        </w:rPr>
        <w:t>（完整公告内容以网站公布信息为准，详见：</w:t>
      </w:r>
      <w:r>
        <w:rPr>
          <w:rFonts w:ascii="宋体" w:hAnsi="宋体" w:cs="宋体" w:hint="eastAsia"/>
          <w:b/>
          <w:color w:val="FF0000"/>
          <w:sz w:val="22"/>
          <w:szCs w:val="22"/>
        </w:rPr>
        <w:t>http://zfcg.szggzy.com:8081/</w:t>
      </w:r>
      <w:r>
        <w:rPr>
          <w:rFonts w:ascii="宋体" w:hAnsi="宋体" w:cs="宋体" w:hint="eastAsia"/>
          <w:b/>
          <w:color w:val="FF0000"/>
          <w:sz w:val="22"/>
          <w:szCs w:val="22"/>
        </w:rPr>
        <w:t>）</w:t>
      </w:r>
      <w:r>
        <w:rPr>
          <w:rFonts w:asciiTheme="majorEastAsia" w:eastAsiaTheme="majorEastAsia" w:hAnsiTheme="majorEastAsia" w:cstheme="majorEastAsia" w:hint="eastAsia"/>
          <w:bCs/>
          <w:szCs w:val="21"/>
        </w:rPr>
        <w:br w:type="page"/>
      </w:r>
    </w:p>
    <w:p w:rsidR="008C0A47">
      <w:pPr>
        <w:pStyle w:val="Heading2"/>
        <w:rPr>
          <w:rFonts w:ascii="微软雅黑" w:eastAsia="微软雅黑" w:hAnsi="微软雅黑" w:cs="微软雅黑"/>
          <w:b/>
          <w:bCs/>
          <w:sz w:val="32"/>
          <w:szCs w:val="32"/>
        </w:rPr>
      </w:pPr>
      <w:r>
        <w:rPr>
          <w:rFonts w:ascii="微软雅黑" w:eastAsia="微软雅黑" w:hAnsi="微软雅黑" w:cs="微软雅黑" w:hint="eastAsia"/>
          <w:b/>
          <w:bCs/>
          <w:sz w:val="32"/>
          <w:szCs w:val="32"/>
        </w:rPr>
        <w:t>第二章</w:t>
      </w:r>
      <w:r>
        <w:rPr>
          <w:rFonts w:ascii="微软雅黑" w:eastAsia="微软雅黑" w:hAnsi="微软雅黑" w:cs="微软雅黑" w:hint="eastAsia"/>
          <w:b/>
          <w:bCs/>
          <w:sz w:val="32"/>
          <w:szCs w:val="32"/>
        </w:rPr>
        <w:t xml:space="preserve">  </w:t>
      </w:r>
      <w:r>
        <w:rPr>
          <w:rFonts w:ascii="微软雅黑" w:eastAsia="微软雅黑" w:hAnsi="微软雅黑" w:cs="微软雅黑" w:hint="eastAsia"/>
          <w:b/>
          <w:bCs/>
          <w:sz w:val="32"/>
          <w:szCs w:val="32"/>
        </w:rPr>
        <w:t>用户需求书</w:t>
      </w:r>
    </w:p>
    <w:p w:rsidR="008C0A47">
      <w:pPr>
        <w:pStyle w:val="Heading3"/>
        <w:keepNext w:val="0"/>
        <w:keepLines w:val="0"/>
        <w:spacing w:before="120" w:beforeLines="50" w:after="0"/>
        <w:ind w:firstLine="480" w:firstLineChars="200"/>
        <w:rPr>
          <w:rFonts w:asciiTheme="majorEastAsia" w:eastAsiaTheme="majorEastAsia" w:hAnsiTheme="majorEastAsia" w:cstheme="majorEastAsia"/>
          <w:sz w:val="24"/>
          <w:szCs w:val="24"/>
        </w:rPr>
      </w:pPr>
      <w:bookmarkStart w:id="18" w:name="_Toc73518117"/>
      <w:bookmarkStart w:id="19" w:name="_Toc101074876"/>
      <w:bookmarkStart w:id="20" w:name="_Toc60631620"/>
      <w:bookmarkStart w:id="21" w:name="_Toc73521635"/>
      <w:bookmarkStart w:id="22" w:name="_Toc73521547"/>
      <w:bookmarkStart w:id="23" w:name="_Toc73517639"/>
      <w:bookmarkStart w:id="24" w:name="_Toc100052364"/>
      <w:bookmarkStart w:id="25" w:name="_Toc60560625"/>
      <w:r>
        <w:rPr>
          <w:rFonts w:asciiTheme="majorEastAsia" w:eastAsiaTheme="majorEastAsia" w:hAnsiTheme="majorEastAsia" w:cstheme="majorEastAsia" w:hint="eastAsia"/>
          <w:sz w:val="24"/>
          <w:szCs w:val="24"/>
        </w:rPr>
        <w:t>一、通用条款补充内容</w:t>
      </w:r>
    </w:p>
    <w:tbl>
      <w:tblPr>
        <w:tblStyle w:val="TableNormal"/>
        <w:tblW w:w="8367" w:type="dxa"/>
        <w:jc w:val="center"/>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ayout w:type="fixed"/>
        <w:tblLook w:val="04A0"/>
      </w:tblPr>
      <w:tblGrid>
        <w:gridCol w:w="807"/>
        <w:gridCol w:w="2160"/>
        <w:gridCol w:w="5400"/>
      </w:tblGrid>
      <w:tr>
        <w:tblPrEx>
          <w:tblW w:w="8367" w:type="dxa"/>
          <w:jc w:val="center"/>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ayout w:type="fixed"/>
          <w:tblLook w:val="04A0"/>
        </w:tblPrEx>
        <w:trPr>
          <w:cantSplit/>
          <w:trHeight w:val="567"/>
          <w:jc w:val="center"/>
        </w:trPr>
        <w:tc>
          <w:tcPr>
            <w:tcW w:w="807" w:type="dxa"/>
            <w:tcBorders>
              <w:tl2br w:val="nil"/>
              <w:tr2bl w:val="nil"/>
            </w:tcBorders>
            <w:vAlign w:val="center"/>
          </w:tcPr>
          <w:p w:rsidR="008C0A47">
            <w:pPr>
              <w:spacing w:line="400" w:lineRule="exact"/>
              <w:jc w:val="center"/>
              <w:rPr>
                <w:rFonts w:asciiTheme="majorEastAsia" w:eastAsiaTheme="majorEastAsia" w:hAnsiTheme="majorEastAsia" w:cstheme="majorEastAsia"/>
                <w:b/>
                <w:bCs/>
              </w:rPr>
            </w:pPr>
            <w:r>
              <w:rPr>
                <w:rFonts w:asciiTheme="majorEastAsia" w:eastAsiaTheme="majorEastAsia" w:hAnsiTheme="majorEastAsia" w:cstheme="majorEastAsia" w:hint="eastAsia"/>
                <w:b/>
                <w:bCs/>
              </w:rPr>
              <w:t>序号</w:t>
            </w:r>
          </w:p>
        </w:tc>
        <w:tc>
          <w:tcPr>
            <w:tcW w:w="2160" w:type="dxa"/>
            <w:tcBorders>
              <w:tl2br w:val="nil"/>
              <w:tr2bl w:val="nil"/>
            </w:tcBorders>
            <w:vAlign w:val="center"/>
          </w:tcPr>
          <w:p w:rsidR="008C0A47">
            <w:pPr>
              <w:spacing w:line="400" w:lineRule="exact"/>
              <w:jc w:val="center"/>
              <w:rPr>
                <w:rFonts w:asciiTheme="majorEastAsia" w:eastAsiaTheme="majorEastAsia" w:hAnsiTheme="majorEastAsia" w:cstheme="majorEastAsia"/>
                <w:b/>
                <w:bCs/>
              </w:rPr>
            </w:pPr>
            <w:r>
              <w:rPr>
                <w:rFonts w:asciiTheme="majorEastAsia" w:eastAsiaTheme="majorEastAsia" w:hAnsiTheme="majorEastAsia" w:cstheme="majorEastAsia" w:hint="eastAsia"/>
                <w:b/>
                <w:bCs/>
              </w:rPr>
              <w:t>内容</w:t>
            </w:r>
          </w:p>
        </w:tc>
        <w:tc>
          <w:tcPr>
            <w:tcW w:w="5400" w:type="dxa"/>
            <w:tcBorders>
              <w:tl2br w:val="nil"/>
              <w:tr2bl w:val="nil"/>
            </w:tcBorders>
            <w:vAlign w:val="center"/>
          </w:tcPr>
          <w:p w:rsidR="008C0A47">
            <w:pPr>
              <w:spacing w:line="400" w:lineRule="exact"/>
              <w:jc w:val="center"/>
              <w:rPr>
                <w:rFonts w:asciiTheme="majorEastAsia" w:eastAsiaTheme="majorEastAsia" w:hAnsiTheme="majorEastAsia" w:cstheme="majorEastAsia"/>
                <w:b/>
                <w:bCs/>
              </w:rPr>
            </w:pPr>
            <w:r>
              <w:rPr>
                <w:rFonts w:asciiTheme="majorEastAsia" w:eastAsiaTheme="majorEastAsia" w:hAnsiTheme="majorEastAsia" w:cstheme="majorEastAsia" w:hint="eastAsia"/>
                <w:b/>
                <w:bCs/>
              </w:rPr>
              <w:t>规定</w:t>
            </w:r>
          </w:p>
        </w:tc>
      </w:tr>
      <w:tr>
        <w:tblPrEx>
          <w:tblW w:w="8367" w:type="dxa"/>
          <w:jc w:val="center"/>
          <w:tblLayout w:type="fixed"/>
          <w:tblLook w:val="04A0"/>
        </w:tblPrEx>
        <w:trPr>
          <w:cantSplit/>
          <w:trHeight w:val="567"/>
          <w:jc w:val="center"/>
        </w:trPr>
        <w:tc>
          <w:tcPr>
            <w:tcW w:w="807" w:type="dxa"/>
            <w:tcBorders>
              <w:tl2br w:val="nil"/>
              <w:tr2bl w:val="nil"/>
            </w:tcBorders>
            <w:vAlign w:val="center"/>
          </w:tcPr>
          <w:p w:rsidR="008C0A47">
            <w:pPr>
              <w:spacing w:line="400" w:lineRule="exact"/>
              <w:jc w:val="center"/>
              <w:rPr>
                <w:rFonts w:asciiTheme="majorEastAsia" w:eastAsiaTheme="majorEastAsia" w:hAnsiTheme="majorEastAsia" w:cstheme="majorEastAsia"/>
              </w:rPr>
            </w:pPr>
            <w:r>
              <w:rPr>
                <w:rFonts w:asciiTheme="majorEastAsia" w:eastAsiaTheme="majorEastAsia" w:hAnsiTheme="majorEastAsia" w:cstheme="majorEastAsia" w:hint="eastAsia"/>
              </w:rPr>
              <w:t>1</w:t>
            </w:r>
          </w:p>
        </w:tc>
        <w:tc>
          <w:tcPr>
            <w:tcW w:w="2160" w:type="dxa"/>
            <w:tcBorders>
              <w:tl2br w:val="nil"/>
              <w:tr2bl w:val="nil"/>
            </w:tcBorders>
            <w:vAlign w:val="center"/>
          </w:tcPr>
          <w:p w:rsidR="008C0A47">
            <w:pPr>
              <w:spacing w:line="400" w:lineRule="exact"/>
              <w:rPr>
                <w:rFonts w:asciiTheme="majorEastAsia" w:eastAsiaTheme="majorEastAsia" w:hAnsiTheme="majorEastAsia" w:cstheme="majorEastAsia"/>
              </w:rPr>
            </w:pPr>
            <w:r>
              <w:rPr>
                <w:rFonts w:asciiTheme="majorEastAsia" w:eastAsiaTheme="majorEastAsia" w:hAnsiTheme="majorEastAsia" w:cstheme="majorEastAsia" w:hint="eastAsia"/>
              </w:rPr>
              <w:t>联合体投标</w:t>
            </w:r>
          </w:p>
        </w:tc>
        <w:tc>
          <w:tcPr>
            <w:tcW w:w="5400" w:type="dxa"/>
            <w:tcBorders>
              <w:tl2br w:val="nil"/>
              <w:tr2bl w:val="nil"/>
            </w:tcBorders>
            <w:vAlign w:val="center"/>
          </w:tcPr>
          <w:p w:rsidR="008C0A47">
            <w:pPr>
              <w:spacing w:line="400" w:lineRule="exact"/>
              <w:rPr>
                <w:rFonts w:asciiTheme="majorEastAsia" w:eastAsiaTheme="majorEastAsia" w:hAnsiTheme="majorEastAsia" w:cstheme="majorEastAsia"/>
                <w:snapToGrid w:val="0"/>
                <w:kern w:val="0"/>
                <w:szCs w:val="32"/>
                <w:lang w:val="zh-CN"/>
              </w:rPr>
            </w:pPr>
            <w:r>
              <w:rPr>
                <w:rFonts w:asciiTheme="majorEastAsia" w:eastAsiaTheme="majorEastAsia" w:hAnsiTheme="majorEastAsia" w:cstheme="majorEastAsia" w:hint="eastAsia"/>
                <w:snapToGrid w:val="0"/>
                <w:kern w:val="0"/>
                <w:szCs w:val="32"/>
                <w:lang w:val="zh-CN"/>
              </w:rPr>
              <w:t>见《招标公告》中“投标人资格要求”部分的相关内容</w:t>
            </w:r>
          </w:p>
        </w:tc>
      </w:tr>
      <w:tr>
        <w:tblPrEx>
          <w:tblW w:w="8367" w:type="dxa"/>
          <w:jc w:val="center"/>
          <w:tblLayout w:type="fixed"/>
          <w:tblLook w:val="04A0"/>
        </w:tblPrEx>
        <w:trPr>
          <w:cantSplit/>
          <w:trHeight w:val="567"/>
          <w:jc w:val="center"/>
        </w:trPr>
        <w:tc>
          <w:tcPr>
            <w:tcW w:w="807" w:type="dxa"/>
            <w:tcBorders>
              <w:tl2br w:val="nil"/>
              <w:tr2bl w:val="nil"/>
            </w:tcBorders>
            <w:vAlign w:val="center"/>
          </w:tcPr>
          <w:p w:rsidR="008C0A47">
            <w:pPr>
              <w:spacing w:line="400" w:lineRule="exact"/>
              <w:jc w:val="center"/>
              <w:rPr>
                <w:rFonts w:asciiTheme="majorEastAsia" w:eastAsiaTheme="majorEastAsia" w:hAnsiTheme="majorEastAsia" w:cstheme="majorEastAsia"/>
              </w:rPr>
            </w:pPr>
            <w:r>
              <w:rPr>
                <w:rFonts w:asciiTheme="majorEastAsia" w:eastAsiaTheme="majorEastAsia" w:hAnsiTheme="majorEastAsia" w:cstheme="majorEastAsia" w:hint="eastAsia"/>
              </w:rPr>
              <w:t>2</w:t>
            </w:r>
          </w:p>
        </w:tc>
        <w:tc>
          <w:tcPr>
            <w:tcW w:w="2160" w:type="dxa"/>
            <w:tcBorders>
              <w:tl2br w:val="nil"/>
              <w:tr2bl w:val="nil"/>
            </w:tcBorders>
            <w:vAlign w:val="center"/>
          </w:tcPr>
          <w:p w:rsidR="008C0A47">
            <w:pPr>
              <w:spacing w:line="400" w:lineRule="exact"/>
              <w:rPr>
                <w:rFonts w:asciiTheme="majorEastAsia" w:eastAsiaTheme="majorEastAsia" w:hAnsiTheme="majorEastAsia" w:cstheme="majorEastAsia"/>
              </w:rPr>
            </w:pPr>
            <w:r>
              <w:rPr>
                <w:rFonts w:asciiTheme="majorEastAsia" w:eastAsiaTheme="majorEastAsia" w:hAnsiTheme="majorEastAsia" w:cstheme="majorEastAsia" w:hint="eastAsia"/>
              </w:rPr>
              <w:t>投标有效期</w:t>
            </w:r>
          </w:p>
        </w:tc>
        <w:tc>
          <w:tcPr>
            <w:tcW w:w="5400" w:type="dxa"/>
            <w:tcBorders>
              <w:tl2br w:val="nil"/>
              <w:tr2bl w:val="nil"/>
            </w:tcBorders>
            <w:vAlign w:val="center"/>
          </w:tcPr>
          <w:p w:rsidR="008C0A47">
            <w:pPr>
              <w:spacing w:line="400" w:lineRule="exact"/>
              <w:rPr>
                <w:rFonts w:asciiTheme="majorEastAsia" w:eastAsiaTheme="majorEastAsia" w:hAnsiTheme="majorEastAsia" w:cstheme="majorEastAsia"/>
              </w:rPr>
            </w:pPr>
            <w:r>
              <w:rPr>
                <w:rFonts w:asciiTheme="majorEastAsia" w:eastAsiaTheme="majorEastAsia" w:hAnsiTheme="majorEastAsia" w:cstheme="majorEastAsia" w:hint="eastAsia"/>
              </w:rPr>
              <w:t>120</w:t>
            </w:r>
            <w:r>
              <w:rPr>
                <w:rFonts w:asciiTheme="majorEastAsia" w:eastAsiaTheme="majorEastAsia" w:hAnsiTheme="majorEastAsia" w:cstheme="majorEastAsia" w:hint="eastAsia"/>
              </w:rPr>
              <w:t>日历天（从投标截止之日算起）</w:t>
            </w:r>
          </w:p>
        </w:tc>
      </w:tr>
      <w:tr>
        <w:tblPrEx>
          <w:tblW w:w="8367" w:type="dxa"/>
          <w:jc w:val="center"/>
          <w:tblLayout w:type="fixed"/>
          <w:tblLook w:val="04A0"/>
        </w:tblPrEx>
        <w:trPr>
          <w:cantSplit/>
          <w:trHeight w:val="567"/>
          <w:jc w:val="center"/>
        </w:trPr>
        <w:tc>
          <w:tcPr>
            <w:tcW w:w="807" w:type="dxa"/>
            <w:tcBorders>
              <w:tl2br w:val="nil"/>
              <w:tr2bl w:val="nil"/>
            </w:tcBorders>
            <w:vAlign w:val="center"/>
          </w:tcPr>
          <w:p w:rsidR="008C0A47">
            <w:pPr>
              <w:spacing w:line="400" w:lineRule="exact"/>
              <w:jc w:val="center"/>
              <w:rPr>
                <w:rFonts w:asciiTheme="majorEastAsia" w:eastAsiaTheme="majorEastAsia" w:hAnsiTheme="majorEastAsia" w:cstheme="majorEastAsia"/>
              </w:rPr>
            </w:pPr>
            <w:r>
              <w:rPr>
                <w:rFonts w:asciiTheme="majorEastAsia" w:eastAsiaTheme="majorEastAsia" w:hAnsiTheme="majorEastAsia" w:cstheme="majorEastAsia" w:hint="eastAsia"/>
              </w:rPr>
              <w:t>3</w:t>
            </w:r>
          </w:p>
        </w:tc>
        <w:tc>
          <w:tcPr>
            <w:tcW w:w="2160" w:type="dxa"/>
            <w:tcBorders>
              <w:tl2br w:val="nil"/>
              <w:tr2bl w:val="nil"/>
            </w:tcBorders>
            <w:vAlign w:val="center"/>
          </w:tcPr>
          <w:p w:rsidR="008C0A47">
            <w:pPr>
              <w:spacing w:line="400" w:lineRule="exact"/>
              <w:rPr>
                <w:rFonts w:asciiTheme="majorEastAsia" w:eastAsiaTheme="majorEastAsia" w:hAnsiTheme="majorEastAsia" w:cstheme="majorEastAsia"/>
              </w:rPr>
            </w:pPr>
            <w:r>
              <w:rPr>
                <w:rFonts w:asciiTheme="majorEastAsia" w:eastAsiaTheme="majorEastAsia" w:hAnsiTheme="majorEastAsia" w:cstheme="majorEastAsia" w:hint="eastAsia"/>
              </w:rPr>
              <w:t>投标人的替代方案</w:t>
            </w:r>
          </w:p>
        </w:tc>
        <w:tc>
          <w:tcPr>
            <w:tcW w:w="5400" w:type="dxa"/>
            <w:tcBorders>
              <w:tl2br w:val="nil"/>
              <w:tr2bl w:val="nil"/>
            </w:tcBorders>
            <w:vAlign w:val="center"/>
          </w:tcPr>
          <w:p w:rsidR="008C0A47">
            <w:pPr>
              <w:spacing w:line="400" w:lineRule="exact"/>
              <w:rPr>
                <w:rFonts w:asciiTheme="majorEastAsia" w:eastAsiaTheme="majorEastAsia" w:hAnsiTheme="majorEastAsia" w:cstheme="majorEastAsia"/>
              </w:rPr>
            </w:pPr>
            <w:r>
              <w:rPr>
                <w:rFonts w:asciiTheme="majorEastAsia" w:eastAsiaTheme="majorEastAsia" w:hAnsiTheme="majorEastAsia" w:cstheme="majorEastAsia" w:hint="eastAsia"/>
              </w:rPr>
              <w:t>不允许</w:t>
            </w:r>
          </w:p>
        </w:tc>
      </w:tr>
      <w:tr>
        <w:tblPrEx>
          <w:tblW w:w="8367" w:type="dxa"/>
          <w:jc w:val="center"/>
          <w:tblLayout w:type="fixed"/>
          <w:tblLook w:val="04A0"/>
        </w:tblPrEx>
        <w:trPr>
          <w:cantSplit/>
          <w:trHeight w:val="567"/>
          <w:jc w:val="center"/>
        </w:trPr>
        <w:tc>
          <w:tcPr>
            <w:tcW w:w="807" w:type="dxa"/>
            <w:tcBorders>
              <w:tl2br w:val="nil"/>
              <w:tr2bl w:val="nil"/>
            </w:tcBorders>
            <w:vAlign w:val="center"/>
          </w:tcPr>
          <w:p w:rsidR="008C0A47">
            <w:pPr>
              <w:spacing w:line="400" w:lineRule="exact"/>
              <w:jc w:val="center"/>
              <w:rPr>
                <w:rFonts w:asciiTheme="majorEastAsia" w:eastAsiaTheme="majorEastAsia" w:hAnsiTheme="majorEastAsia" w:cstheme="majorEastAsia"/>
              </w:rPr>
            </w:pPr>
            <w:r>
              <w:rPr>
                <w:rFonts w:asciiTheme="majorEastAsia" w:eastAsiaTheme="majorEastAsia" w:hAnsiTheme="majorEastAsia" w:cstheme="majorEastAsia" w:hint="eastAsia"/>
              </w:rPr>
              <w:t>4</w:t>
            </w:r>
          </w:p>
        </w:tc>
        <w:tc>
          <w:tcPr>
            <w:tcW w:w="2160" w:type="dxa"/>
            <w:tcBorders>
              <w:tl2br w:val="nil"/>
              <w:tr2bl w:val="nil"/>
            </w:tcBorders>
            <w:vAlign w:val="center"/>
          </w:tcPr>
          <w:p w:rsidR="008C0A47">
            <w:pPr>
              <w:spacing w:line="400" w:lineRule="exact"/>
              <w:rPr>
                <w:rFonts w:asciiTheme="majorEastAsia" w:eastAsiaTheme="majorEastAsia" w:hAnsiTheme="majorEastAsia" w:cstheme="majorEastAsia"/>
              </w:rPr>
            </w:pPr>
            <w:r>
              <w:rPr>
                <w:rFonts w:asciiTheme="majorEastAsia" w:eastAsiaTheme="majorEastAsia" w:hAnsiTheme="majorEastAsia" w:cstheme="majorEastAsia" w:hint="eastAsia"/>
              </w:rPr>
              <w:t>履约保证金</w:t>
            </w:r>
          </w:p>
        </w:tc>
        <w:tc>
          <w:tcPr>
            <w:tcW w:w="5400" w:type="dxa"/>
            <w:tcBorders>
              <w:tl2br w:val="nil"/>
              <w:tr2bl w:val="nil"/>
            </w:tcBorders>
            <w:vAlign w:val="center"/>
          </w:tcPr>
          <w:p w:rsidR="008C0A47">
            <w:pPr>
              <w:spacing w:line="400" w:lineRule="exact"/>
              <w:rPr>
                <w:rFonts w:asciiTheme="majorEastAsia" w:eastAsiaTheme="majorEastAsia" w:hAnsiTheme="majorEastAsia" w:cstheme="majorEastAsia"/>
                <w:i/>
                <w:iCs/>
              </w:rPr>
            </w:pPr>
            <w:r>
              <w:rPr>
                <w:rFonts w:asciiTheme="majorEastAsia" w:eastAsiaTheme="majorEastAsia" w:hAnsiTheme="majorEastAsia" w:cstheme="majorEastAsia" w:hint="eastAsia"/>
              </w:rPr>
              <w:t>无需提供履约保证金</w:t>
            </w:r>
          </w:p>
        </w:tc>
      </w:tr>
    </w:tbl>
    <w:p w:rsidR="008C0A47">
      <w:pPr>
        <w:rPr>
          <w:rFonts w:asciiTheme="majorEastAsia" w:eastAsiaTheme="majorEastAsia" w:hAnsiTheme="majorEastAsia" w:cstheme="majorEastAsia"/>
          <w:bCs/>
        </w:rPr>
      </w:pPr>
      <w:r>
        <w:rPr>
          <w:rFonts w:asciiTheme="majorEastAsia" w:eastAsiaTheme="majorEastAsia" w:hAnsiTheme="majorEastAsia" w:cstheme="majorEastAsia" w:hint="eastAsia"/>
          <w:b/>
          <w:szCs w:val="21"/>
        </w:rPr>
        <w:t>备注：</w:t>
      </w:r>
      <w:r>
        <w:rPr>
          <w:rFonts w:asciiTheme="majorEastAsia" w:eastAsiaTheme="majorEastAsia" w:hAnsiTheme="majorEastAsia" w:cstheme="majorEastAsia" w:hint="eastAsia"/>
          <w:bCs/>
          <w:szCs w:val="21"/>
        </w:rPr>
        <w:t>本表为通用条款相关内容的补充和明确，如与通用条款相冲突的以本表为准。</w:t>
      </w:r>
    </w:p>
    <w:p w:rsidR="008C0A47">
      <w:pPr>
        <w:pStyle w:val="Heading3"/>
        <w:keepNext w:val="0"/>
        <w:keepLines w:val="0"/>
        <w:spacing w:before="120" w:beforeLines="50" w:after="0"/>
        <w:ind w:firstLine="480" w:firstLineChars="200"/>
        <w:rPr>
          <w:rFonts w:asciiTheme="majorEastAsia" w:eastAsiaTheme="majorEastAsia" w:hAnsiTheme="majorEastAsia" w:cstheme="majorEastAsia"/>
          <w:sz w:val="24"/>
          <w:szCs w:val="24"/>
        </w:rPr>
      </w:pPr>
      <w:bookmarkStart w:id="26" w:name="_Toc128884461"/>
      <w:bookmarkEnd w:id="18"/>
      <w:bookmarkEnd w:id="19"/>
      <w:bookmarkEnd w:id="20"/>
      <w:bookmarkEnd w:id="21"/>
      <w:bookmarkEnd w:id="22"/>
      <w:bookmarkEnd w:id="23"/>
      <w:bookmarkEnd w:id="24"/>
      <w:bookmarkEnd w:id="25"/>
      <w:r>
        <w:rPr>
          <w:rFonts w:asciiTheme="majorEastAsia" w:eastAsiaTheme="majorEastAsia" w:hAnsiTheme="majorEastAsia" w:cstheme="majorEastAsia" w:hint="eastAsia"/>
          <w:sz w:val="24"/>
          <w:szCs w:val="24"/>
        </w:rPr>
        <w:t>二、</w:t>
      </w:r>
      <w:bookmarkEnd w:id="26"/>
      <w:r>
        <w:rPr>
          <w:rFonts w:asciiTheme="majorEastAsia" w:eastAsiaTheme="majorEastAsia" w:hAnsiTheme="majorEastAsia" w:cstheme="majorEastAsia" w:hint="eastAsia"/>
          <w:sz w:val="24"/>
          <w:szCs w:val="24"/>
        </w:rPr>
        <w:t>项目概况</w:t>
      </w:r>
    </w:p>
    <w:p w:rsidR="008C0A47">
      <w:pPr>
        <w:widowControl/>
        <w:snapToGrid w:val="0"/>
        <w:spacing w:line="400" w:lineRule="exact"/>
        <w:ind w:firstLine="480" w:firstLineChars="200"/>
        <w:rPr>
          <w:rFonts w:ascii="宋体" w:hAnsi="宋体"/>
          <w:b/>
          <w:bCs/>
          <w:kern w:val="0"/>
          <w:szCs w:val="21"/>
        </w:rPr>
      </w:pPr>
      <w:r>
        <w:rPr>
          <w:rFonts w:ascii="宋体" w:hAnsi="宋体" w:hint="eastAsia"/>
          <w:b/>
          <w:bCs/>
          <w:kern w:val="0"/>
          <w:szCs w:val="21"/>
        </w:rPr>
        <w:t>（一）项目所依据及参考的标准</w:t>
      </w:r>
    </w:p>
    <w:p w:rsidR="008C0A47">
      <w:pPr>
        <w:spacing w:line="400" w:lineRule="exact"/>
        <w:ind w:firstLine="480" w:firstLineChars="200"/>
        <w:rPr>
          <w:rFonts w:ascii="宋体" w:hAnsi="宋体"/>
          <w:kern w:val="0"/>
          <w:szCs w:val="21"/>
        </w:rPr>
      </w:pPr>
      <w:r>
        <w:rPr>
          <w:rFonts w:ascii="宋体" w:hAnsi="宋体" w:hint="eastAsia"/>
          <w:szCs w:val="21"/>
        </w:rPr>
        <w:t>《广东省司法厅、广东省财政厅转发司法部、财政部关于建立健全政府购买法律服务机制的意见的通知》中关于委托律师参与处理行政复议、诉讼、仲裁等法律事务的规定。</w:t>
      </w:r>
    </w:p>
    <w:p w:rsidR="008C0A47">
      <w:pPr>
        <w:widowControl/>
        <w:snapToGrid w:val="0"/>
        <w:spacing w:line="400" w:lineRule="exact"/>
        <w:ind w:firstLine="480" w:firstLineChars="200"/>
        <w:rPr>
          <w:rFonts w:ascii="宋体" w:hAnsi="宋体"/>
          <w:b/>
          <w:bCs/>
          <w:kern w:val="0"/>
          <w:szCs w:val="21"/>
        </w:rPr>
      </w:pPr>
      <w:r>
        <w:rPr>
          <w:rFonts w:ascii="宋体" w:hAnsi="宋体" w:hint="eastAsia"/>
          <w:b/>
          <w:bCs/>
          <w:kern w:val="0"/>
          <w:szCs w:val="21"/>
        </w:rPr>
        <w:t>（二）项目采购范围</w:t>
      </w:r>
    </w:p>
    <w:p w:rsidR="008C0A47">
      <w:pPr>
        <w:widowControl/>
        <w:snapToGrid w:val="0"/>
        <w:spacing w:line="400" w:lineRule="exact"/>
        <w:ind w:firstLine="480" w:firstLineChars="200"/>
        <w:rPr>
          <w:rFonts w:asciiTheme="majorEastAsia" w:eastAsiaTheme="majorEastAsia" w:hAnsiTheme="majorEastAsia" w:cstheme="majorEastAsia"/>
        </w:rPr>
      </w:pPr>
      <w:r>
        <w:rPr>
          <w:rFonts w:ascii="宋体" w:hAnsi="宋体" w:hint="eastAsia"/>
          <w:szCs w:val="21"/>
        </w:rPr>
        <w:t>根据深圳市司法局的统筹安排，负责对行政复议案件进行先行</w:t>
      </w:r>
      <w:r>
        <w:rPr>
          <w:rFonts w:ascii="宋体" w:hAnsi="宋体"/>
          <w:szCs w:val="21"/>
        </w:rPr>
        <w:t>调解，</w:t>
      </w:r>
      <w:r>
        <w:rPr>
          <w:rFonts w:ascii="宋体" w:hAnsi="宋体" w:hint="eastAsia"/>
          <w:szCs w:val="21"/>
        </w:rPr>
        <w:t>对行政复议法律文书进行校对和技术处理，完成市司法局安排的其他行政复议服务工作。</w:t>
      </w:r>
    </w:p>
    <w:p w:rsidR="008C0A47">
      <w:pPr>
        <w:pStyle w:val="Heading3"/>
        <w:keepNext w:val="0"/>
        <w:keepLines w:val="0"/>
        <w:spacing w:before="120" w:beforeLines="50" w:after="0"/>
        <w:ind w:firstLine="480" w:firstLineChars="20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三、项目管理要求</w:t>
      </w:r>
    </w:p>
    <w:p w:rsidR="008C0A47">
      <w:pPr>
        <w:widowControl/>
        <w:snapToGrid w:val="0"/>
        <w:spacing w:line="400" w:lineRule="exact"/>
        <w:ind w:firstLine="480" w:firstLineChars="200"/>
        <w:rPr>
          <w:rFonts w:ascii="宋体" w:hAnsi="宋体"/>
          <w:b/>
          <w:bCs/>
          <w:kern w:val="0"/>
          <w:szCs w:val="21"/>
        </w:rPr>
      </w:pPr>
      <w:r>
        <w:rPr>
          <w:rFonts w:ascii="宋体" w:hAnsi="宋体" w:hint="eastAsia"/>
          <w:b/>
          <w:bCs/>
          <w:kern w:val="0"/>
          <w:szCs w:val="21"/>
        </w:rPr>
        <w:t>（一）组织实施要求</w:t>
      </w:r>
    </w:p>
    <w:p w:rsidR="008C0A47">
      <w:pPr>
        <w:spacing w:line="400" w:lineRule="exact"/>
        <w:ind w:firstLine="480" w:firstLineChars="200"/>
        <w:rPr>
          <w:rFonts w:ascii="宋体" w:hAnsi="宋体"/>
          <w:szCs w:val="21"/>
        </w:rPr>
      </w:pPr>
      <w:r>
        <w:rPr>
          <w:rFonts w:ascii="宋体" w:hAnsi="宋体" w:hint="eastAsia"/>
          <w:szCs w:val="21"/>
        </w:rPr>
        <w:t>1.</w:t>
      </w:r>
      <w:r>
        <w:rPr>
          <w:rFonts w:ascii="宋体" w:hAnsi="宋体" w:hint="eastAsia"/>
          <w:szCs w:val="21"/>
        </w:rPr>
        <w:t>中标供应商需成立</w:t>
      </w:r>
      <w:r>
        <w:rPr>
          <w:rFonts w:ascii="宋体" w:hAnsi="宋体" w:hint="eastAsia"/>
          <w:szCs w:val="21"/>
        </w:rPr>
        <w:t>7</w:t>
      </w:r>
      <w:r>
        <w:rPr>
          <w:rFonts w:ascii="宋体" w:hAnsi="宋体" w:hint="eastAsia"/>
          <w:szCs w:val="21"/>
        </w:rPr>
        <w:t>人以上（含本数）的专项法律服务小组负责本项目日常工作；</w:t>
      </w:r>
    </w:p>
    <w:p w:rsidR="008C0A47">
      <w:pPr>
        <w:spacing w:line="400" w:lineRule="exact"/>
        <w:ind w:firstLine="480" w:firstLineChars="200"/>
        <w:rPr>
          <w:rFonts w:ascii="宋体" w:hAnsi="宋体"/>
          <w:szCs w:val="21"/>
        </w:rPr>
      </w:pPr>
      <w:r>
        <w:rPr>
          <w:rFonts w:ascii="宋体" w:hAnsi="宋体" w:hint="eastAsia"/>
          <w:szCs w:val="21"/>
        </w:rPr>
        <w:t>2.</w:t>
      </w:r>
      <w:r>
        <w:rPr>
          <w:rFonts w:ascii="宋体" w:hAnsi="宋体" w:hint="eastAsia"/>
          <w:szCs w:val="21"/>
        </w:rPr>
        <w:t>小组负责人一个月至少到采购单位两次；</w:t>
      </w:r>
    </w:p>
    <w:p w:rsidR="008C0A47">
      <w:pPr>
        <w:spacing w:line="400" w:lineRule="exact"/>
        <w:ind w:firstLine="480" w:firstLineChars="200"/>
        <w:rPr>
          <w:rFonts w:ascii="宋体" w:hAnsi="宋体"/>
          <w:szCs w:val="21"/>
        </w:rPr>
      </w:pPr>
      <w:r>
        <w:rPr>
          <w:rFonts w:ascii="宋体" w:hAnsi="宋体" w:hint="eastAsia"/>
          <w:szCs w:val="21"/>
        </w:rPr>
        <w:t>3.</w:t>
      </w:r>
      <w:r>
        <w:rPr>
          <w:rFonts w:ascii="宋体" w:hAnsi="宋体" w:hint="eastAsia"/>
          <w:szCs w:val="21"/>
        </w:rPr>
        <w:t>保证其中</w:t>
      </w:r>
      <w:r>
        <w:rPr>
          <w:rFonts w:ascii="宋体" w:hAnsi="宋体"/>
          <w:szCs w:val="21"/>
        </w:rPr>
        <w:t>2</w:t>
      </w:r>
      <w:r>
        <w:rPr>
          <w:rFonts w:ascii="宋体" w:hAnsi="宋体" w:hint="eastAsia"/>
          <w:szCs w:val="21"/>
        </w:rPr>
        <w:t>名执业律师、</w:t>
      </w:r>
      <w:r>
        <w:rPr>
          <w:rFonts w:ascii="宋体" w:hAnsi="宋体" w:hint="eastAsia"/>
          <w:szCs w:val="21"/>
        </w:rPr>
        <w:t>3</w:t>
      </w:r>
      <w:r>
        <w:rPr>
          <w:rFonts w:ascii="宋体" w:hAnsi="宋体" w:hint="eastAsia"/>
          <w:szCs w:val="21"/>
        </w:rPr>
        <w:t>名具有法律职</w:t>
      </w:r>
      <w:r>
        <w:rPr>
          <w:rFonts w:ascii="宋体" w:hAnsi="宋体" w:hint="eastAsia"/>
          <w:szCs w:val="21"/>
        </w:rPr>
        <w:t>业资格的人员、</w:t>
      </w:r>
      <w:r>
        <w:rPr>
          <w:rFonts w:ascii="宋体" w:hAnsi="宋体" w:hint="eastAsia"/>
          <w:szCs w:val="21"/>
        </w:rPr>
        <w:t>1</w:t>
      </w:r>
      <w:r>
        <w:rPr>
          <w:rFonts w:ascii="宋体" w:hAnsi="宋体" w:hint="eastAsia"/>
          <w:szCs w:val="21"/>
        </w:rPr>
        <w:t>名应诉辅助人员到驻点的市司法局办理日常服务事务（每周五</w:t>
      </w:r>
      <w:r>
        <w:rPr>
          <w:rFonts w:ascii="宋体" w:hAnsi="宋体" w:hint="eastAsia"/>
          <w:szCs w:val="21"/>
        </w:rPr>
        <w:t>个</w:t>
      </w:r>
      <w:r>
        <w:rPr>
          <w:rFonts w:ascii="宋体" w:hAnsi="宋体" w:hint="eastAsia"/>
          <w:szCs w:val="21"/>
        </w:rPr>
        <w:t>工作日）。</w:t>
      </w:r>
    </w:p>
    <w:p w:rsidR="008C0A47">
      <w:pPr>
        <w:spacing w:line="400" w:lineRule="exact"/>
        <w:ind w:firstLine="480" w:firstLineChars="200"/>
        <w:rPr>
          <w:rFonts w:ascii="宋体" w:hAnsi="宋体"/>
          <w:kern w:val="0"/>
          <w:szCs w:val="21"/>
        </w:rPr>
      </w:pPr>
      <w:r>
        <w:rPr>
          <w:rFonts w:ascii="宋体" w:hAnsi="宋体" w:hint="eastAsia"/>
          <w:szCs w:val="21"/>
        </w:rPr>
        <w:t>4.</w:t>
      </w:r>
      <w:r>
        <w:rPr>
          <w:rFonts w:ascii="宋体" w:hAnsi="宋体" w:hint="eastAsia"/>
          <w:szCs w:val="21"/>
        </w:rPr>
        <w:t>重大会议需小组负责人参加的，小组负责人应按时参加；非法定工作日，如遇紧急事项或突发事件处理，须派一名执业律师到场提供服务。</w:t>
      </w:r>
    </w:p>
    <w:p w:rsidR="008C0A47">
      <w:pPr>
        <w:widowControl/>
        <w:snapToGrid w:val="0"/>
        <w:spacing w:line="400" w:lineRule="exact"/>
        <w:ind w:firstLine="480" w:firstLineChars="200"/>
        <w:rPr>
          <w:rFonts w:ascii="宋体" w:hAnsi="宋体"/>
          <w:b/>
          <w:bCs/>
          <w:kern w:val="0"/>
          <w:szCs w:val="21"/>
        </w:rPr>
      </w:pPr>
      <w:r>
        <w:rPr>
          <w:rFonts w:ascii="宋体" w:hAnsi="宋体" w:hint="eastAsia"/>
          <w:b/>
          <w:bCs/>
          <w:kern w:val="0"/>
          <w:szCs w:val="21"/>
        </w:rPr>
        <w:t>（二）项目人员安排要求</w:t>
      </w:r>
    </w:p>
    <w:p w:rsidR="008C0A47">
      <w:pPr>
        <w:widowControl/>
        <w:snapToGrid w:val="0"/>
        <w:spacing w:line="400" w:lineRule="exact"/>
        <w:ind w:firstLine="480" w:firstLineChars="200"/>
        <w:rPr>
          <w:rFonts w:ascii="宋体" w:hAnsi="宋体"/>
          <w:kern w:val="0"/>
          <w:szCs w:val="21"/>
        </w:rPr>
      </w:pPr>
      <w:r>
        <w:rPr>
          <w:rFonts w:ascii="宋体" w:hAnsi="宋体" w:hint="eastAsia"/>
          <w:kern w:val="0"/>
          <w:szCs w:val="21"/>
        </w:rPr>
        <w:t>1.</w:t>
      </w:r>
      <w:r>
        <w:rPr>
          <w:rFonts w:ascii="宋体" w:hAnsi="宋体" w:hint="eastAsia"/>
          <w:kern w:val="0"/>
          <w:szCs w:val="21"/>
        </w:rPr>
        <w:t>小组负责人需具备以下条件：</w:t>
      </w:r>
    </w:p>
    <w:p w:rsidR="008C0A47">
      <w:pPr>
        <w:widowControl/>
        <w:snapToGrid w:val="0"/>
        <w:spacing w:line="400" w:lineRule="exact"/>
        <w:ind w:firstLine="480" w:firstLineChars="200"/>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）政治素质高，拥护党的理论和路线方针政策，中国共产党党员优先考虑；</w:t>
      </w:r>
    </w:p>
    <w:p w:rsidR="008C0A47">
      <w:pPr>
        <w:widowControl/>
        <w:snapToGrid w:val="0"/>
        <w:spacing w:line="400" w:lineRule="exact"/>
        <w:ind w:firstLine="480" w:firstLineChars="20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）具有良好的职业道德和社会责任感；</w:t>
      </w:r>
    </w:p>
    <w:p w:rsidR="008C0A47">
      <w:pPr>
        <w:widowControl/>
        <w:snapToGrid w:val="0"/>
        <w:spacing w:line="400" w:lineRule="exact"/>
        <w:ind w:firstLine="480" w:firstLineChars="200"/>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）具有</w:t>
      </w:r>
      <w:r>
        <w:rPr>
          <w:rFonts w:ascii="宋体" w:hAnsi="宋体" w:hint="eastAsia"/>
          <w:szCs w:val="21"/>
        </w:rPr>
        <w:t>5</w:t>
      </w:r>
      <w:r>
        <w:rPr>
          <w:rFonts w:ascii="宋体" w:hAnsi="宋体" w:hint="eastAsia"/>
          <w:szCs w:val="21"/>
        </w:rPr>
        <w:t>年以上（含本数）执业经验和较强的专业能力；</w:t>
      </w:r>
    </w:p>
    <w:p w:rsidR="008C0A47">
      <w:pPr>
        <w:widowControl/>
        <w:snapToGrid w:val="0"/>
        <w:spacing w:line="400" w:lineRule="exact"/>
        <w:ind w:firstLine="480" w:firstLineChars="200"/>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）熟悉行政复议、行政执法等方面的法律法规；</w:t>
      </w:r>
    </w:p>
    <w:p w:rsidR="008C0A47">
      <w:pPr>
        <w:widowControl/>
        <w:snapToGrid w:val="0"/>
        <w:spacing w:line="400" w:lineRule="exact"/>
        <w:ind w:firstLine="480" w:firstLineChars="200"/>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）有担任党委、政府或者其部门、街道办事处法律顾问的工作经验；</w:t>
      </w:r>
    </w:p>
    <w:p w:rsidR="008C0A47">
      <w:pPr>
        <w:widowControl/>
        <w:snapToGrid w:val="0"/>
        <w:spacing w:line="400" w:lineRule="exact"/>
        <w:ind w:firstLine="480" w:firstLineChars="200"/>
        <w:rPr>
          <w:rFonts w:ascii="宋体" w:hAnsi="宋体"/>
          <w:szCs w:val="21"/>
        </w:rPr>
      </w:pPr>
      <w:r>
        <w:rPr>
          <w:rFonts w:ascii="宋体" w:hAnsi="宋体" w:hint="eastAsia"/>
          <w:szCs w:val="21"/>
        </w:rPr>
        <w:t>（</w:t>
      </w:r>
      <w:r>
        <w:rPr>
          <w:rFonts w:ascii="宋体" w:hAnsi="宋体" w:hint="eastAsia"/>
          <w:szCs w:val="21"/>
        </w:rPr>
        <w:t>6</w:t>
      </w:r>
      <w:r>
        <w:rPr>
          <w:rFonts w:ascii="宋体" w:hAnsi="宋体" w:hint="eastAsia"/>
          <w:szCs w:val="21"/>
        </w:rPr>
        <w:t>）严格遵纪守法，未受过刑事处罚，近</w:t>
      </w:r>
      <w:r>
        <w:rPr>
          <w:rFonts w:ascii="宋体" w:hAnsi="宋体" w:hint="eastAsia"/>
          <w:szCs w:val="21"/>
        </w:rPr>
        <w:t>3</w:t>
      </w:r>
      <w:r>
        <w:rPr>
          <w:rFonts w:ascii="宋体" w:hAnsi="宋体" w:hint="eastAsia"/>
          <w:szCs w:val="21"/>
        </w:rPr>
        <w:t>年未受过司法行政部门的行政处罚或者</w:t>
      </w:r>
      <w:r>
        <w:rPr>
          <w:rFonts w:ascii="宋体" w:hAnsi="宋体" w:hint="eastAsia"/>
          <w:szCs w:val="21"/>
        </w:rPr>
        <w:t>律协会</w:t>
      </w:r>
      <w:r>
        <w:rPr>
          <w:rFonts w:ascii="宋体" w:hAnsi="宋体" w:hint="eastAsia"/>
          <w:szCs w:val="21"/>
        </w:rPr>
        <w:t>的行业处分，其所在律师事务所近</w:t>
      </w:r>
      <w:r>
        <w:rPr>
          <w:rFonts w:ascii="宋体" w:hAnsi="宋体" w:hint="eastAsia"/>
          <w:szCs w:val="21"/>
        </w:rPr>
        <w:t>3</w:t>
      </w:r>
      <w:r>
        <w:rPr>
          <w:rFonts w:ascii="宋体" w:hAnsi="宋体" w:hint="eastAsia"/>
          <w:szCs w:val="21"/>
        </w:rPr>
        <w:t>年未受过司法行政部门的行政处罚或者律师协会的行业处分。</w:t>
      </w:r>
    </w:p>
    <w:p w:rsidR="008C0A47">
      <w:pPr>
        <w:widowControl/>
        <w:snapToGrid w:val="0"/>
        <w:spacing w:line="400" w:lineRule="exact"/>
        <w:ind w:firstLine="480" w:firstLineChars="200"/>
        <w:rPr>
          <w:rFonts w:ascii="宋体" w:hAnsi="宋体"/>
          <w:kern w:val="0"/>
          <w:szCs w:val="21"/>
        </w:rPr>
      </w:pPr>
      <w:r>
        <w:rPr>
          <w:rFonts w:ascii="宋体" w:hAnsi="宋体" w:hint="eastAsia"/>
          <w:szCs w:val="21"/>
        </w:rPr>
        <w:t>（</w:t>
      </w:r>
      <w:r>
        <w:rPr>
          <w:rFonts w:ascii="宋体" w:hAnsi="宋体" w:hint="eastAsia"/>
          <w:szCs w:val="21"/>
        </w:rPr>
        <w:t>7</w:t>
      </w:r>
      <w:r>
        <w:rPr>
          <w:rFonts w:ascii="宋体" w:hAnsi="宋体" w:hint="eastAsia"/>
          <w:szCs w:val="21"/>
        </w:rPr>
        <w:t>）身体健康。</w:t>
      </w:r>
    </w:p>
    <w:p w:rsidR="008C0A47">
      <w:pPr>
        <w:widowControl/>
        <w:snapToGrid w:val="0"/>
        <w:spacing w:line="400" w:lineRule="exact"/>
        <w:ind w:firstLine="480" w:firstLineChars="200"/>
        <w:rPr>
          <w:rFonts w:ascii="宋体" w:hAnsi="宋体"/>
          <w:szCs w:val="21"/>
        </w:rPr>
      </w:pPr>
      <w:r>
        <w:rPr>
          <w:rFonts w:ascii="宋体" w:hAnsi="宋体" w:hint="eastAsia"/>
          <w:szCs w:val="21"/>
        </w:rPr>
        <w:t>2.</w:t>
      </w:r>
      <w:r>
        <w:rPr>
          <w:rFonts w:ascii="宋体" w:hAnsi="宋体" w:hint="eastAsia"/>
          <w:szCs w:val="21"/>
        </w:rPr>
        <w:t>驻点执业律师须具备以下条件：</w:t>
      </w:r>
    </w:p>
    <w:p w:rsidR="008C0A47">
      <w:pPr>
        <w:widowControl/>
        <w:snapToGrid w:val="0"/>
        <w:spacing w:line="400" w:lineRule="exact"/>
        <w:ind w:firstLine="480" w:firstLineChars="200"/>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）政治素质高，拥护党的理论和路线方针政策；</w:t>
      </w:r>
    </w:p>
    <w:p w:rsidR="008C0A47">
      <w:pPr>
        <w:widowControl/>
        <w:snapToGrid w:val="0"/>
        <w:spacing w:line="400" w:lineRule="exact"/>
        <w:ind w:firstLine="480" w:firstLineChars="20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）具有良好的职业道德和社会责任感；</w:t>
      </w:r>
    </w:p>
    <w:p w:rsidR="008C0A47">
      <w:pPr>
        <w:widowControl/>
        <w:snapToGrid w:val="0"/>
        <w:spacing w:line="400" w:lineRule="exact"/>
        <w:ind w:firstLine="480" w:firstLineChars="200"/>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）取得律师执业资格，具有党政机关法律实务经验，且必须具有国家承认全日制法学专业的本科学历；</w:t>
      </w:r>
    </w:p>
    <w:p w:rsidR="008C0A47">
      <w:pPr>
        <w:widowControl/>
        <w:snapToGrid w:val="0"/>
        <w:spacing w:line="400" w:lineRule="exact"/>
        <w:ind w:firstLine="480" w:firstLineChars="200"/>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）严格遵纪守法，未受过刑事处罚，近</w:t>
      </w:r>
      <w:r>
        <w:rPr>
          <w:rFonts w:ascii="宋体" w:hAnsi="宋体" w:hint="eastAsia"/>
          <w:szCs w:val="21"/>
        </w:rPr>
        <w:t>3</w:t>
      </w:r>
      <w:r>
        <w:rPr>
          <w:rFonts w:ascii="宋体" w:hAnsi="宋体" w:hint="eastAsia"/>
          <w:szCs w:val="21"/>
        </w:rPr>
        <w:t>年未受过司法行政部门的行政处罚或者</w:t>
      </w:r>
      <w:r>
        <w:rPr>
          <w:rFonts w:ascii="宋体" w:hAnsi="宋体" w:hint="eastAsia"/>
          <w:szCs w:val="21"/>
        </w:rPr>
        <w:t>律协会</w:t>
      </w:r>
      <w:r>
        <w:rPr>
          <w:rFonts w:ascii="宋体" w:hAnsi="宋体" w:hint="eastAsia"/>
          <w:szCs w:val="21"/>
        </w:rPr>
        <w:t>的行业处分，其所在律师事务所近</w:t>
      </w:r>
      <w:r>
        <w:rPr>
          <w:rFonts w:ascii="宋体" w:hAnsi="宋体" w:hint="eastAsia"/>
          <w:szCs w:val="21"/>
        </w:rPr>
        <w:t>3</w:t>
      </w:r>
      <w:r>
        <w:rPr>
          <w:rFonts w:ascii="宋体" w:hAnsi="宋体" w:hint="eastAsia"/>
          <w:szCs w:val="21"/>
        </w:rPr>
        <w:t>年未受过司法行政部门的行政处罚或者律师协会的行业处分；</w:t>
      </w:r>
    </w:p>
    <w:p w:rsidR="008C0A47">
      <w:pPr>
        <w:widowControl/>
        <w:snapToGrid w:val="0"/>
        <w:spacing w:line="400" w:lineRule="exact"/>
        <w:ind w:firstLine="480" w:firstLineChars="200"/>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）身体健康。</w:t>
      </w:r>
    </w:p>
    <w:p w:rsidR="008C0A47">
      <w:pPr>
        <w:widowControl/>
        <w:snapToGrid w:val="0"/>
        <w:spacing w:line="400" w:lineRule="exact"/>
        <w:ind w:firstLine="480" w:firstLineChars="200"/>
        <w:rPr>
          <w:rFonts w:ascii="宋体" w:hAnsi="宋体"/>
          <w:szCs w:val="21"/>
        </w:rPr>
      </w:pPr>
      <w:r>
        <w:rPr>
          <w:rFonts w:ascii="宋体" w:hAnsi="宋体" w:hint="eastAsia"/>
          <w:szCs w:val="21"/>
        </w:rPr>
        <w:t>3</w:t>
      </w:r>
      <w:r>
        <w:rPr>
          <w:rFonts w:ascii="宋体" w:hAnsi="宋体"/>
          <w:szCs w:val="21"/>
        </w:rPr>
        <w:t>.</w:t>
      </w:r>
      <w:r>
        <w:rPr>
          <w:rFonts w:ascii="宋体" w:hAnsi="宋体" w:hint="eastAsia"/>
          <w:szCs w:val="21"/>
        </w:rPr>
        <w:t>驻点具有法律职业资格的人员须具备以下条件：</w:t>
      </w:r>
    </w:p>
    <w:p w:rsidR="008C0A47">
      <w:pPr>
        <w:widowControl/>
        <w:snapToGrid w:val="0"/>
        <w:spacing w:line="400" w:lineRule="exact"/>
        <w:ind w:firstLine="480" w:firstLineChars="200"/>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）政治素质较高，拥护党的理论和路线方针政策；</w:t>
      </w:r>
    </w:p>
    <w:p w:rsidR="008C0A47">
      <w:pPr>
        <w:widowControl/>
        <w:snapToGrid w:val="0"/>
        <w:spacing w:line="400" w:lineRule="exact"/>
        <w:ind w:firstLine="480" w:firstLineChars="20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）具有较好的职业道德和社会责任感；</w:t>
      </w:r>
    </w:p>
    <w:p w:rsidR="008C0A47">
      <w:pPr>
        <w:widowControl/>
        <w:snapToGrid w:val="0"/>
        <w:spacing w:line="400" w:lineRule="exact"/>
        <w:ind w:firstLine="480" w:firstLineChars="200"/>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）取得法律职业资格，且必须具有国家承认全日制法学专业的本科学历；</w:t>
      </w:r>
    </w:p>
    <w:p w:rsidR="008C0A47">
      <w:pPr>
        <w:widowControl/>
        <w:snapToGrid w:val="0"/>
        <w:spacing w:line="400" w:lineRule="exact"/>
        <w:ind w:firstLine="480" w:firstLineChars="200"/>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）严格遵纪守法，未</w:t>
      </w:r>
      <w:r>
        <w:rPr>
          <w:rFonts w:ascii="宋体" w:hAnsi="宋体" w:hint="eastAsia"/>
          <w:szCs w:val="21"/>
        </w:rPr>
        <w:t>受过刑事处罚；</w:t>
      </w:r>
    </w:p>
    <w:p w:rsidR="008C0A47">
      <w:pPr>
        <w:widowControl/>
        <w:snapToGrid w:val="0"/>
        <w:spacing w:line="400" w:lineRule="exact"/>
        <w:ind w:firstLine="480" w:firstLineChars="200"/>
        <w:rPr>
          <w:rFonts w:ascii="宋体" w:hAnsi="宋体"/>
          <w:kern w:val="0"/>
          <w:szCs w:val="21"/>
        </w:rPr>
      </w:pPr>
      <w:r>
        <w:rPr>
          <w:rFonts w:ascii="宋体" w:hAnsi="宋体" w:hint="eastAsia"/>
          <w:szCs w:val="21"/>
        </w:rPr>
        <w:t>（</w:t>
      </w:r>
      <w:r>
        <w:rPr>
          <w:rFonts w:ascii="宋体" w:hAnsi="宋体" w:hint="eastAsia"/>
          <w:szCs w:val="21"/>
        </w:rPr>
        <w:t>5</w:t>
      </w:r>
      <w:r>
        <w:rPr>
          <w:rFonts w:ascii="宋体" w:hAnsi="宋体" w:hint="eastAsia"/>
          <w:szCs w:val="21"/>
        </w:rPr>
        <w:t>）身体健康。</w:t>
      </w:r>
    </w:p>
    <w:p w:rsidR="008C0A47">
      <w:pPr>
        <w:widowControl/>
        <w:snapToGrid w:val="0"/>
        <w:spacing w:line="400" w:lineRule="exact"/>
        <w:ind w:firstLine="480" w:firstLineChars="200"/>
        <w:rPr>
          <w:rFonts w:ascii="宋体" w:hAnsi="宋体"/>
          <w:b/>
          <w:bCs/>
          <w:kern w:val="0"/>
          <w:szCs w:val="21"/>
        </w:rPr>
      </w:pPr>
      <w:r>
        <w:rPr>
          <w:rFonts w:ascii="宋体" w:hAnsi="宋体" w:hint="eastAsia"/>
          <w:b/>
          <w:bCs/>
          <w:kern w:val="0"/>
          <w:szCs w:val="21"/>
        </w:rPr>
        <w:t>（三）项目其他要求</w:t>
      </w:r>
    </w:p>
    <w:p w:rsidR="008C0A47">
      <w:pPr>
        <w:spacing w:line="400" w:lineRule="exact"/>
        <w:ind w:firstLine="480" w:firstLineChars="200"/>
        <w:rPr>
          <w:rFonts w:ascii="宋体" w:hAnsi="宋体"/>
          <w:szCs w:val="21"/>
        </w:rPr>
      </w:pPr>
      <w:r>
        <w:rPr>
          <w:rFonts w:ascii="宋体" w:hAnsi="宋体" w:hint="eastAsia"/>
          <w:szCs w:val="21"/>
        </w:rPr>
        <w:t>1.</w:t>
      </w:r>
      <w:r>
        <w:rPr>
          <w:rFonts w:ascii="宋体" w:hAnsi="宋体" w:hint="eastAsia"/>
          <w:szCs w:val="21"/>
        </w:rPr>
        <w:t>中标供应商需就每个驻点岗位分别提供</w:t>
      </w:r>
      <w:r>
        <w:rPr>
          <w:rFonts w:ascii="宋体" w:hAnsi="宋体" w:hint="eastAsia"/>
          <w:szCs w:val="21"/>
        </w:rPr>
        <w:t>3</w:t>
      </w:r>
      <w:r>
        <w:rPr>
          <w:rFonts w:ascii="宋体" w:hAnsi="宋体" w:hint="eastAsia"/>
          <w:szCs w:val="21"/>
        </w:rPr>
        <w:t>名以上符合条件人选给采购单位选择。经采购单位选定的驻点人员需具有一定的工作稳定性，未经采购单位同意，不得随意变更。对不符合条件或不能适应驻点工作的，中标单位需根据采购单位的意见和要求及时更换，以确保工作的正常开展；</w:t>
      </w:r>
    </w:p>
    <w:p w:rsidR="008C0A47">
      <w:pPr>
        <w:spacing w:line="400" w:lineRule="exact"/>
        <w:ind w:firstLine="480" w:firstLineChars="200"/>
        <w:rPr>
          <w:rFonts w:ascii="宋体" w:hAnsi="宋体"/>
          <w:szCs w:val="21"/>
        </w:rPr>
      </w:pPr>
      <w:r>
        <w:rPr>
          <w:rFonts w:ascii="宋体" w:hAnsi="宋体" w:hint="eastAsia"/>
          <w:szCs w:val="21"/>
        </w:rPr>
        <w:t>2.</w:t>
      </w:r>
      <w:r>
        <w:rPr>
          <w:rFonts w:ascii="宋体" w:hAnsi="宋体" w:hint="eastAsia"/>
          <w:szCs w:val="21"/>
        </w:rPr>
        <w:t>中标供应商需保证驻点人员的在岗时间；</w:t>
      </w:r>
    </w:p>
    <w:p w:rsidR="008C0A47">
      <w:pPr>
        <w:pStyle w:val="PlainText"/>
        <w:spacing w:line="400" w:lineRule="exact"/>
        <w:ind w:firstLine="480" w:firstLineChars="200"/>
        <w:rPr>
          <w:rFonts w:hAnsi="宋体"/>
          <w:szCs w:val="21"/>
        </w:rPr>
      </w:pPr>
      <w:r>
        <w:rPr>
          <w:rFonts w:hAnsi="宋体" w:hint="eastAsia"/>
          <w:szCs w:val="21"/>
        </w:rPr>
        <w:t>3.</w:t>
      </w:r>
      <w:r>
        <w:rPr>
          <w:rFonts w:hAnsi="宋体" w:hint="eastAsia"/>
          <w:szCs w:val="21"/>
        </w:rPr>
        <w:t>本项目服务费用已包括一般行政复议、诉讼和其他非诉讼法律事务的处理服务费用、驻点人员服务费用、税费、管理费用。</w:t>
      </w:r>
    </w:p>
    <w:p w:rsidR="008C0A47">
      <w:pPr>
        <w:widowControl/>
        <w:snapToGrid w:val="0"/>
        <w:spacing w:line="400" w:lineRule="exact"/>
        <w:ind w:firstLine="480" w:firstLineChars="200"/>
        <w:rPr>
          <w:rFonts w:ascii="宋体" w:hAnsi="宋体"/>
          <w:b/>
          <w:bCs/>
          <w:kern w:val="0"/>
          <w:szCs w:val="21"/>
        </w:rPr>
      </w:pPr>
      <w:r>
        <w:rPr>
          <w:rFonts w:ascii="宋体" w:hAnsi="宋体" w:hint="eastAsia"/>
          <w:b/>
          <w:bCs/>
          <w:kern w:val="0"/>
          <w:szCs w:val="21"/>
        </w:rPr>
        <w:t>（四）项目技术要求</w:t>
      </w:r>
    </w:p>
    <w:p w:rsidR="008C0A47">
      <w:pPr>
        <w:spacing w:line="400" w:lineRule="exact"/>
        <w:ind w:firstLine="480" w:firstLineChars="200"/>
        <w:rPr>
          <w:rFonts w:ascii="宋体" w:hAnsi="宋体"/>
          <w:b/>
          <w:bCs/>
          <w:szCs w:val="21"/>
        </w:rPr>
      </w:pPr>
      <w:r>
        <w:rPr>
          <w:rFonts w:ascii="宋体" w:hAnsi="宋体" w:hint="eastAsia"/>
          <w:szCs w:val="21"/>
        </w:rPr>
        <w:t>1</w:t>
      </w:r>
      <w:r>
        <w:rPr>
          <w:rFonts w:ascii="宋体" w:hAnsi="宋体"/>
          <w:szCs w:val="21"/>
        </w:rPr>
        <w:t>.</w:t>
      </w:r>
      <w:r>
        <w:rPr>
          <w:rFonts w:ascii="宋体" w:hAnsi="宋体" w:hint="eastAsia"/>
          <w:szCs w:val="21"/>
        </w:rPr>
        <w:t>中标供应商</w:t>
      </w:r>
      <w:r>
        <w:rPr>
          <w:rFonts w:ascii="宋体" w:hAnsi="宋体" w:hint="eastAsia"/>
          <w:kern w:val="0"/>
          <w:szCs w:val="21"/>
        </w:rPr>
        <w:t>应当结合深圳</w:t>
      </w:r>
      <w:r>
        <w:rPr>
          <w:rFonts w:ascii="宋体" w:hAnsi="宋体" w:hint="eastAsia"/>
          <w:kern w:val="0"/>
          <w:szCs w:val="21"/>
        </w:rPr>
        <w:t>市及本项目的实际情况，提供优质的法律服务，并保证所提供的服务成果符合法律法规，契合工作目的及要求，对所提供的工作成果负总责；</w:t>
      </w:r>
    </w:p>
    <w:p w:rsidR="008C0A47">
      <w:pPr>
        <w:spacing w:line="400" w:lineRule="exact"/>
        <w:ind w:firstLine="480" w:firstLineChars="200"/>
        <w:rPr>
          <w:rFonts w:ascii="宋体" w:hAnsi="宋体"/>
          <w:szCs w:val="21"/>
        </w:rPr>
      </w:pPr>
      <w:r>
        <w:rPr>
          <w:rFonts w:ascii="宋体" w:hAnsi="宋体"/>
          <w:szCs w:val="21"/>
        </w:rPr>
        <w:t>2.</w:t>
      </w:r>
      <w:r>
        <w:rPr>
          <w:rFonts w:ascii="宋体" w:hAnsi="宋体" w:hint="eastAsia"/>
          <w:szCs w:val="21"/>
        </w:rPr>
        <w:t>专项法律服务小组负责人应与采购单位保持紧密联系。</w:t>
      </w:r>
    </w:p>
    <w:p w:rsidR="008C0A47">
      <w:pPr>
        <w:spacing w:line="400" w:lineRule="exact"/>
        <w:ind w:firstLine="480" w:firstLineChars="200"/>
        <w:rPr>
          <w:rFonts w:ascii="宋体" w:hAnsi="宋体"/>
          <w:szCs w:val="21"/>
        </w:rPr>
      </w:pPr>
      <w:r>
        <w:rPr>
          <w:rFonts w:ascii="宋体" w:hAnsi="宋体"/>
          <w:szCs w:val="21"/>
        </w:rPr>
        <w:t>3.</w:t>
      </w:r>
      <w:r>
        <w:rPr>
          <w:rFonts w:ascii="宋体" w:hAnsi="宋体" w:hint="eastAsia"/>
          <w:szCs w:val="21"/>
        </w:rPr>
        <w:t>所有法律服务事项应在采购单位要求的时限内及形式（口头或书面）</w:t>
      </w:r>
      <w:r>
        <w:rPr>
          <w:rFonts w:ascii="宋体" w:hAnsi="宋体" w:hint="eastAsia"/>
          <w:szCs w:val="21"/>
        </w:rPr>
        <w:t>作出</w:t>
      </w:r>
      <w:r>
        <w:rPr>
          <w:rFonts w:ascii="宋体" w:hAnsi="宋体" w:hint="eastAsia"/>
          <w:szCs w:val="21"/>
        </w:rPr>
        <w:t>回应；</w:t>
      </w:r>
    </w:p>
    <w:p w:rsidR="008C0A47">
      <w:pPr>
        <w:spacing w:line="400" w:lineRule="exact"/>
        <w:ind w:firstLine="480" w:firstLineChars="200"/>
        <w:rPr>
          <w:rFonts w:ascii="宋体" w:hAnsi="宋体"/>
          <w:szCs w:val="21"/>
        </w:rPr>
      </w:pPr>
      <w:r>
        <w:rPr>
          <w:rFonts w:ascii="宋体" w:hAnsi="宋体" w:hint="eastAsia"/>
          <w:szCs w:val="21"/>
        </w:rPr>
        <w:t>4.</w:t>
      </w:r>
      <w:r>
        <w:rPr>
          <w:rFonts w:ascii="宋体" w:hAnsi="宋体" w:hint="eastAsia"/>
          <w:szCs w:val="21"/>
        </w:rPr>
        <w:t>专项法律服务小组负责人在服务期内应当按照采购单位的要求，为采购单位开展至少</w:t>
      </w:r>
      <w:r>
        <w:rPr>
          <w:rFonts w:ascii="宋体" w:hAnsi="宋体" w:hint="eastAsia"/>
          <w:szCs w:val="21"/>
        </w:rPr>
        <w:t>一次法治培训；</w:t>
      </w:r>
    </w:p>
    <w:p w:rsidR="008C0A47">
      <w:pPr>
        <w:spacing w:line="400" w:lineRule="exact"/>
        <w:ind w:firstLine="480" w:firstLineChars="200"/>
        <w:rPr>
          <w:rFonts w:ascii="宋体" w:hAnsi="宋体"/>
          <w:szCs w:val="21"/>
        </w:rPr>
      </w:pPr>
      <w:r>
        <w:rPr>
          <w:rFonts w:ascii="宋体" w:hAnsi="宋体" w:hint="eastAsia"/>
          <w:szCs w:val="21"/>
        </w:rPr>
        <w:t>5.</w:t>
      </w:r>
      <w:r>
        <w:rPr>
          <w:rFonts w:ascii="宋体" w:hAnsi="宋体" w:hint="eastAsia"/>
          <w:szCs w:val="21"/>
        </w:rPr>
        <w:t>中标供应</w:t>
      </w:r>
      <w:r>
        <w:rPr>
          <w:rFonts w:ascii="宋体" w:hAnsi="宋体" w:hint="eastAsia"/>
          <w:szCs w:val="21"/>
        </w:rPr>
        <w:t>商所有</w:t>
      </w:r>
      <w:r>
        <w:rPr>
          <w:rFonts w:ascii="宋体" w:hAnsi="宋体" w:hint="eastAsia"/>
          <w:szCs w:val="21"/>
        </w:rPr>
        <w:t>参与本项目的人员需遵守保密制度，与采购人签订保密协议；</w:t>
      </w:r>
    </w:p>
    <w:p w:rsidR="008C0A47">
      <w:pPr>
        <w:spacing w:line="400" w:lineRule="exact"/>
        <w:ind w:firstLine="480" w:firstLineChars="200"/>
        <w:rPr>
          <w:rFonts w:ascii="宋体" w:hAnsi="宋体"/>
          <w:szCs w:val="21"/>
        </w:rPr>
      </w:pPr>
      <w:r>
        <w:rPr>
          <w:rFonts w:ascii="宋体" w:hAnsi="宋体" w:hint="eastAsia"/>
          <w:szCs w:val="21"/>
        </w:rPr>
        <w:t>6.</w:t>
      </w:r>
      <w:r>
        <w:rPr>
          <w:rFonts w:ascii="宋体" w:hAnsi="宋体" w:hint="eastAsia"/>
          <w:szCs w:val="21"/>
        </w:rPr>
        <w:t>中标供应商不得利用在工作期间获得的非公开信息或者便利条件牟取不当利益；</w:t>
      </w:r>
    </w:p>
    <w:p w:rsidR="008C0A47">
      <w:pPr>
        <w:spacing w:line="400" w:lineRule="exact"/>
        <w:ind w:firstLine="480" w:firstLineChars="200"/>
        <w:rPr>
          <w:rFonts w:ascii="宋体" w:hAnsi="宋体"/>
          <w:szCs w:val="21"/>
        </w:rPr>
      </w:pPr>
      <w:r>
        <w:rPr>
          <w:rFonts w:ascii="宋体" w:hAnsi="宋体" w:hint="eastAsia"/>
          <w:szCs w:val="21"/>
        </w:rPr>
        <w:t>7.</w:t>
      </w:r>
      <w:r>
        <w:rPr>
          <w:rFonts w:ascii="宋体" w:hAnsi="宋体" w:hint="eastAsia"/>
          <w:szCs w:val="21"/>
        </w:rPr>
        <w:t>中标供应商不得接受其他当事人委托，办理与采购单位相冲突的法律事务。</w:t>
      </w:r>
    </w:p>
    <w:p w:rsidR="008C0A47">
      <w:pPr>
        <w:pStyle w:val="PlainText"/>
        <w:spacing w:line="400" w:lineRule="exact"/>
        <w:ind w:firstLine="480" w:firstLineChars="200"/>
        <w:rPr>
          <w:rFonts w:hAnsi="宋体"/>
          <w:b/>
          <w:bCs/>
          <w:kern w:val="0"/>
          <w:szCs w:val="21"/>
        </w:rPr>
      </w:pPr>
      <w:r>
        <w:rPr>
          <w:rFonts w:hAnsi="宋体" w:hint="eastAsia"/>
          <w:b/>
          <w:bCs/>
          <w:kern w:val="0"/>
          <w:szCs w:val="21"/>
        </w:rPr>
        <w:t>（五）项目服务要求</w:t>
      </w:r>
    </w:p>
    <w:p w:rsidR="008C0A47">
      <w:pPr>
        <w:spacing w:line="400" w:lineRule="exact"/>
        <w:ind w:firstLine="480" w:firstLineChars="200"/>
        <w:rPr>
          <w:rFonts w:ascii="宋体" w:hAnsi="宋体"/>
          <w:bCs/>
          <w:kern w:val="0"/>
          <w:szCs w:val="21"/>
        </w:rPr>
      </w:pPr>
      <w:r>
        <w:rPr>
          <w:rFonts w:ascii="宋体" w:hAnsi="宋体" w:hint="eastAsia"/>
          <w:bCs/>
          <w:kern w:val="0"/>
          <w:szCs w:val="21"/>
        </w:rPr>
        <w:t>1</w:t>
      </w:r>
      <w:r>
        <w:rPr>
          <w:rFonts w:ascii="宋体" w:hAnsi="宋体"/>
          <w:bCs/>
          <w:kern w:val="0"/>
          <w:szCs w:val="21"/>
        </w:rPr>
        <w:t>.</w:t>
      </w:r>
      <w:r>
        <w:rPr>
          <w:rFonts w:ascii="宋体" w:hAnsi="宋体" w:hint="eastAsia"/>
          <w:bCs/>
          <w:kern w:val="0"/>
          <w:szCs w:val="21"/>
        </w:rPr>
        <w:t>中标供应商应当在服务合同生效之日起十个工作日内安排驻点人员进驻，</w:t>
      </w:r>
      <w:r>
        <w:rPr>
          <w:rFonts w:ascii="宋体" w:hAnsi="宋体" w:hint="eastAsia"/>
          <w:spacing w:val="8"/>
          <w:kern w:val="0"/>
          <w:szCs w:val="21"/>
        </w:rPr>
        <w:t>适岗考察期为</w:t>
      </w:r>
      <w:r>
        <w:rPr>
          <w:rFonts w:ascii="宋体" w:hAnsi="宋体" w:hint="eastAsia"/>
          <w:spacing w:val="8"/>
          <w:kern w:val="0"/>
          <w:szCs w:val="21"/>
        </w:rPr>
        <w:t>30</w:t>
      </w:r>
      <w:r>
        <w:rPr>
          <w:rFonts w:ascii="宋体" w:hAnsi="宋体" w:hint="eastAsia"/>
          <w:spacing w:val="8"/>
          <w:kern w:val="0"/>
          <w:szCs w:val="21"/>
        </w:rPr>
        <w:t>日</w:t>
      </w:r>
      <w:r>
        <w:rPr>
          <w:rFonts w:ascii="宋体" w:hAnsi="宋体" w:hint="eastAsia"/>
          <w:bCs/>
          <w:kern w:val="0"/>
          <w:szCs w:val="21"/>
        </w:rPr>
        <w:t>；</w:t>
      </w:r>
    </w:p>
    <w:p w:rsidR="008C0A47">
      <w:pPr>
        <w:spacing w:line="400" w:lineRule="exact"/>
        <w:ind w:firstLine="480" w:firstLineChars="200"/>
        <w:rPr>
          <w:rFonts w:ascii="宋体" w:hAnsi="宋体"/>
          <w:bCs/>
          <w:kern w:val="0"/>
          <w:szCs w:val="21"/>
        </w:rPr>
      </w:pPr>
      <w:r>
        <w:rPr>
          <w:rFonts w:ascii="宋体" w:hAnsi="宋体" w:hint="eastAsia"/>
          <w:szCs w:val="21"/>
        </w:rPr>
        <w:t>2</w:t>
      </w:r>
      <w:r>
        <w:rPr>
          <w:rFonts w:ascii="宋体" w:hAnsi="宋体"/>
          <w:szCs w:val="21"/>
        </w:rPr>
        <w:t>.</w:t>
      </w:r>
      <w:r>
        <w:rPr>
          <w:rFonts w:ascii="宋体" w:hAnsi="宋体" w:hint="eastAsia"/>
          <w:bCs/>
          <w:kern w:val="0"/>
          <w:szCs w:val="21"/>
        </w:rPr>
        <w:t>中标供应商应当做好驻点人员的培训工作，确保派驻人员具备符合项目需要的工作能力；</w:t>
      </w:r>
    </w:p>
    <w:p w:rsidR="008C0A47">
      <w:pPr>
        <w:spacing w:line="400" w:lineRule="exact"/>
        <w:ind w:firstLine="480" w:firstLineChars="200"/>
        <w:rPr>
          <w:rFonts w:ascii="宋体" w:hAnsi="宋体"/>
          <w:bCs/>
          <w:kern w:val="0"/>
          <w:szCs w:val="21"/>
        </w:rPr>
      </w:pPr>
      <w:r>
        <w:rPr>
          <w:rFonts w:ascii="宋体" w:hAnsi="宋体" w:hint="eastAsia"/>
          <w:szCs w:val="21"/>
        </w:rPr>
        <w:t>3</w:t>
      </w:r>
      <w:r>
        <w:rPr>
          <w:rFonts w:ascii="宋体" w:hAnsi="宋体"/>
          <w:szCs w:val="21"/>
        </w:rPr>
        <w:t>.</w:t>
      </w:r>
      <w:r>
        <w:rPr>
          <w:rFonts w:ascii="宋体" w:hAnsi="宋体" w:hint="eastAsia"/>
          <w:bCs/>
          <w:kern w:val="0"/>
          <w:szCs w:val="21"/>
        </w:rPr>
        <w:t>中标供应商应当服从深圳市司法局的统一管理。</w:t>
      </w:r>
    </w:p>
    <w:p w:rsidR="008C0A47">
      <w:pPr>
        <w:spacing w:line="400" w:lineRule="exact"/>
        <w:ind w:firstLine="480" w:firstLineChars="200"/>
        <w:rPr>
          <w:rFonts w:ascii="宋体" w:hAnsi="宋体"/>
          <w:szCs w:val="21"/>
        </w:rPr>
      </w:pPr>
      <w:r>
        <w:rPr>
          <w:rFonts w:ascii="宋体" w:hAnsi="宋体" w:hint="eastAsia"/>
          <w:szCs w:val="21"/>
        </w:rPr>
        <w:t>4</w:t>
      </w:r>
      <w:r>
        <w:rPr>
          <w:rFonts w:ascii="宋体" w:hAnsi="宋体"/>
          <w:szCs w:val="21"/>
        </w:rPr>
        <w:t>.</w:t>
      </w:r>
      <w:r>
        <w:rPr>
          <w:rFonts w:ascii="宋体" w:hAnsi="宋体" w:hint="eastAsia"/>
          <w:szCs w:val="21"/>
        </w:rPr>
        <w:t>服务期内，中标供应商应积极配合采购单位的工作，不断提高法律服务水平，保证提供优质、高效的法律服务。</w:t>
      </w:r>
    </w:p>
    <w:p w:rsidR="008C0A47">
      <w:pPr>
        <w:spacing w:line="400" w:lineRule="exact"/>
        <w:ind w:firstLine="480" w:firstLineChars="200"/>
        <w:rPr>
          <w:rFonts w:ascii="宋体" w:hAnsi="宋体"/>
          <w:szCs w:val="21"/>
        </w:rPr>
      </w:pPr>
      <w:r>
        <w:rPr>
          <w:rFonts w:ascii="宋体" w:hAnsi="宋体" w:hint="eastAsia"/>
          <w:szCs w:val="21"/>
        </w:rPr>
        <w:t>5</w:t>
      </w:r>
      <w:r>
        <w:rPr>
          <w:rFonts w:ascii="宋体" w:hAnsi="宋体"/>
          <w:szCs w:val="21"/>
        </w:rPr>
        <w:t>.</w:t>
      </w:r>
      <w:r>
        <w:rPr>
          <w:rFonts w:ascii="宋体" w:hAnsi="宋体" w:hint="eastAsia"/>
          <w:szCs w:val="21"/>
        </w:rPr>
        <w:t>中标供应商必须严格按合同约定履行义务，对不履行义务者，采购单位有权依据合同约定单方解除合同。</w:t>
      </w:r>
    </w:p>
    <w:p w:rsidR="008C0A47">
      <w:pPr>
        <w:spacing w:line="400" w:lineRule="exact"/>
        <w:ind w:firstLine="480" w:firstLineChars="200"/>
        <w:rPr>
          <w:szCs w:val="21"/>
        </w:rPr>
      </w:pPr>
      <w:r>
        <w:rPr>
          <w:rFonts w:ascii="宋体" w:hAnsi="宋体" w:hint="eastAsia"/>
          <w:szCs w:val="21"/>
        </w:rPr>
        <w:t>6</w:t>
      </w:r>
      <w:r>
        <w:rPr>
          <w:rFonts w:ascii="宋体" w:hAnsi="宋体"/>
          <w:szCs w:val="21"/>
        </w:rPr>
        <w:t>.</w:t>
      </w:r>
      <w:r>
        <w:rPr>
          <w:rFonts w:ascii="宋体" w:hAnsi="宋体" w:hint="eastAsia"/>
          <w:spacing w:val="8"/>
          <w:kern w:val="0"/>
          <w:szCs w:val="21"/>
        </w:rPr>
        <w:t>驻点人员每周驻点五个工作日，必须按要求上下班，不迟到早退，不旷工。如遇紧急或特殊事项，采购人可要求驻点人员加班，驻点人员须无条件服从。依法应当支付加班费或者调休的，由中标供应</w:t>
      </w:r>
      <w:r>
        <w:rPr>
          <w:rFonts w:ascii="宋体" w:hAnsi="宋体" w:hint="eastAsia"/>
          <w:spacing w:val="8"/>
          <w:kern w:val="0"/>
          <w:szCs w:val="21"/>
        </w:rPr>
        <w:t>商依法</w:t>
      </w:r>
      <w:r>
        <w:rPr>
          <w:rFonts w:ascii="宋体" w:hAnsi="宋体" w:hint="eastAsia"/>
          <w:spacing w:val="8"/>
          <w:kern w:val="0"/>
          <w:szCs w:val="21"/>
        </w:rPr>
        <w:t>自行解决。采购方除支付合同金额外，不再承担任何其他费用。</w:t>
      </w:r>
    </w:p>
    <w:p w:rsidR="008C0A47">
      <w:pPr>
        <w:spacing w:line="400" w:lineRule="exact"/>
        <w:ind w:firstLine="480" w:firstLineChars="200"/>
        <w:rPr>
          <w:rFonts w:ascii="宋体" w:hAnsi="宋体"/>
          <w:spacing w:val="8"/>
          <w:kern w:val="0"/>
          <w:szCs w:val="21"/>
        </w:rPr>
      </w:pPr>
      <w:r>
        <w:rPr>
          <w:rFonts w:ascii="宋体" w:hAnsi="宋体" w:hint="eastAsia"/>
          <w:szCs w:val="21"/>
        </w:rPr>
        <w:t>7</w:t>
      </w:r>
      <w:r>
        <w:rPr>
          <w:rFonts w:ascii="宋体" w:hAnsi="宋体"/>
          <w:szCs w:val="21"/>
        </w:rPr>
        <w:t>.</w:t>
      </w:r>
      <w:r>
        <w:rPr>
          <w:rFonts w:ascii="宋体" w:hAnsi="宋体" w:hint="eastAsia"/>
          <w:spacing w:val="8"/>
          <w:kern w:val="0"/>
          <w:szCs w:val="21"/>
        </w:rPr>
        <w:t>驻点人员无正当理由迟到或早退，则按</w:t>
      </w:r>
      <w:r>
        <w:rPr>
          <w:rFonts w:ascii="宋体" w:hAnsi="宋体" w:hint="eastAsia"/>
          <w:spacing w:val="8"/>
          <w:kern w:val="0"/>
          <w:szCs w:val="21"/>
        </w:rPr>
        <w:t>200</w:t>
      </w:r>
      <w:r>
        <w:rPr>
          <w:rFonts w:ascii="宋体" w:hAnsi="宋体" w:hint="eastAsia"/>
          <w:spacing w:val="8"/>
          <w:kern w:val="0"/>
          <w:szCs w:val="21"/>
        </w:rPr>
        <w:t>元</w:t>
      </w:r>
      <w:r>
        <w:rPr>
          <w:rFonts w:ascii="宋体" w:hAnsi="宋体" w:hint="eastAsia"/>
          <w:spacing w:val="8"/>
          <w:kern w:val="0"/>
          <w:szCs w:val="21"/>
        </w:rPr>
        <w:t>/</w:t>
      </w:r>
      <w:r>
        <w:rPr>
          <w:rFonts w:ascii="宋体" w:hAnsi="宋体" w:hint="eastAsia"/>
          <w:spacing w:val="8"/>
          <w:kern w:val="0"/>
          <w:szCs w:val="21"/>
        </w:rPr>
        <w:t>人</w:t>
      </w:r>
      <w:r>
        <w:rPr>
          <w:rFonts w:ascii="宋体" w:hAnsi="宋体" w:hint="eastAsia"/>
          <w:spacing w:val="8"/>
          <w:kern w:val="0"/>
          <w:szCs w:val="21"/>
        </w:rPr>
        <w:t>*</w:t>
      </w:r>
      <w:r>
        <w:rPr>
          <w:rFonts w:ascii="宋体" w:hAnsi="宋体" w:hint="eastAsia"/>
          <w:spacing w:val="8"/>
          <w:kern w:val="0"/>
          <w:szCs w:val="21"/>
        </w:rPr>
        <w:t>次从服务费中扣除。</w:t>
      </w:r>
    </w:p>
    <w:p w:rsidR="008C0A47">
      <w:pPr>
        <w:spacing w:line="400" w:lineRule="exact"/>
        <w:ind w:firstLine="480" w:firstLineChars="200"/>
        <w:rPr>
          <w:rFonts w:ascii="宋体" w:hAnsi="宋体"/>
          <w:spacing w:val="8"/>
          <w:kern w:val="0"/>
          <w:szCs w:val="21"/>
        </w:rPr>
      </w:pPr>
      <w:r>
        <w:rPr>
          <w:rFonts w:ascii="宋体" w:hAnsi="宋体" w:hint="eastAsia"/>
          <w:spacing w:val="8"/>
          <w:kern w:val="0"/>
          <w:szCs w:val="21"/>
        </w:rPr>
        <w:t>8</w:t>
      </w:r>
      <w:r>
        <w:rPr>
          <w:rFonts w:ascii="宋体" w:hAnsi="宋体"/>
          <w:spacing w:val="8"/>
          <w:kern w:val="0"/>
          <w:szCs w:val="21"/>
        </w:rPr>
        <w:t>.</w:t>
      </w:r>
      <w:r>
        <w:rPr>
          <w:rFonts w:ascii="宋体" w:hAnsi="宋体" w:hint="eastAsia"/>
          <w:spacing w:val="8"/>
          <w:kern w:val="0"/>
          <w:szCs w:val="21"/>
        </w:rPr>
        <w:t>驻点人员缺勤的，则按</w:t>
      </w:r>
      <w:r>
        <w:rPr>
          <w:rFonts w:ascii="宋体" w:hAnsi="宋体" w:hint="eastAsia"/>
          <w:spacing w:val="8"/>
          <w:kern w:val="0"/>
          <w:szCs w:val="21"/>
        </w:rPr>
        <w:t>1600</w:t>
      </w:r>
      <w:r>
        <w:rPr>
          <w:rFonts w:ascii="宋体" w:hAnsi="宋体" w:hint="eastAsia"/>
          <w:spacing w:val="8"/>
          <w:kern w:val="0"/>
          <w:szCs w:val="21"/>
        </w:rPr>
        <w:t>元</w:t>
      </w:r>
      <w:r>
        <w:rPr>
          <w:rFonts w:ascii="宋体" w:hAnsi="宋体" w:hint="eastAsia"/>
          <w:spacing w:val="8"/>
          <w:kern w:val="0"/>
          <w:szCs w:val="21"/>
        </w:rPr>
        <w:t>/</w:t>
      </w:r>
      <w:r>
        <w:rPr>
          <w:rFonts w:ascii="宋体" w:hAnsi="宋体" w:hint="eastAsia"/>
          <w:spacing w:val="8"/>
          <w:kern w:val="0"/>
          <w:szCs w:val="21"/>
        </w:rPr>
        <w:t>人</w:t>
      </w:r>
      <w:r>
        <w:rPr>
          <w:rFonts w:ascii="宋体" w:hAnsi="宋体" w:hint="eastAsia"/>
          <w:spacing w:val="8"/>
          <w:kern w:val="0"/>
          <w:szCs w:val="21"/>
        </w:rPr>
        <w:t>*</w:t>
      </w:r>
      <w:r>
        <w:rPr>
          <w:rFonts w:ascii="宋体" w:hAnsi="宋体" w:hint="eastAsia"/>
          <w:spacing w:val="8"/>
          <w:kern w:val="0"/>
          <w:szCs w:val="21"/>
        </w:rPr>
        <w:t>次从服务费中扣除。</w:t>
      </w:r>
    </w:p>
    <w:p w:rsidR="008C0A47">
      <w:pPr>
        <w:pStyle w:val="PlainText"/>
        <w:spacing w:line="400" w:lineRule="exact"/>
        <w:ind w:firstLine="485" w:firstLineChars="202"/>
        <w:rPr>
          <w:szCs w:val="21"/>
        </w:rPr>
      </w:pPr>
      <w:r>
        <w:rPr>
          <w:rFonts w:hint="eastAsia"/>
          <w:szCs w:val="21"/>
        </w:rPr>
        <w:t>9</w:t>
      </w:r>
      <w:r>
        <w:rPr>
          <w:szCs w:val="21"/>
        </w:rPr>
        <w:t>.</w:t>
      </w:r>
      <w:r>
        <w:rPr>
          <w:rFonts w:hint="eastAsia"/>
          <w:szCs w:val="21"/>
        </w:rPr>
        <w:t>一个月内驻点人员迟到早退累计超过</w:t>
      </w:r>
      <w:r>
        <w:rPr>
          <w:rFonts w:hint="eastAsia"/>
          <w:szCs w:val="21"/>
        </w:rPr>
        <w:t>15</w:t>
      </w:r>
      <w:r>
        <w:rPr>
          <w:rFonts w:hint="eastAsia"/>
          <w:szCs w:val="21"/>
        </w:rPr>
        <w:t>次或者缺勤超过</w:t>
      </w:r>
      <w:r>
        <w:rPr>
          <w:rFonts w:hint="eastAsia"/>
          <w:szCs w:val="21"/>
        </w:rPr>
        <w:t>5</w:t>
      </w:r>
      <w:r>
        <w:rPr>
          <w:rFonts w:hint="eastAsia"/>
          <w:szCs w:val="21"/>
        </w:rPr>
        <w:t>次时或者任</w:t>
      </w:r>
      <w:r>
        <w:rPr>
          <w:rFonts w:hint="eastAsia"/>
          <w:szCs w:val="21"/>
        </w:rPr>
        <w:t>一</w:t>
      </w:r>
      <w:r>
        <w:rPr>
          <w:rFonts w:hint="eastAsia"/>
          <w:szCs w:val="21"/>
        </w:rPr>
        <w:t>驻点人员空</w:t>
      </w:r>
      <w:r>
        <w:rPr>
          <w:rFonts w:hint="eastAsia"/>
          <w:szCs w:val="21"/>
        </w:rPr>
        <w:t>岗超过</w:t>
      </w:r>
      <w:r>
        <w:rPr>
          <w:rFonts w:hint="eastAsia"/>
          <w:szCs w:val="21"/>
        </w:rPr>
        <w:t>10</w:t>
      </w:r>
      <w:r>
        <w:rPr>
          <w:rFonts w:hint="eastAsia"/>
          <w:szCs w:val="21"/>
        </w:rPr>
        <w:t>个工作日的，采购人有权单方解除合同。</w:t>
      </w:r>
    </w:p>
    <w:p w:rsidR="008C0A47">
      <w:pPr>
        <w:pStyle w:val="Heading3"/>
        <w:keepNext w:val="0"/>
        <w:keepLines w:val="0"/>
        <w:spacing w:before="120" w:beforeLines="50" w:after="0"/>
        <w:ind w:firstLine="480" w:firstLineChars="20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四、商务要求</w:t>
      </w:r>
    </w:p>
    <w:p w:rsidR="008C0A47">
      <w:pPr>
        <w:spacing w:line="440" w:lineRule="exact"/>
        <w:ind w:firstLine="480" w:firstLineChars="200"/>
        <w:rPr>
          <w:rFonts w:asciiTheme="majorEastAsia" w:eastAsiaTheme="majorEastAsia" w:hAnsiTheme="majorEastAsia" w:cstheme="majorEastAsia"/>
          <w:u w:val="single"/>
        </w:rPr>
      </w:pPr>
      <w:r>
        <w:rPr>
          <w:rFonts w:asciiTheme="majorEastAsia" w:eastAsiaTheme="majorEastAsia" w:hAnsiTheme="majorEastAsia" w:cstheme="majorEastAsia" w:hint="eastAsia"/>
        </w:rPr>
        <w:t>（一）服务期限：</w:t>
      </w:r>
      <w:r>
        <w:rPr>
          <w:rFonts w:asciiTheme="majorEastAsia" w:eastAsiaTheme="majorEastAsia" w:hAnsiTheme="majorEastAsia" w:cstheme="majorEastAsia" w:hint="eastAsia"/>
          <w:u w:val="single"/>
        </w:rPr>
        <w:t>本项目合同期一年，具体以合同签订为准。本次项目合同期满后，采购单位可依据对中标供应商的考核情况以及《深圳市政府采购条例》第三十八条的规定续签合同，但整个合同的履行期限不得超过</w:t>
      </w:r>
      <w:r>
        <w:rPr>
          <w:rFonts w:asciiTheme="majorEastAsia" w:eastAsiaTheme="majorEastAsia" w:hAnsiTheme="majorEastAsia" w:cstheme="majorEastAsia" w:hint="eastAsia"/>
          <w:u w:val="single"/>
        </w:rPr>
        <w:t>36</w:t>
      </w:r>
      <w:r>
        <w:rPr>
          <w:rFonts w:asciiTheme="majorEastAsia" w:eastAsiaTheme="majorEastAsia" w:hAnsiTheme="majorEastAsia" w:cstheme="majorEastAsia" w:hint="eastAsia"/>
          <w:u w:val="single"/>
        </w:rPr>
        <w:t>个月，合同一年一签，协议期内所有合同实质性条款不得改变。双方每签一年协议后需在集中采购机构网站进行合同公告，并按要求在</w:t>
      </w:r>
      <w:r>
        <w:rPr>
          <w:rFonts w:asciiTheme="majorEastAsia" w:eastAsiaTheme="majorEastAsia" w:hAnsiTheme="majorEastAsia" w:cstheme="majorEastAsia" w:hint="eastAsia"/>
          <w:u w:val="single"/>
        </w:rPr>
        <w:t>集中采购机构网站提交合同备案材料及合同公告情况报送市财政局办理合同备案，并以此作为向国库支付中心申请付款的依据。</w:t>
      </w:r>
    </w:p>
    <w:p w:rsidR="008C0A47">
      <w:pPr>
        <w:spacing w:line="440" w:lineRule="exact"/>
        <w:ind w:firstLine="480" w:firstLineChars="200"/>
        <w:rPr>
          <w:rFonts w:asciiTheme="majorEastAsia" w:eastAsiaTheme="majorEastAsia" w:hAnsiTheme="majorEastAsia" w:cstheme="majorEastAsia"/>
          <w:u w:val="single"/>
        </w:rPr>
      </w:pPr>
      <w:r>
        <w:rPr>
          <w:rFonts w:asciiTheme="majorEastAsia" w:eastAsiaTheme="majorEastAsia" w:hAnsiTheme="majorEastAsia" w:cstheme="majorEastAsia" w:hint="eastAsia"/>
        </w:rPr>
        <w:t>（二）付款方式：</w:t>
      </w:r>
      <w:r>
        <w:rPr>
          <w:rFonts w:asciiTheme="majorEastAsia" w:eastAsiaTheme="majorEastAsia" w:hAnsiTheme="majorEastAsia" w:cstheme="majorEastAsia" w:hint="eastAsia"/>
          <w:u w:val="single"/>
        </w:rPr>
        <w:t>1.</w:t>
      </w:r>
      <w:r>
        <w:rPr>
          <w:rFonts w:asciiTheme="majorEastAsia" w:eastAsiaTheme="majorEastAsia" w:hAnsiTheme="majorEastAsia" w:cstheme="majorEastAsia" w:hint="eastAsia"/>
          <w:u w:val="single"/>
        </w:rPr>
        <w:t>第一期</w:t>
      </w:r>
      <w:r>
        <w:rPr>
          <w:rFonts w:asciiTheme="majorEastAsia" w:eastAsiaTheme="majorEastAsia" w:hAnsiTheme="majorEastAsia" w:cstheme="majorEastAsia" w:hint="eastAsia"/>
          <w:u w:val="single"/>
        </w:rPr>
        <w:t>:</w:t>
      </w:r>
      <w:r>
        <w:rPr>
          <w:rFonts w:asciiTheme="majorEastAsia" w:eastAsiaTheme="majorEastAsia" w:hAnsiTheme="majorEastAsia" w:cstheme="majorEastAsia" w:hint="eastAsia"/>
          <w:u w:val="single"/>
        </w:rPr>
        <w:t>合同签订生效后，中标供应商安排的所有驻点人员均通过适岗考察的，在适岗考察期满</w:t>
      </w:r>
      <w:r>
        <w:rPr>
          <w:rFonts w:asciiTheme="majorEastAsia" w:eastAsiaTheme="majorEastAsia" w:hAnsiTheme="majorEastAsia" w:cstheme="majorEastAsia" w:hint="eastAsia"/>
          <w:u w:val="single"/>
        </w:rPr>
        <w:t>30</w:t>
      </w:r>
      <w:r>
        <w:rPr>
          <w:rFonts w:asciiTheme="majorEastAsia" w:eastAsiaTheme="majorEastAsia" w:hAnsiTheme="majorEastAsia" w:cstheme="majorEastAsia" w:hint="eastAsia"/>
          <w:u w:val="single"/>
        </w:rPr>
        <w:t>日内，凭中标供应商提供的完税发票支付合同金额的</w:t>
      </w:r>
      <w:r>
        <w:rPr>
          <w:rFonts w:asciiTheme="majorEastAsia" w:eastAsiaTheme="majorEastAsia" w:hAnsiTheme="majorEastAsia" w:cstheme="majorEastAsia"/>
          <w:u w:val="single"/>
        </w:rPr>
        <w:t>70</w:t>
      </w:r>
      <w:r>
        <w:rPr>
          <w:rFonts w:asciiTheme="majorEastAsia" w:eastAsiaTheme="majorEastAsia" w:hAnsiTheme="majorEastAsia" w:cstheme="majorEastAsia" w:hint="eastAsia"/>
          <w:u w:val="single"/>
        </w:rPr>
        <w:t>%</w:t>
      </w:r>
      <w:r>
        <w:rPr>
          <w:rFonts w:asciiTheme="majorEastAsia" w:eastAsiaTheme="majorEastAsia" w:hAnsiTheme="majorEastAsia" w:cstheme="majorEastAsia" w:hint="eastAsia"/>
          <w:u w:val="single"/>
        </w:rPr>
        <w:t>。</w:t>
      </w:r>
    </w:p>
    <w:p w:rsidR="008C0A47">
      <w:pPr>
        <w:spacing w:line="440" w:lineRule="exact"/>
        <w:ind w:firstLine="480" w:firstLineChars="200"/>
        <w:rPr>
          <w:rFonts w:asciiTheme="majorEastAsia" w:eastAsiaTheme="majorEastAsia" w:hAnsiTheme="majorEastAsia" w:cstheme="majorEastAsia"/>
          <w:u w:val="single"/>
        </w:rPr>
      </w:pPr>
      <w:r>
        <w:rPr>
          <w:rFonts w:asciiTheme="majorEastAsia" w:eastAsiaTheme="majorEastAsia" w:hAnsiTheme="majorEastAsia" w:cstheme="majorEastAsia" w:hint="eastAsia"/>
          <w:u w:val="single"/>
        </w:rPr>
        <w:t>2.</w:t>
      </w:r>
      <w:r>
        <w:rPr>
          <w:rFonts w:asciiTheme="majorEastAsia" w:eastAsiaTheme="majorEastAsia" w:hAnsiTheme="majorEastAsia" w:cstheme="majorEastAsia" w:hint="eastAsia"/>
          <w:u w:val="single"/>
        </w:rPr>
        <w:t>第二期</w:t>
      </w:r>
      <w:r>
        <w:rPr>
          <w:rFonts w:asciiTheme="majorEastAsia" w:eastAsiaTheme="majorEastAsia" w:hAnsiTheme="majorEastAsia" w:cstheme="majorEastAsia" w:hint="eastAsia"/>
          <w:u w:val="single"/>
        </w:rPr>
        <w:t>:2</w:t>
      </w:r>
      <w:r>
        <w:rPr>
          <w:rFonts w:asciiTheme="majorEastAsia" w:eastAsiaTheme="majorEastAsia" w:hAnsiTheme="majorEastAsia" w:cstheme="majorEastAsia"/>
          <w:u w:val="single"/>
        </w:rPr>
        <w:t>022</w:t>
      </w:r>
      <w:r>
        <w:rPr>
          <w:rFonts w:asciiTheme="majorEastAsia" w:eastAsiaTheme="majorEastAsia" w:hAnsiTheme="majorEastAsia" w:cstheme="majorEastAsia" w:hint="eastAsia"/>
          <w:u w:val="single"/>
        </w:rPr>
        <w:t>年</w:t>
      </w:r>
      <w:r>
        <w:rPr>
          <w:rFonts w:asciiTheme="majorEastAsia" w:eastAsiaTheme="majorEastAsia" w:hAnsiTheme="majorEastAsia" w:cstheme="majorEastAsia" w:hint="eastAsia"/>
          <w:u w:val="single"/>
        </w:rPr>
        <w:t>12</w:t>
      </w:r>
      <w:r>
        <w:rPr>
          <w:rFonts w:asciiTheme="majorEastAsia" w:eastAsiaTheme="majorEastAsia" w:hAnsiTheme="majorEastAsia" w:cstheme="majorEastAsia" w:hint="eastAsia"/>
          <w:u w:val="single"/>
        </w:rPr>
        <w:t>月</w:t>
      </w:r>
      <w:r>
        <w:rPr>
          <w:rFonts w:asciiTheme="majorEastAsia" w:eastAsiaTheme="majorEastAsia" w:hAnsiTheme="majorEastAsia" w:cstheme="majorEastAsia" w:hint="eastAsia"/>
          <w:u w:val="single"/>
        </w:rPr>
        <w:t>10</w:t>
      </w:r>
      <w:r>
        <w:rPr>
          <w:rFonts w:asciiTheme="majorEastAsia" w:eastAsiaTheme="majorEastAsia" w:hAnsiTheme="majorEastAsia" w:cstheme="majorEastAsia" w:hint="eastAsia"/>
          <w:u w:val="single"/>
        </w:rPr>
        <w:t>号前，凭中标供应商提供的完税发票支付剩余合同金额。存在依合同约定应扣除相应服务费用情形的，采购方有权在剩余应支付款项中作相应扣减。</w:t>
      </w:r>
    </w:p>
    <w:p w:rsidR="008C0A47">
      <w:pPr>
        <w:spacing w:line="440" w:lineRule="exact"/>
        <w:ind w:firstLine="480" w:firstLineChars="200"/>
        <w:rPr>
          <w:rFonts w:asciiTheme="majorEastAsia" w:eastAsiaTheme="majorEastAsia" w:hAnsiTheme="majorEastAsia" w:cstheme="majorEastAsia"/>
          <w:u w:val="single"/>
        </w:rPr>
      </w:pPr>
      <w:r>
        <w:rPr>
          <w:rFonts w:asciiTheme="majorEastAsia" w:eastAsiaTheme="majorEastAsia" w:hAnsiTheme="majorEastAsia" w:cstheme="majorEastAsia" w:hint="eastAsia"/>
          <w:u w:val="single"/>
        </w:rPr>
        <w:t>3.</w:t>
      </w:r>
      <w:r>
        <w:rPr>
          <w:rFonts w:asciiTheme="majorEastAsia" w:eastAsiaTheme="majorEastAsia" w:hAnsiTheme="majorEastAsia" w:cstheme="majorEastAsia" w:hint="eastAsia"/>
          <w:u w:val="single"/>
        </w:rPr>
        <w:t>具体付款方式按深圳市财政局有关规定执行。</w:t>
      </w:r>
    </w:p>
    <w:p w:rsidR="008C0A47">
      <w:pPr>
        <w:spacing w:line="440" w:lineRule="exact"/>
        <w:ind w:firstLine="480" w:firstLineChars="200"/>
        <w:rPr>
          <w:rFonts w:asciiTheme="majorEastAsia" w:eastAsiaTheme="majorEastAsia" w:hAnsiTheme="majorEastAsia" w:cstheme="majorEastAsia"/>
        </w:rPr>
      </w:pPr>
      <w:r>
        <w:rPr>
          <w:rFonts w:asciiTheme="majorEastAsia" w:eastAsiaTheme="majorEastAsia" w:hAnsiTheme="majorEastAsia" w:cstheme="majorEastAsia" w:hint="eastAsia"/>
        </w:rPr>
        <w:t>（三）履约考核</w:t>
      </w:r>
    </w:p>
    <w:p w:rsidR="008C0A47">
      <w:pPr>
        <w:spacing w:line="440" w:lineRule="exact"/>
        <w:ind w:firstLine="480" w:firstLineChars="200"/>
        <w:rPr>
          <w:rFonts w:asciiTheme="majorEastAsia" w:eastAsiaTheme="majorEastAsia" w:hAnsiTheme="majorEastAsia" w:cstheme="majorEastAsia"/>
        </w:rPr>
      </w:pPr>
      <w:r>
        <w:rPr>
          <w:rFonts w:asciiTheme="majorEastAsia" w:eastAsiaTheme="majorEastAsia" w:hAnsiTheme="majorEastAsia" w:cstheme="majorEastAsia" w:hint="eastAsia"/>
        </w:rPr>
        <w:t>在合同执</w:t>
      </w:r>
      <w:r>
        <w:rPr>
          <w:rFonts w:asciiTheme="majorEastAsia" w:eastAsiaTheme="majorEastAsia" w:hAnsiTheme="majorEastAsia" w:cstheme="majorEastAsia" w:hint="eastAsia"/>
        </w:rPr>
        <w:t>行期间，采购单位有权根据中标供应商的履约服务质量、服务响应及时性、服务人员到位情况等，对供应商的服务问题情况进行考核扣款，并</w:t>
      </w:r>
      <w:r>
        <w:rPr>
          <w:rFonts w:asciiTheme="majorEastAsia" w:eastAsiaTheme="majorEastAsia" w:hAnsiTheme="majorEastAsia" w:cstheme="majorEastAsia" w:hint="eastAsia"/>
        </w:rPr>
        <w:t>从应当</w:t>
      </w:r>
      <w:r>
        <w:rPr>
          <w:rFonts w:asciiTheme="majorEastAsia" w:eastAsiaTheme="majorEastAsia" w:hAnsiTheme="majorEastAsia" w:cstheme="majorEastAsia" w:hint="eastAsia"/>
        </w:rPr>
        <w:t>支付给中标供应商的款项中进行扣除后支付，具体考核办法由采购单位根据实际情况另行制定和修正。</w:t>
      </w:r>
    </w:p>
    <w:p w:rsidR="008C0A47">
      <w:pPr>
        <w:pStyle w:val="Heading3"/>
        <w:keepNext w:val="0"/>
        <w:keepLines w:val="0"/>
        <w:spacing w:before="120" w:beforeLines="50" w:after="0"/>
        <w:ind w:firstLine="480" w:firstLineChars="20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五、其他要求</w:t>
      </w:r>
    </w:p>
    <w:p w:rsidR="008C0A47">
      <w:pPr>
        <w:spacing w:line="440" w:lineRule="exact"/>
        <w:ind w:firstLine="480" w:firstLineChars="200"/>
        <w:rPr>
          <w:rFonts w:asciiTheme="majorEastAsia" w:eastAsiaTheme="majorEastAsia" w:hAnsiTheme="majorEastAsia" w:cstheme="majorEastAsia"/>
        </w:rPr>
      </w:pPr>
      <w:bookmarkStart w:id="27" w:name="_Hlk72257111"/>
      <w:r>
        <w:rPr>
          <w:rFonts w:asciiTheme="majorEastAsia" w:eastAsiaTheme="majorEastAsia" w:hAnsiTheme="majorEastAsia" w:cstheme="majorEastAsia" w:hint="eastAsia"/>
        </w:rPr>
        <w:t>1</w:t>
      </w:r>
      <w:r>
        <w:rPr>
          <w:rFonts w:asciiTheme="majorEastAsia" w:eastAsiaTheme="majorEastAsia" w:hAnsiTheme="majorEastAsia" w:cstheme="majorEastAsia" w:hint="eastAsia"/>
        </w:rPr>
        <w:t>、投标方的投标报价不得超过财政预算限额；</w:t>
      </w:r>
    </w:p>
    <w:p w:rsidR="008C0A47">
      <w:pPr>
        <w:spacing w:line="440" w:lineRule="exact"/>
        <w:ind w:firstLine="480" w:firstLineChars="200"/>
        <w:rPr>
          <w:rFonts w:asciiTheme="majorEastAsia" w:eastAsiaTheme="majorEastAsia" w:hAnsiTheme="majorEastAsia" w:cstheme="majorEastAsia"/>
        </w:rPr>
      </w:pPr>
      <w:r>
        <w:rPr>
          <w:rFonts w:asciiTheme="majorEastAsia" w:eastAsiaTheme="majorEastAsia" w:hAnsiTheme="majorEastAsia" w:cstheme="majorEastAsia" w:hint="eastAsia"/>
        </w:rPr>
        <w:t>2</w:t>
      </w:r>
      <w:r>
        <w:rPr>
          <w:rFonts w:asciiTheme="majorEastAsia" w:eastAsiaTheme="majorEastAsia" w:hAnsiTheme="majorEastAsia" w:cstheme="majorEastAsia" w:hint="eastAsia"/>
        </w:rPr>
        <w:t>、本项目服务费采用包干制，应包括服务成本、法定税费和企业的利润。由企业根据招标文件所提供的资料自行测算投标报价；一经中标，投标报价总价作为中标单位与招标方</w:t>
      </w:r>
      <w:r>
        <w:rPr>
          <w:rFonts w:asciiTheme="majorEastAsia" w:eastAsiaTheme="majorEastAsia" w:hAnsiTheme="majorEastAsia" w:cstheme="majorEastAsia" w:hint="eastAsia"/>
        </w:rPr>
        <w:t>签定</w:t>
      </w:r>
      <w:r>
        <w:rPr>
          <w:rFonts w:asciiTheme="majorEastAsia" w:eastAsiaTheme="majorEastAsia" w:hAnsiTheme="majorEastAsia" w:cstheme="majorEastAsia" w:hint="eastAsia"/>
        </w:rPr>
        <w:t>的合同金额，合同期限内不做调整；</w:t>
      </w:r>
    </w:p>
    <w:p w:rsidR="008C0A47">
      <w:pPr>
        <w:spacing w:line="440" w:lineRule="exact"/>
        <w:ind w:firstLine="480" w:firstLineChars="200"/>
        <w:rPr>
          <w:rFonts w:asciiTheme="majorEastAsia" w:eastAsiaTheme="majorEastAsia" w:hAnsiTheme="majorEastAsia" w:cstheme="majorEastAsia"/>
        </w:rPr>
      </w:pPr>
      <w:r>
        <w:rPr>
          <w:rFonts w:asciiTheme="majorEastAsia" w:eastAsiaTheme="majorEastAsia" w:hAnsiTheme="majorEastAsia" w:cstheme="majorEastAsia" w:hint="eastAsia"/>
        </w:rPr>
        <w:t>3</w:t>
      </w:r>
      <w:r>
        <w:rPr>
          <w:rFonts w:asciiTheme="majorEastAsia" w:eastAsiaTheme="majorEastAsia" w:hAnsiTheme="majorEastAsia" w:cstheme="majorEastAsia" w:hint="eastAsia"/>
        </w:rPr>
        <w:t>、投标方应根据其成本自行决定报价。评</w:t>
      </w:r>
      <w:r>
        <w:rPr>
          <w:rFonts w:asciiTheme="majorEastAsia" w:eastAsiaTheme="majorEastAsia" w:hAnsiTheme="majorEastAsia" w:cstheme="majorEastAsia" w:hint="eastAsia"/>
        </w:rPr>
        <w:t>标委员会认为投标方的报价明显低于其他通过符合性审查投标方的报价，有可能影响服务质量或不能诚信履约的，将会要求该投标方在评标现场合理的时间内提供书面说明，必要时提交相关证明材料。投标方不能证明其报价合理性的，评标委员会应将其作为无效投标处理。若评审委员会成员对是否须由投标方</w:t>
      </w:r>
      <w:r>
        <w:rPr>
          <w:rFonts w:asciiTheme="majorEastAsia" w:eastAsiaTheme="majorEastAsia" w:hAnsiTheme="majorEastAsia" w:cstheme="majorEastAsia" w:hint="eastAsia"/>
        </w:rPr>
        <w:t>作出</w:t>
      </w:r>
      <w:r>
        <w:rPr>
          <w:rFonts w:asciiTheme="majorEastAsia" w:eastAsiaTheme="majorEastAsia" w:hAnsiTheme="majorEastAsia" w:cstheme="majorEastAsia" w:hint="eastAsia"/>
        </w:rPr>
        <w:t>报价合理性说明，以及书面说明是否采纳</w:t>
      </w:r>
      <w:r>
        <w:rPr>
          <w:rFonts w:asciiTheme="majorEastAsia" w:eastAsiaTheme="majorEastAsia" w:hAnsiTheme="majorEastAsia" w:cstheme="majorEastAsia" w:hint="eastAsia"/>
        </w:rPr>
        <w:t>等判断</w:t>
      </w:r>
      <w:r>
        <w:rPr>
          <w:rFonts w:asciiTheme="majorEastAsia" w:eastAsiaTheme="majorEastAsia" w:hAnsiTheme="majorEastAsia" w:cstheme="majorEastAsia" w:hint="eastAsia"/>
        </w:rPr>
        <w:t>不一致的，按照“少数服从多数”的原则确定评审委员会的意见；</w:t>
      </w:r>
    </w:p>
    <w:p w:rsidR="008C0A47">
      <w:pPr>
        <w:spacing w:line="440" w:lineRule="exact"/>
        <w:ind w:firstLine="480" w:firstLineChars="200"/>
        <w:rPr>
          <w:rFonts w:asciiTheme="majorEastAsia" w:eastAsiaTheme="majorEastAsia" w:hAnsiTheme="majorEastAsia" w:cstheme="majorEastAsia"/>
        </w:rPr>
      </w:pPr>
      <w:r>
        <w:rPr>
          <w:rFonts w:asciiTheme="majorEastAsia" w:eastAsiaTheme="majorEastAsia" w:hAnsiTheme="majorEastAsia" w:cstheme="majorEastAsia" w:hint="eastAsia"/>
        </w:rPr>
        <w:t>4</w:t>
      </w:r>
      <w:r>
        <w:rPr>
          <w:rFonts w:asciiTheme="majorEastAsia" w:eastAsiaTheme="majorEastAsia" w:hAnsiTheme="majorEastAsia" w:cstheme="majorEastAsia" w:hint="eastAsia"/>
        </w:rPr>
        <w:t>、投标方的投标报价不得超过财政预算限额，如设投标最高限价的，报价不得超过最高限价；投标总价低于财政预算限额的</w:t>
      </w:r>
      <w:r>
        <w:rPr>
          <w:rFonts w:asciiTheme="majorEastAsia" w:eastAsiaTheme="majorEastAsia" w:hAnsiTheme="majorEastAsia" w:cstheme="majorEastAsia" w:hint="eastAsia"/>
        </w:rPr>
        <w:t>80%</w:t>
      </w:r>
      <w:r>
        <w:rPr>
          <w:rFonts w:asciiTheme="majorEastAsia" w:eastAsiaTheme="majorEastAsia" w:hAnsiTheme="majorEastAsia" w:cstheme="majorEastAsia" w:hint="eastAsia"/>
        </w:rPr>
        <w:t>，将优先被列为履约检查的重点项目，请投标方慎重考虑报价；</w:t>
      </w:r>
    </w:p>
    <w:p w:rsidR="008C0A47">
      <w:pPr>
        <w:spacing w:line="440" w:lineRule="exact"/>
        <w:ind w:firstLine="480" w:firstLineChars="200"/>
        <w:rPr>
          <w:rFonts w:asciiTheme="majorEastAsia" w:eastAsiaTheme="majorEastAsia" w:hAnsiTheme="majorEastAsia" w:cstheme="majorEastAsia"/>
        </w:rPr>
      </w:pPr>
      <w:r>
        <w:rPr>
          <w:rFonts w:asciiTheme="majorEastAsia" w:eastAsiaTheme="majorEastAsia" w:hAnsiTheme="majorEastAsia" w:cstheme="majorEastAsia" w:hint="eastAsia"/>
        </w:rPr>
        <w:t>5</w:t>
      </w:r>
      <w:r>
        <w:rPr>
          <w:rFonts w:asciiTheme="majorEastAsia" w:eastAsiaTheme="majorEastAsia" w:hAnsiTheme="majorEastAsia" w:cstheme="majorEastAsia" w:hint="eastAsia"/>
        </w:rPr>
        <w:t>、投标方应按招标文件所列的清单</w:t>
      </w:r>
      <w:r>
        <w:rPr>
          <w:rFonts w:asciiTheme="majorEastAsia" w:eastAsiaTheme="majorEastAsia" w:hAnsiTheme="majorEastAsia" w:cstheme="majorEastAsia" w:hint="eastAsia"/>
        </w:rPr>
        <w:t>中项目</w:t>
      </w:r>
      <w:r>
        <w:rPr>
          <w:rFonts w:asciiTheme="majorEastAsia" w:eastAsiaTheme="majorEastAsia" w:hAnsiTheme="majorEastAsia" w:cstheme="majorEastAsia" w:hint="eastAsia"/>
        </w:rPr>
        <w:t>和数量填报综合单价和合价。投标方未</w:t>
      </w:r>
      <w:r>
        <w:rPr>
          <w:rFonts w:asciiTheme="majorEastAsia" w:eastAsiaTheme="majorEastAsia" w:hAnsiTheme="majorEastAsia" w:cstheme="majorEastAsia" w:hint="eastAsia"/>
        </w:rPr>
        <w:t>填综合</w:t>
      </w:r>
      <w:r>
        <w:rPr>
          <w:rFonts w:asciiTheme="majorEastAsia" w:eastAsiaTheme="majorEastAsia" w:hAnsiTheme="majorEastAsia" w:cstheme="majorEastAsia" w:hint="eastAsia"/>
        </w:rPr>
        <w:t>单价或合价的项目，在实施后，视作该项费用已包括在其它有价款的综合单价或合价内，不得申请额外支付；</w:t>
      </w:r>
    </w:p>
    <w:p w:rsidR="008C0A47">
      <w:pPr>
        <w:spacing w:line="440" w:lineRule="exact"/>
        <w:ind w:firstLine="480" w:firstLineChars="200"/>
        <w:rPr>
          <w:rFonts w:asciiTheme="majorEastAsia" w:eastAsiaTheme="majorEastAsia" w:hAnsiTheme="majorEastAsia" w:cstheme="majorEastAsia"/>
        </w:rPr>
      </w:pPr>
      <w:r>
        <w:rPr>
          <w:rFonts w:asciiTheme="majorEastAsia" w:eastAsiaTheme="majorEastAsia" w:hAnsiTheme="majorEastAsia" w:cstheme="majorEastAsia" w:hint="eastAsia"/>
        </w:rPr>
        <w:t>6</w:t>
      </w:r>
      <w:r>
        <w:rPr>
          <w:rFonts w:asciiTheme="majorEastAsia" w:eastAsiaTheme="majorEastAsia" w:hAnsiTheme="majorEastAsia" w:cstheme="majorEastAsia" w:hint="eastAsia"/>
        </w:rPr>
        <w:t>、投标方可先到项目地点踏勘以充分了解项目的位置、情况、道路及任何其它足以影响投标报价的情况。所需资料可在现场勘查时，向负责人申请提供，任何因忽视或误解项目情况而导致的索赔或服务期限延长申请将不获批准；</w:t>
      </w:r>
    </w:p>
    <w:p w:rsidR="008C0A47">
      <w:pPr>
        <w:spacing w:line="440" w:lineRule="exact"/>
        <w:ind w:firstLine="480" w:firstLineChars="200"/>
        <w:rPr>
          <w:rFonts w:asciiTheme="majorEastAsia" w:eastAsiaTheme="majorEastAsia" w:hAnsiTheme="majorEastAsia" w:cstheme="majorEastAsia"/>
        </w:rPr>
      </w:pPr>
      <w:r>
        <w:rPr>
          <w:rFonts w:asciiTheme="majorEastAsia" w:eastAsiaTheme="majorEastAsia" w:hAnsiTheme="majorEastAsia" w:cstheme="majorEastAsia" w:hint="eastAsia"/>
        </w:rPr>
        <w:t>7</w:t>
      </w:r>
      <w:r>
        <w:rPr>
          <w:rFonts w:asciiTheme="majorEastAsia" w:eastAsiaTheme="majorEastAsia" w:hAnsiTheme="majorEastAsia" w:cstheme="majorEastAsia" w:hint="eastAsia"/>
        </w:rPr>
        <w:t>、投标方不得期望通过索赔等方式获取补偿，否则，除可能遭到拒绝外，还可能将被作为不良行为记录在案，并可能影响其以后参加政府采购的项目投标。各投标方在投标报价时，应充分考虑投标报价的风险。</w:t>
      </w:r>
      <w:bookmarkEnd w:id="27"/>
    </w:p>
    <w:p w:rsidR="008C0A47">
      <w:pPr>
        <w:pStyle w:val="Heading3"/>
        <w:keepNext w:val="0"/>
        <w:keepLines w:val="0"/>
        <w:spacing w:before="120" w:beforeLines="50" w:after="0"/>
        <w:ind w:firstLine="480" w:firstLineChars="20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六</w:t>
      </w:r>
      <w:r>
        <w:rPr>
          <w:rFonts w:asciiTheme="majorEastAsia" w:eastAsiaTheme="majorEastAsia" w:hAnsiTheme="majorEastAsia" w:cstheme="majorEastAsia"/>
          <w:sz w:val="24"/>
          <w:szCs w:val="24"/>
        </w:rPr>
        <w:t>、</w:t>
      </w:r>
      <w:r>
        <w:rPr>
          <w:rFonts w:asciiTheme="majorEastAsia" w:eastAsiaTheme="majorEastAsia" w:hAnsiTheme="majorEastAsia" w:cstheme="majorEastAsia" w:hint="eastAsia"/>
          <w:sz w:val="24"/>
          <w:szCs w:val="24"/>
        </w:rPr>
        <w:t>注意事项</w:t>
      </w:r>
    </w:p>
    <w:p w:rsidR="008C0A47">
      <w:pPr>
        <w:spacing w:line="440" w:lineRule="exact"/>
        <w:ind w:firstLine="480" w:firstLineChars="200"/>
        <w:rPr>
          <w:rFonts w:asciiTheme="majorEastAsia" w:eastAsiaTheme="majorEastAsia" w:hAnsiTheme="majorEastAsia" w:cstheme="majorEastAsia"/>
        </w:rPr>
      </w:pPr>
      <w:r>
        <w:rPr>
          <w:rFonts w:asciiTheme="majorEastAsia" w:eastAsiaTheme="majorEastAsia" w:hAnsiTheme="majorEastAsia" w:cstheme="majorEastAsia" w:hint="eastAsia"/>
        </w:rPr>
        <w:t>1</w:t>
      </w:r>
      <w:r>
        <w:rPr>
          <w:rFonts w:asciiTheme="majorEastAsia" w:eastAsiaTheme="majorEastAsia" w:hAnsiTheme="majorEastAsia" w:cstheme="majorEastAsia" w:hint="eastAsia"/>
        </w:rPr>
        <w:t>、中标人不得将项目非法分包或转包给任何单位和个人。否则，采购单位有权即刻终</w:t>
      </w:r>
      <w:r>
        <w:rPr>
          <w:rFonts w:asciiTheme="majorEastAsia" w:eastAsiaTheme="majorEastAsia" w:hAnsiTheme="majorEastAsia" w:cstheme="majorEastAsia" w:hint="eastAsia"/>
        </w:rPr>
        <w:t>止合同，并要求中标人赔偿相应损</w:t>
      </w:r>
      <w:r>
        <w:rPr>
          <w:rFonts w:asciiTheme="majorEastAsia" w:eastAsiaTheme="majorEastAsia" w:hAnsiTheme="majorEastAsia" w:cstheme="majorEastAsia" w:hint="eastAsia"/>
        </w:rPr>
        <w:t>失。</w:t>
      </w:r>
    </w:p>
    <w:p w:rsidR="008C0A47">
      <w:pPr>
        <w:spacing w:line="440" w:lineRule="exact"/>
        <w:ind w:firstLine="480" w:firstLineChars="200"/>
        <w:rPr>
          <w:rFonts w:asciiTheme="majorEastAsia" w:eastAsiaTheme="majorEastAsia" w:hAnsiTheme="majorEastAsia" w:cstheme="majorEastAsia"/>
        </w:rPr>
      </w:pPr>
      <w:r>
        <w:rPr>
          <w:rFonts w:asciiTheme="majorEastAsia" w:eastAsiaTheme="majorEastAsia" w:hAnsiTheme="majorEastAsia" w:cstheme="majorEastAsia" w:hint="eastAsia"/>
        </w:rPr>
        <w:t>2</w:t>
      </w:r>
      <w:r>
        <w:rPr>
          <w:rFonts w:asciiTheme="majorEastAsia" w:eastAsiaTheme="majorEastAsia" w:hAnsiTheme="majorEastAsia" w:cstheme="majorEastAsia" w:hint="eastAsia"/>
        </w:rPr>
        <w:t>、投标人若认为招标文件的技术要求或其他要求</w:t>
      </w:r>
      <w:r>
        <w:rPr>
          <w:rFonts w:asciiTheme="majorEastAsia" w:eastAsiaTheme="majorEastAsia" w:hAnsiTheme="majorEastAsia" w:cstheme="majorEastAsia" w:hint="eastAsia"/>
        </w:rPr>
        <w:t>有倾</w:t>
      </w:r>
      <w:r>
        <w:rPr>
          <w:rFonts w:asciiTheme="majorEastAsia" w:eastAsiaTheme="majorEastAsia" w:hAnsiTheme="majorEastAsia" w:cstheme="majorEastAsia" w:hint="eastAsia"/>
        </w:rPr>
        <w:t>向性或</w:t>
      </w:r>
      <w:r>
        <w:rPr>
          <w:rFonts w:asciiTheme="majorEastAsia" w:eastAsiaTheme="majorEastAsia" w:hAnsiTheme="majorEastAsia" w:cstheme="majorEastAsia" w:hint="eastAsia"/>
        </w:rPr>
        <w:t>不</w:t>
      </w:r>
      <w:r>
        <w:rPr>
          <w:rFonts w:asciiTheme="majorEastAsia" w:eastAsiaTheme="majorEastAsia" w:hAnsiTheme="majorEastAsia" w:cstheme="majorEastAsia" w:hint="eastAsia"/>
        </w:rPr>
        <w:t>公正性，可在招标答疑阶段提出，以维护招标行为的公平、公正。</w:t>
      </w:r>
    </w:p>
    <w:p w:rsidR="008C0A47">
      <w:pPr>
        <w:spacing w:line="440" w:lineRule="exact"/>
        <w:ind w:firstLine="480" w:firstLineChars="200"/>
        <w:rPr>
          <w:rFonts w:asciiTheme="majorEastAsia" w:eastAsiaTheme="majorEastAsia" w:hAnsiTheme="majorEastAsia" w:cstheme="majorEastAsia"/>
        </w:rPr>
      </w:pPr>
      <w:r>
        <w:rPr>
          <w:rFonts w:asciiTheme="majorEastAsia" w:eastAsiaTheme="majorEastAsia" w:hAnsiTheme="majorEastAsia" w:cstheme="majorEastAsia" w:hint="eastAsia"/>
        </w:rPr>
        <w:t>3</w:t>
      </w:r>
      <w:r>
        <w:rPr>
          <w:rFonts w:asciiTheme="majorEastAsia" w:eastAsiaTheme="majorEastAsia" w:hAnsiTheme="majorEastAsia" w:cstheme="majorEastAsia" w:hint="eastAsia"/>
        </w:rPr>
        <w:t>、投标人使用的标准必须是国际公认或国家、或地方政府颁布的同等或更高的标准，如投标人使用的标准低于上述标准</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rPr>
        <w:t>评标委员会将有权不予接受，投标人必须列表将明显的差异详细说明。</w:t>
      </w:r>
    </w:p>
    <w:p w:rsidR="008C0A47">
      <w:pPr>
        <w:spacing w:line="440" w:lineRule="exact"/>
        <w:ind w:firstLine="480" w:firstLineChars="200"/>
        <w:rPr>
          <w:rFonts w:asciiTheme="majorEastAsia" w:eastAsiaTheme="majorEastAsia" w:hAnsiTheme="majorEastAsia" w:cstheme="majorEastAsia"/>
        </w:rPr>
      </w:pPr>
      <w:r>
        <w:rPr>
          <w:rFonts w:asciiTheme="majorEastAsia" w:eastAsiaTheme="majorEastAsia" w:hAnsiTheme="majorEastAsia" w:cstheme="majorEastAsia" w:hint="eastAsia"/>
        </w:rPr>
        <w:t>4</w:t>
      </w:r>
      <w:r>
        <w:rPr>
          <w:rFonts w:asciiTheme="majorEastAsia" w:eastAsiaTheme="majorEastAsia" w:hAnsiTheme="majorEastAsia" w:cstheme="majorEastAsia" w:hint="eastAsia"/>
        </w:rPr>
        <w:t>、供应商须在法定质疑期内一次性提出针对同一采购程序环节的质疑。</w:t>
      </w:r>
      <w:r>
        <w:rPr>
          <w:rFonts w:asciiTheme="majorEastAsia" w:eastAsiaTheme="majorEastAsia" w:hAnsiTheme="majorEastAsia" w:cstheme="majorEastAsia" w:hint="eastAsia"/>
        </w:rPr>
        <w:br w:type="page"/>
      </w:r>
    </w:p>
    <w:p w:rsidR="008C0A47">
      <w:pPr>
        <w:pStyle w:val="Heading2"/>
        <w:rPr>
          <w:rFonts w:ascii="微软雅黑" w:eastAsia="微软雅黑" w:hAnsi="微软雅黑" w:cs="微软雅黑"/>
          <w:b/>
          <w:bCs/>
          <w:sz w:val="32"/>
          <w:szCs w:val="32"/>
        </w:rPr>
      </w:pPr>
      <w:r>
        <w:rPr>
          <w:rFonts w:ascii="微软雅黑" w:eastAsia="微软雅黑" w:hAnsi="微软雅黑" w:cs="微软雅黑" w:hint="eastAsia"/>
          <w:b/>
          <w:bCs/>
          <w:sz w:val="32"/>
          <w:szCs w:val="32"/>
        </w:rPr>
        <w:t>第三章</w:t>
      </w:r>
      <w:r>
        <w:rPr>
          <w:rFonts w:ascii="微软雅黑" w:eastAsia="微软雅黑" w:hAnsi="微软雅黑" w:cs="微软雅黑" w:hint="eastAsia"/>
          <w:b/>
          <w:bCs/>
          <w:sz w:val="32"/>
          <w:szCs w:val="32"/>
        </w:rPr>
        <w:t xml:space="preserve">  </w:t>
      </w:r>
      <w:r>
        <w:rPr>
          <w:rFonts w:ascii="微软雅黑" w:eastAsia="微软雅黑" w:hAnsi="微软雅黑" w:cs="微软雅黑" w:hint="eastAsia"/>
          <w:b/>
          <w:bCs/>
          <w:sz w:val="32"/>
          <w:szCs w:val="32"/>
        </w:rPr>
        <w:t>投标文件格式、附件</w:t>
      </w:r>
    </w:p>
    <w:p w:rsidR="008C0A47">
      <w:pPr>
        <w:rPr>
          <w:rStyle w:val="3Char"/>
          <w:rFonts w:ascii="微软雅黑" w:eastAsia="微软雅黑" w:hAnsi="微软雅黑" w:cs="微软雅黑"/>
          <w:b/>
          <w:color w:val="FF0000"/>
          <w:sz w:val="24"/>
        </w:rPr>
      </w:pPr>
      <w:r>
        <w:rPr>
          <w:rStyle w:val="3Char"/>
          <w:rFonts w:ascii="微软雅黑" w:eastAsia="微软雅黑" w:hAnsi="微软雅黑" w:cs="微软雅黑" w:hint="eastAsia"/>
          <w:b/>
          <w:color w:val="FF0000"/>
          <w:sz w:val="24"/>
        </w:rPr>
        <w:t>特别提醒：</w:t>
      </w:r>
    </w:p>
    <w:p w:rsidR="008C0A47">
      <w:pPr>
        <w:spacing w:line="44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投标文件正文将对外公开，投标文件附件不公开。投标人在编辑投标文件时，在投标文件目录中属于本节点内容的必须在本</w:t>
      </w:r>
      <w:r>
        <w:rPr>
          <w:rFonts w:asciiTheme="majorEastAsia" w:eastAsiaTheme="majorEastAsia" w:hAnsiTheme="majorEastAsia" w:cstheme="majorEastAsia" w:hint="eastAsia"/>
          <w:szCs w:val="21"/>
        </w:rPr>
        <w:t>节点中填写，填写到其他节点或附件的将可能导致投标无效，一切后果由供应商自行承担。</w:t>
      </w:r>
    </w:p>
    <w:p w:rsidR="008C0A47">
      <w:pPr>
        <w:spacing w:line="44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投标文件正文（信息公开部分）必须编制于“投标书目录”部分，投标文件附件（非信息公开部分）必须编制于“投标书附件”部分，如下图所示。</w:t>
      </w:r>
    </w:p>
    <w:p w:rsidR="008C0A47">
      <w:pPr>
        <w:rPr>
          <w:rFonts w:ascii="宋体" w:hAnsi="宋体" w:cs="宋体"/>
          <w:color w:val="FF0000"/>
          <w:szCs w:val="21"/>
        </w:rPr>
      </w:pPr>
      <w:r>
        <w:rPr>
          <w:rFonts w:ascii="宋体" w:hAnsi="宋体" w:cs="宋体" w:hint="eastAsia"/>
          <w:noProof/>
          <w:sz w:val="24"/>
        </w:rPr>
        <w:drawing>
          <wp:inline distT="0" distB="0" distL="0" distR="0">
            <wp:extent cx="5278755" cy="4126230"/>
            <wp:effectExtent l="0" t="0" r="17145" b="7620"/>
            <wp:docPr id="14" name="图片 14"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图形用户界面, 应用程序&#10;&#10;描述已自动生成"/>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5278755" cy="4126230"/>
                    </a:xfrm>
                    <a:prstGeom prst="rect">
                      <a:avLst/>
                    </a:prstGeom>
                    <a:noFill/>
                    <a:ln>
                      <a:noFill/>
                    </a:ln>
                  </pic:spPr>
                </pic:pic>
              </a:graphicData>
            </a:graphic>
          </wp:inline>
        </w:drawing>
      </w:r>
    </w:p>
    <w:p w:rsidR="008C0A47">
      <w:pPr>
        <w:spacing w:line="440" w:lineRule="exact"/>
        <w:ind w:firstLine="480" w:firstLineChars="200"/>
        <w:rPr>
          <w:rFonts w:asciiTheme="majorEastAsia" w:eastAsiaTheme="majorEastAsia" w:hAnsiTheme="majorEastAsia" w:cstheme="majorEastAsia"/>
          <w:b/>
          <w:sz w:val="24"/>
        </w:rPr>
      </w:pPr>
      <w:r>
        <w:rPr>
          <w:rFonts w:asciiTheme="majorEastAsia" w:eastAsiaTheme="majorEastAsia" w:hAnsiTheme="majorEastAsia" w:cstheme="majorEastAsia" w:hint="eastAsia"/>
          <w:szCs w:val="21"/>
        </w:rPr>
        <w:t>我单位公布投标文件正文（信息公开部分）时为计算机截取信息自动公布，如投标人误将涉及个人隐私的信息放入投标文件正文，相关后果由投标人自负；如投标人将必须放于投标文件正文（信息公开部分）的内容放入投标文件附件（非信息公开部分）以回避信息公开，评标委员会有权作投标无效或相应内容不予得分的处理。</w:t>
      </w:r>
    </w:p>
    <w:p w:rsidR="008C0A47">
      <w:pPr>
        <w:rPr>
          <w:rFonts w:asciiTheme="majorEastAsia" w:eastAsiaTheme="majorEastAsia" w:hAnsiTheme="majorEastAsia" w:cstheme="majorEastAsia"/>
          <w:b/>
          <w:color w:val="FF0000"/>
          <w:sz w:val="24"/>
        </w:rPr>
      </w:pPr>
      <w:r>
        <w:rPr>
          <w:rFonts w:asciiTheme="majorEastAsia" w:eastAsiaTheme="majorEastAsia" w:hAnsiTheme="majorEastAsia" w:cstheme="majorEastAsia" w:hint="eastAsia"/>
          <w:b/>
          <w:color w:val="FF0000"/>
          <w:sz w:val="24"/>
        </w:rPr>
        <w:br w:type="page"/>
      </w:r>
    </w:p>
    <w:p w:rsidR="008C0A47">
      <w:pPr>
        <w:spacing w:line="400" w:lineRule="exact"/>
        <w:rPr>
          <w:rFonts w:ascii="微软雅黑" w:eastAsia="微软雅黑" w:hAnsi="微软雅黑" w:cs="微软雅黑"/>
          <w:b/>
          <w:sz w:val="24"/>
        </w:rPr>
      </w:pPr>
      <w:r>
        <w:rPr>
          <w:rFonts w:ascii="微软雅黑" w:eastAsia="微软雅黑" w:hAnsi="微软雅黑" w:cs="微软雅黑" w:hint="eastAsia"/>
          <w:b/>
          <w:sz w:val="24"/>
        </w:rPr>
        <w:t>投标文件组成：</w:t>
      </w:r>
    </w:p>
    <w:p w:rsidR="008C0A47">
      <w:pPr>
        <w:spacing w:line="360" w:lineRule="exact"/>
        <w:ind w:firstLine="485" w:firstLineChars="202"/>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rPr>
        <w:t>一、投标文件正文</w:t>
      </w:r>
      <w:r>
        <w:rPr>
          <w:rFonts w:asciiTheme="majorEastAsia" w:eastAsiaTheme="majorEastAsia" w:hAnsiTheme="majorEastAsia" w:cstheme="majorEastAsia" w:hint="eastAsia"/>
          <w:b/>
          <w:bCs/>
          <w:color w:val="FF0000"/>
          <w:szCs w:val="21"/>
        </w:rPr>
        <w:t>（信息公开部分）</w:t>
      </w:r>
      <w:r>
        <w:rPr>
          <w:rFonts w:asciiTheme="majorEastAsia" w:eastAsiaTheme="majorEastAsia" w:hAnsiTheme="majorEastAsia" w:cstheme="majorEastAsia" w:hint="eastAsia"/>
          <w:b/>
          <w:bCs/>
        </w:rPr>
        <w:t>，主要</w:t>
      </w:r>
      <w:r>
        <w:rPr>
          <w:rFonts w:asciiTheme="majorEastAsia" w:eastAsiaTheme="majorEastAsia" w:hAnsiTheme="majorEastAsia" w:cstheme="majorEastAsia" w:hint="eastAsia"/>
          <w:b/>
          <w:bCs/>
          <w:szCs w:val="21"/>
        </w:rPr>
        <w:t>包括以下内容：</w:t>
      </w:r>
      <w:r>
        <w:rPr>
          <w:rFonts w:asciiTheme="majorEastAsia" w:eastAsiaTheme="majorEastAsia" w:hAnsiTheme="majorEastAsia" w:cstheme="majorEastAsia" w:hint="eastAsia"/>
          <w:b/>
          <w:bCs/>
        </w:rPr>
        <w:t>：</w:t>
      </w:r>
    </w:p>
    <w:p w:rsidR="008C0A47">
      <w:pPr>
        <w:pStyle w:val="NormalIndent"/>
        <w:spacing w:line="36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w:t>
      </w:r>
      <w:r>
        <w:rPr>
          <w:rFonts w:asciiTheme="majorEastAsia" w:eastAsiaTheme="majorEastAsia" w:hAnsiTheme="majorEastAsia" w:cstheme="majorEastAsia" w:hint="eastAsia"/>
          <w:szCs w:val="21"/>
        </w:rPr>
        <w:t>、投标函</w:t>
      </w:r>
    </w:p>
    <w:p w:rsidR="008C0A47">
      <w:pPr>
        <w:pStyle w:val="NormalIndent"/>
        <w:spacing w:line="36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w:t>
      </w:r>
      <w:r>
        <w:rPr>
          <w:rFonts w:asciiTheme="majorEastAsia" w:eastAsiaTheme="majorEastAsia" w:hAnsiTheme="majorEastAsia" w:cstheme="majorEastAsia" w:hint="eastAsia"/>
          <w:szCs w:val="21"/>
        </w:rPr>
        <w:t>、政府采购投标及履约承诺函</w:t>
      </w:r>
    </w:p>
    <w:p w:rsidR="008C0A47">
      <w:pPr>
        <w:pStyle w:val="NormalIndent"/>
        <w:spacing w:line="36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w:t>
      </w:r>
      <w:r>
        <w:rPr>
          <w:rFonts w:asciiTheme="majorEastAsia" w:eastAsiaTheme="majorEastAsia" w:hAnsiTheme="majorEastAsia" w:cstheme="majorEastAsia" w:hint="eastAsia"/>
          <w:szCs w:val="21"/>
        </w:rPr>
        <w:t>、资格证明材料</w:t>
      </w:r>
    </w:p>
    <w:p w:rsidR="008C0A47">
      <w:pPr>
        <w:pStyle w:val="NormalIndent"/>
        <w:spacing w:line="36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4</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8"/>
        </w:rPr>
        <w:t>中小企业、残疾人福利性单位及监狱企业声明函</w:t>
      </w:r>
    </w:p>
    <w:p w:rsidR="008C0A47">
      <w:pPr>
        <w:pStyle w:val="NormalIndent"/>
        <w:spacing w:line="36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5</w:t>
      </w:r>
      <w:r>
        <w:rPr>
          <w:rFonts w:asciiTheme="majorEastAsia" w:eastAsiaTheme="majorEastAsia" w:hAnsiTheme="majorEastAsia" w:cstheme="majorEastAsia" w:hint="eastAsia"/>
          <w:szCs w:val="21"/>
        </w:rPr>
        <w:t>、详细分项报价清单</w:t>
      </w:r>
    </w:p>
    <w:p w:rsidR="008C0A47">
      <w:pPr>
        <w:pStyle w:val="NormalIndent"/>
        <w:spacing w:line="360" w:lineRule="exact"/>
        <w:ind w:firstLine="480" w:firstLineChars="200"/>
        <w:rPr>
          <w:rFonts w:asciiTheme="majorEastAsia" w:eastAsiaTheme="majorEastAsia" w:hAnsiTheme="majorEastAsia" w:cstheme="majorEastAsia"/>
          <w:color w:val="FF0000"/>
          <w:szCs w:val="21"/>
        </w:rPr>
      </w:pPr>
      <w:r>
        <w:rPr>
          <w:rFonts w:asciiTheme="majorEastAsia" w:eastAsiaTheme="majorEastAsia" w:hAnsiTheme="majorEastAsia" w:cstheme="majorEastAsia" w:hint="eastAsia"/>
          <w:color w:val="FF0000"/>
          <w:szCs w:val="21"/>
        </w:rPr>
        <w:t>6</w:t>
      </w:r>
      <w:r>
        <w:rPr>
          <w:rFonts w:asciiTheme="majorEastAsia" w:eastAsiaTheme="majorEastAsia" w:hAnsiTheme="majorEastAsia" w:cstheme="majorEastAsia" w:hint="eastAsia"/>
          <w:color w:val="FF0000"/>
          <w:szCs w:val="21"/>
        </w:rPr>
        <w:t>、投标人所获荣誉</w:t>
      </w:r>
    </w:p>
    <w:p w:rsidR="008C0A47">
      <w:pPr>
        <w:pStyle w:val="NormalIndent"/>
        <w:spacing w:line="360" w:lineRule="exact"/>
        <w:ind w:firstLine="480" w:firstLineChars="200"/>
        <w:rPr>
          <w:rFonts w:asciiTheme="majorEastAsia" w:eastAsiaTheme="majorEastAsia" w:hAnsiTheme="majorEastAsia" w:cstheme="majorEastAsia"/>
          <w:color w:val="FF0000"/>
          <w:szCs w:val="21"/>
        </w:rPr>
      </w:pPr>
      <w:r>
        <w:rPr>
          <w:rFonts w:asciiTheme="majorEastAsia" w:eastAsiaTheme="majorEastAsia" w:hAnsiTheme="majorEastAsia" w:cstheme="majorEastAsia" w:hint="eastAsia"/>
          <w:color w:val="FF0000"/>
          <w:szCs w:val="21"/>
        </w:rPr>
        <w:t>7</w:t>
      </w:r>
      <w:r>
        <w:rPr>
          <w:rFonts w:asciiTheme="majorEastAsia" w:eastAsiaTheme="majorEastAsia" w:hAnsiTheme="majorEastAsia" w:cstheme="majorEastAsia" w:hint="eastAsia"/>
          <w:color w:val="FF0000"/>
          <w:szCs w:val="21"/>
        </w:rPr>
        <w:t>、同类项目业绩</w:t>
      </w:r>
    </w:p>
    <w:p w:rsidR="008C0A47">
      <w:pPr>
        <w:pStyle w:val="NormalIndent"/>
        <w:spacing w:line="360" w:lineRule="exact"/>
        <w:ind w:firstLine="480" w:firstLineChars="200"/>
        <w:rPr>
          <w:rFonts w:asciiTheme="majorEastAsia" w:eastAsiaTheme="majorEastAsia" w:hAnsiTheme="majorEastAsia" w:cstheme="majorEastAsia"/>
          <w:color w:val="FF0000"/>
          <w:szCs w:val="21"/>
        </w:rPr>
      </w:pPr>
      <w:r>
        <w:rPr>
          <w:rFonts w:asciiTheme="majorEastAsia" w:eastAsiaTheme="majorEastAsia" w:hAnsiTheme="majorEastAsia" w:cstheme="majorEastAsia" w:hint="eastAsia"/>
          <w:color w:val="FF0000"/>
          <w:szCs w:val="21"/>
        </w:rPr>
        <w:t>8</w:t>
      </w:r>
      <w:r>
        <w:rPr>
          <w:rFonts w:asciiTheme="majorEastAsia" w:eastAsiaTheme="majorEastAsia" w:hAnsiTheme="majorEastAsia" w:cstheme="majorEastAsia" w:hint="eastAsia"/>
          <w:color w:val="FF0000"/>
          <w:szCs w:val="21"/>
        </w:rPr>
        <w:t>、履约评价情况</w:t>
      </w:r>
    </w:p>
    <w:p w:rsidR="008C0A47">
      <w:pPr>
        <w:pStyle w:val="NormalIndent"/>
        <w:spacing w:line="360" w:lineRule="exact"/>
        <w:ind w:firstLine="485" w:firstLineChars="202"/>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二、投标文件附件</w:t>
      </w:r>
      <w:r>
        <w:rPr>
          <w:rFonts w:asciiTheme="majorEastAsia" w:eastAsiaTheme="majorEastAsia" w:hAnsiTheme="majorEastAsia" w:cstheme="majorEastAsia" w:hint="eastAsia"/>
          <w:b/>
          <w:bCs/>
          <w:color w:val="FF0000"/>
          <w:szCs w:val="21"/>
        </w:rPr>
        <w:t>（非信息公开部分）</w:t>
      </w:r>
      <w:r>
        <w:rPr>
          <w:rFonts w:asciiTheme="majorEastAsia" w:eastAsiaTheme="majorEastAsia" w:hAnsiTheme="majorEastAsia" w:cstheme="majorEastAsia" w:hint="eastAsia"/>
          <w:b/>
          <w:bCs/>
          <w:szCs w:val="21"/>
        </w:rPr>
        <w:t>，主要包括以下内容：</w:t>
      </w:r>
    </w:p>
    <w:p w:rsidR="008C0A47">
      <w:pPr>
        <w:pStyle w:val="NormalIndent"/>
        <w:spacing w:line="36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w:t>
      </w:r>
      <w:r>
        <w:rPr>
          <w:rFonts w:asciiTheme="majorEastAsia" w:eastAsiaTheme="majorEastAsia" w:hAnsiTheme="majorEastAsia" w:cstheme="majorEastAsia" w:hint="eastAsia"/>
          <w:szCs w:val="21"/>
        </w:rPr>
        <w:t>、法定代表人证明书</w:t>
      </w:r>
    </w:p>
    <w:p w:rsidR="008C0A47">
      <w:pPr>
        <w:pStyle w:val="NormalIndent"/>
        <w:spacing w:line="36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w:t>
      </w:r>
      <w:r>
        <w:rPr>
          <w:rFonts w:asciiTheme="majorEastAsia" w:eastAsiaTheme="majorEastAsia" w:hAnsiTheme="majorEastAsia" w:cstheme="majorEastAsia" w:hint="eastAsia"/>
          <w:szCs w:val="21"/>
        </w:rPr>
        <w:t>、投标文件签署授权委托书</w:t>
      </w:r>
    </w:p>
    <w:p w:rsidR="008C0A47">
      <w:pPr>
        <w:pStyle w:val="NormalIndent"/>
        <w:spacing w:line="360" w:lineRule="exact"/>
        <w:ind w:firstLine="480" w:firstLineChars="200"/>
        <w:rPr>
          <w:rFonts w:asciiTheme="majorEastAsia" w:eastAsiaTheme="majorEastAsia" w:hAnsiTheme="majorEastAsia" w:cstheme="majorEastAsia"/>
          <w:color w:val="FF0000"/>
          <w:szCs w:val="21"/>
        </w:rPr>
      </w:pPr>
      <w:r>
        <w:rPr>
          <w:rFonts w:asciiTheme="majorEastAsia" w:eastAsiaTheme="majorEastAsia" w:hAnsiTheme="majorEastAsia" w:cstheme="majorEastAsia" w:hint="eastAsia"/>
          <w:szCs w:val="21"/>
        </w:rPr>
        <w:t>3</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color w:val="FF0000"/>
          <w:szCs w:val="21"/>
        </w:rPr>
        <w:t>服务方案及计划</w:t>
      </w:r>
    </w:p>
    <w:p w:rsidR="008C0A47">
      <w:pPr>
        <w:pStyle w:val="NormalIndent"/>
        <w:spacing w:line="360" w:lineRule="exact"/>
        <w:ind w:firstLine="480" w:firstLineChars="200"/>
        <w:rPr>
          <w:rFonts w:asciiTheme="majorEastAsia" w:eastAsiaTheme="majorEastAsia" w:hAnsiTheme="majorEastAsia" w:cstheme="majorEastAsia"/>
          <w:color w:val="FF0000"/>
          <w:szCs w:val="21"/>
        </w:rPr>
      </w:pPr>
      <w:r>
        <w:rPr>
          <w:rFonts w:asciiTheme="majorEastAsia" w:eastAsiaTheme="majorEastAsia" w:hAnsiTheme="majorEastAsia" w:cstheme="majorEastAsia" w:hint="eastAsia"/>
          <w:color w:val="FF0000"/>
          <w:szCs w:val="21"/>
        </w:rPr>
        <w:t>4</w:t>
      </w:r>
      <w:r>
        <w:rPr>
          <w:rFonts w:asciiTheme="majorEastAsia" w:eastAsiaTheme="majorEastAsia" w:hAnsiTheme="majorEastAsia" w:cstheme="majorEastAsia" w:hint="eastAsia"/>
          <w:color w:val="FF0000"/>
          <w:szCs w:val="21"/>
        </w:rPr>
        <w:t>、拟派驻点人员情况</w:t>
      </w:r>
    </w:p>
    <w:p w:rsidR="008C0A47">
      <w:pPr>
        <w:pStyle w:val="NormalIndent"/>
        <w:spacing w:line="360" w:lineRule="exact"/>
        <w:ind w:firstLine="480" w:firstLineChars="200"/>
        <w:rPr>
          <w:rFonts w:asciiTheme="majorEastAsia" w:eastAsiaTheme="majorEastAsia" w:hAnsiTheme="majorEastAsia" w:cstheme="majorEastAsia"/>
          <w:color w:val="FF0000"/>
          <w:szCs w:val="21"/>
        </w:rPr>
      </w:pPr>
      <w:r>
        <w:rPr>
          <w:rFonts w:asciiTheme="majorEastAsia" w:eastAsiaTheme="majorEastAsia" w:hAnsiTheme="majorEastAsia" w:cstheme="majorEastAsia" w:hint="eastAsia"/>
          <w:color w:val="FF0000"/>
          <w:szCs w:val="21"/>
        </w:rPr>
        <w:t>5</w:t>
      </w:r>
      <w:r>
        <w:rPr>
          <w:rFonts w:asciiTheme="majorEastAsia" w:eastAsiaTheme="majorEastAsia" w:hAnsiTheme="majorEastAsia" w:cstheme="majorEastAsia" w:hint="eastAsia"/>
          <w:color w:val="FF0000"/>
          <w:szCs w:val="21"/>
        </w:rPr>
        <w:t>、专项法律服务小组人员数量配备情况（不含驻点人员）</w:t>
      </w:r>
    </w:p>
    <w:p w:rsidR="008C0A47">
      <w:pPr>
        <w:pStyle w:val="NormalIndent"/>
        <w:spacing w:line="360" w:lineRule="exact"/>
        <w:ind w:firstLine="480" w:firstLineChars="200"/>
        <w:rPr>
          <w:rFonts w:asciiTheme="majorEastAsia" w:eastAsiaTheme="majorEastAsia" w:hAnsiTheme="majorEastAsia" w:cstheme="majorEastAsia"/>
          <w:color w:val="FF0000"/>
          <w:szCs w:val="21"/>
        </w:rPr>
      </w:pPr>
      <w:r>
        <w:rPr>
          <w:rFonts w:asciiTheme="majorEastAsia" w:eastAsiaTheme="majorEastAsia" w:hAnsiTheme="majorEastAsia" w:cstheme="majorEastAsia" w:hint="eastAsia"/>
          <w:color w:val="FF0000"/>
          <w:szCs w:val="21"/>
        </w:rPr>
        <w:t>6</w:t>
      </w:r>
      <w:r>
        <w:rPr>
          <w:rFonts w:asciiTheme="majorEastAsia" w:eastAsiaTheme="majorEastAsia" w:hAnsiTheme="majorEastAsia" w:cstheme="majorEastAsia" w:hint="eastAsia"/>
          <w:color w:val="FF0000"/>
          <w:szCs w:val="21"/>
        </w:rPr>
        <w:t>、质量（完成时间、安全、环保）保障措施及方案</w:t>
      </w:r>
    </w:p>
    <w:p w:rsidR="008C0A47">
      <w:pPr>
        <w:pStyle w:val="NormalIndent"/>
        <w:spacing w:line="36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color w:val="FF0000"/>
          <w:szCs w:val="21"/>
        </w:rPr>
        <w:t>7</w:t>
      </w:r>
      <w:r>
        <w:rPr>
          <w:rFonts w:asciiTheme="majorEastAsia" w:eastAsiaTheme="majorEastAsia" w:hAnsiTheme="majorEastAsia" w:cstheme="majorEastAsia" w:hint="eastAsia"/>
          <w:color w:val="FF0000"/>
          <w:szCs w:val="21"/>
        </w:rPr>
        <w:t>、其它招标文件要求的内容及投标人认为需要补充的内容（格式自定）</w:t>
      </w:r>
    </w:p>
    <w:p w:rsidR="008C0A47">
      <w:pPr>
        <w:spacing w:line="360" w:lineRule="exact"/>
        <w:ind w:firstLine="485" w:firstLineChars="202"/>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备注：</w:t>
      </w:r>
    </w:p>
    <w:p w:rsidR="008C0A47">
      <w:pPr>
        <w:spacing w:line="360" w:lineRule="exact"/>
        <w:ind w:firstLine="485" w:firstLineChars="202"/>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w:t>
      </w:r>
      <w:r>
        <w:rPr>
          <w:rFonts w:asciiTheme="majorEastAsia" w:eastAsiaTheme="majorEastAsia" w:hAnsiTheme="majorEastAsia" w:cstheme="majorEastAsia" w:hint="eastAsia"/>
          <w:szCs w:val="21"/>
        </w:rPr>
        <w:t>、本项目为网上电子投标项目，投标文件不需法人或授权委托人另行签字，无需加盖单位公章，招标文件专用条款另有规定的除外。</w:t>
      </w:r>
    </w:p>
    <w:p w:rsidR="008C0A47">
      <w:pPr>
        <w:spacing w:line="360" w:lineRule="exact"/>
        <w:ind w:firstLine="485" w:firstLineChars="202"/>
        <w:rPr>
          <w:rFonts w:asciiTheme="majorEastAsia" w:eastAsiaTheme="majorEastAsia" w:hAnsiTheme="majorEastAsia" w:cstheme="majorEastAsia"/>
          <w:bCs/>
          <w:color w:val="FF0000"/>
          <w:szCs w:val="21"/>
        </w:rPr>
      </w:pPr>
      <w:r>
        <w:rPr>
          <w:rFonts w:asciiTheme="majorEastAsia" w:eastAsiaTheme="majorEastAsia" w:hAnsiTheme="majorEastAsia" w:cstheme="majorEastAsia" w:hint="eastAsia"/>
          <w:bCs/>
          <w:color w:val="FF0000"/>
          <w:szCs w:val="21"/>
        </w:rPr>
        <w:t>2</w:t>
      </w:r>
      <w:r>
        <w:rPr>
          <w:rFonts w:asciiTheme="majorEastAsia" w:eastAsiaTheme="majorEastAsia" w:hAnsiTheme="majorEastAsia" w:cstheme="majorEastAsia" w:hint="eastAsia"/>
          <w:bCs/>
          <w:color w:val="FF0000"/>
          <w:szCs w:val="21"/>
        </w:rPr>
        <w:t>、关于“开标一览表”的评标说明：“开标一览表”中除“投标总价”外，其他信息不作评审依据。</w:t>
      </w:r>
    </w:p>
    <w:p w:rsidR="008C0A47">
      <w:pPr>
        <w:spacing w:line="360" w:lineRule="exact"/>
        <w:ind w:firstLine="485" w:firstLineChars="202"/>
        <w:rPr>
          <w:rFonts w:asciiTheme="majorEastAsia" w:eastAsiaTheme="majorEastAsia" w:hAnsiTheme="majorEastAsia" w:cstheme="majorEastAsia"/>
          <w:b/>
          <w:sz w:val="30"/>
          <w:szCs w:val="30"/>
        </w:rPr>
      </w:pPr>
      <w:r>
        <w:rPr>
          <w:rFonts w:asciiTheme="majorEastAsia" w:eastAsiaTheme="majorEastAsia" w:hAnsiTheme="majorEastAsia" w:cstheme="majorEastAsia" w:hint="eastAsia"/>
          <w:bCs/>
          <w:color w:val="FF0000"/>
          <w:szCs w:val="21"/>
        </w:rPr>
        <w:t>3</w:t>
      </w:r>
      <w:r>
        <w:rPr>
          <w:rFonts w:asciiTheme="majorEastAsia" w:eastAsiaTheme="majorEastAsia" w:hAnsiTheme="majorEastAsia" w:cstheme="majorEastAsia" w:hint="eastAsia"/>
          <w:bCs/>
          <w:color w:val="FF0000"/>
          <w:szCs w:val="21"/>
        </w:rPr>
        <w:t>、关于投标书编制软件中“开标一览表”的填写说明：“开标一览表”中“完工期”一栏的填写内容不作任何要求，由投标人自行填写。</w:t>
      </w:r>
      <w:r>
        <w:rPr>
          <w:rFonts w:asciiTheme="majorEastAsia" w:eastAsiaTheme="majorEastAsia" w:hAnsiTheme="majorEastAsia" w:cstheme="majorEastAsia" w:hint="eastAsia"/>
          <w:b/>
          <w:sz w:val="30"/>
          <w:szCs w:val="30"/>
        </w:rPr>
        <w:br w:type="page"/>
      </w:r>
    </w:p>
    <w:p w:rsidR="008C0A47">
      <w:pPr>
        <w:spacing w:line="0" w:lineRule="atLeast"/>
        <w:outlineLvl w:val="1"/>
        <w:rPr>
          <w:rFonts w:ascii="微软雅黑" w:eastAsia="微软雅黑" w:hAnsi="微软雅黑" w:cs="微软雅黑"/>
          <w:b/>
          <w:color w:val="FF0000"/>
          <w:sz w:val="28"/>
          <w:szCs w:val="28"/>
        </w:rPr>
      </w:pPr>
      <w:r>
        <w:rPr>
          <w:rFonts w:ascii="微软雅黑" w:eastAsia="微软雅黑" w:hAnsi="微软雅黑" w:cs="微软雅黑" w:hint="eastAsia"/>
          <w:b/>
          <w:color w:val="FF0000"/>
          <w:sz w:val="28"/>
          <w:szCs w:val="28"/>
        </w:rPr>
        <w:t>投标文件正文（信息公开部分）：</w:t>
      </w:r>
    </w:p>
    <w:p w:rsidR="008C0A47">
      <w:pPr>
        <w:pStyle w:val="Heading3"/>
        <w:keepNext w:val="0"/>
        <w:keepLines w:val="0"/>
        <w:jc w:val="center"/>
        <w:rPr>
          <w:rFonts w:asciiTheme="majorEastAsia" w:eastAsiaTheme="majorEastAsia" w:hAnsiTheme="majorEastAsia" w:cstheme="majorEastAsia"/>
          <w:szCs w:val="28"/>
        </w:rPr>
      </w:pPr>
      <w:r>
        <w:rPr>
          <w:rFonts w:asciiTheme="majorEastAsia" w:eastAsiaTheme="majorEastAsia" w:hAnsiTheme="majorEastAsia" w:cstheme="majorEastAsia" w:hint="eastAsia"/>
          <w:szCs w:val="28"/>
        </w:rPr>
        <w:t>一、投标函</w:t>
      </w:r>
    </w:p>
    <w:p w:rsidR="008C0A47">
      <w:pPr>
        <w:spacing w:line="42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致：深圳市国际招标有限公司</w:t>
      </w:r>
    </w:p>
    <w:p w:rsidR="008C0A47">
      <w:pPr>
        <w:spacing w:line="42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w:t>
      </w:r>
      <w:r>
        <w:rPr>
          <w:rFonts w:asciiTheme="majorEastAsia" w:eastAsiaTheme="majorEastAsia" w:hAnsiTheme="majorEastAsia" w:cstheme="majorEastAsia" w:hint="eastAsia"/>
          <w:szCs w:val="21"/>
        </w:rPr>
        <w:t>根据已收到贵方的项目编号为的项目的招标文件，遵照《深圳经济特区政府采购条例》和《深圳网上政府采购管理暂行办法》等有关规定，我单位经研究上述招标文件的专用条款及通用条款后，我方愿以投标书编制软件中《开标一览表》中填写的投标报价并按招标文件要求承包上述项目并修补其任何缺陷。</w:t>
      </w:r>
    </w:p>
    <w:p w:rsidR="008C0A47">
      <w:pPr>
        <w:spacing w:line="42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w:t>
      </w:r>
      <w:r>
        <w:rPr>
          <w:rFonts w:asciiTheme="majorEastAsia" w:eastAsiaTheme="majorEastAsia" w:hAnsiTheme="majorEastAsia" w:cstheme="majorEastAsia" w:hint="eastAsia"/>
          <w:szCs w:val="21"/>
        </w:rPr>
        <w:t>我方已认真核实了投标文件的全部资料，所有资料均为真实资料。我方对投标文件中全部投标资料的真实性负责，如被证实我方的投标文件中存在虚假资料的，则视为我方隐瞒真实情况、提供虚假资料，我方愿意接受主管部门</w:t>
      </w:r>
      <w:r>
        <w:rPr>
          <w:rFonts w:asciiTheme="majorEastAsia" w:eastAsiaTheme="majorEastAsia" w:hAnsiTheme="majorEastAsia" w:cstheme="majorEastAsia" w:hint="eastAsia"/>
          <w:szCs w:val="21"/>
        </w:rPr>
        <w:t>作出</w:t>
      </w:r>
      <w:r>
        <w:rPr>
          <w:rFonts w:asciiTheme="majorEastAsia" w:eastAsiaTheme="majorEastAsia" w:hAnsiTheme="majorEastAsia" w:cstheme="majorEastAsia" w:hint="eastAsia"/>
          <w:szCs w:val="21"/>
        </w:rPr>
        <w:t>的行政处罚。</w:t>
      </w:r>
    </w:p>
    <w:p w:rsidR="008C0A47">
      <w:pPr>
        <w:spacing w:line="42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w:t>
      </w:r>
      <w:r>
        <w:rPr>
          <w:rFonts w:asciiTheme="majorEastAsia" w:eastAsiaTheme="majorEastAsia" w:hAnsiTheme="majorEastAsia" w:cstheme="majorEastAsia" w:hint="eastAsia"/>
          <w:szCs w:val="21"/>
        </w:rPr>
        <w:t>如果我方中标</w:t>
      </w:r>
      <w:r>
        <w:rPr>
          <w:rFonts w:asciiTheme="majorEastAsia" w:eastAsiaTheme="majorEastAsia" w:hAnsiTheme="majorEastAsia" w:cstheme="majorEastAsia" w:hint="eastAsia"/>
          <w:szCs w:val="21"/>
        </w:rPr>
        <w:t>，我方将按照规定提交上述总价％（或万元）作为履约担保（可提供保函等非现金形式）。</w:t>
      </w:r>
    </w:p>
    <w:p w:rsidR="008C0A47">
      <w:pPr>
        <w:spacing w:line="42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4.</w:t>
      </w:r>
      <w:r>
        <w:rPr>
          <w:rFonts w:asciiTheme="majorEastAsia" w:eastAsiaTheme="majorEastAsia" w:hAnsiTheme="majorEastAsia" w:cstheme="majorEastAsia" w:hint="eastAsia"/>
          <w:szCs w:val="21"/>
        </w:rPr>
        <w:t>我方同意所递交的投标文件在“对通用条款的补充内容”中的投标有效期内有效，在此期间内我方的投标有可能中标，我方将受此约束。如果在投标有效期内撤销其投标，将被财政部门根据实际情况记入供应商诚信档案。</w:t>
      </w:r>
    </w:p>
    <w:p w:rsidR="008C0A47">
      <w:pPr>
        <w:spacing w:line="42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5.</w:t>
      </w:r>
      <w:r>
        <w:rPr>
          <w:rFonts w:asciiTheme="majorEastAsia" w:eastAsiaTheme="majorEastAsia" w:hAnsiTheme="majorEastAsia" w:cstheme="majorEastAsia" w:hint="eastAsia"/>
          <w:szCs w:val="21"/>
        </w:rPr>
        <w:t>除非另外达成协议并生效，贵方的中标通知书和本投标文件将构成约束我们双方的合同。</w:t>
      </w:r>
    </w:p>
    <w:p w:rsidR="008C0A47">
      <w:pPr>
        <w:spacing w:line="42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6.</w:t>
      </w:r>
      <w:r>
        <w:rPr>
          <w:rFonts w:asciiTheme="majorEastAsia" w:eastAsiaTheme="majorEastAsia" w:hAnsiTheme="majorEastAsia" w:cstheme="majorEastAsia" w:hint="eastAsia"/>
          <w:szCs w:val="21"/>
        </w:rPr>
        <w:t>我方理解贵方将不受必须接受你们所收到的最低标价或其它任何投标文件的约束。</w:t>
      </w:r>
    </w:p>
    <w:p w:rsidR="008C0A47">
      <w:pPr>
        <w:spacing w:line="420" w:lineRule="exact"/>
        <w:ind w:firstLine="470" w:firstLineChars="196"/>
        <w:rPr>
          <w:rFonts w:asciiTheme="majorEastAsia" w:eastAsiaTheme="majorEastAsia" w:hAnsiTheme="majorEastAsia" w:cstheme="majorEastAsia"/>
          <w:szCs w:val="21"/>
        </w:rPr>
      </w:pPr>
    </w:p>
    <w:p w:rsidR="008C0A47">
      <w:pPr>
        <w:spacing w:line="420" w:lineRule="exact"/>
        <w:ind w:firstLine="5640" w:firstLineChars="2350"/>
        <w:rPr>
          <w:rFonts w:asciiTheme="majorEastAsia" w:eastAsiaTheme="majorEastAsia" w:hAnsiTheme="majorEastAsia" w:cstheme="majorEastAsia"/>
        </w:rPr>
      </w:pPr>
      <w:r>
        <w:rPr>
          <w:rFonts w:asciiTheme="majorEastAsia" w:eastAsiaTheme="majorEastAsia" w:hAnsiTheme="majorEastAsia" w:cstheme="majorEastAsia" w:hint="eastAsia"/>
          <w:szCs w:val="21"/>
        </w:rPr>
        <w:t>投标人：</w:t>
      </w:r>
    </w:p>
    <w:p w:rsidR="008C0A47">
      <w:pPr>
        <w:spacing w:line="420" w:lineRule="exact"/>
        <w:jc w:val="left"/>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日期：年月日</w:t>
      </w:r>
    </w:p>
    <w:p w:rsidR="008C0A47">
      <w:pPr>
        <w:spacing w:line="420" w:lineRule="exact"/>
        <w:ind w:firstLine="470" w:firstLineChars="196"/>
        <w:rPr>
          <w:rFonts w:asciiTheme="majorEastAsia" w:eastAsiaTheme="majorEastAsia" w:hAnsiTheme="majorEastAsia" w:cstheme="majorEastAsia"/>
          <w:szCs w:val="21"/>
        </w:rPr>
      </w:pPr>
    </w:p>
    <w:p w:rsidR="008C0A47">
      <w:pPr>
        <w:spacing w:line="42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备注：</w:t>
      </w:r>
    </w:p>
    <w:p w:rsidR="008C0A47">
      <w:pPr>
        <w:spacing w:line="42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w:t>
      </w:r>
      <w:r>
        <w:rPr>
          <w:rFonts w:asciiTheme="majorEastAsia" w:eastAsiaTheme="majorEastAsia" w:hAnsiTheme="majorEastAsia" w:cstheme="majorEastAsia" w:hint="eastAsia"/>
          <w:szCs w:val="21"/>
        </w:rPr>
        <w:t>、如联合体投标，投标人一栏仅需填写牵头人的名称。</w:t>
      </w:r>
    </w:p>
    <w:p w:rsidR="008C0A47">
      <w:pPr>
        <w:spacing w:line="42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w:t>
      </w:r>
      <w:r>
        <w:rPr>
          <w:rFonts w:asciiTheme="majorEastAsia" w:eastAsiaTheme="majorEastAsia" w:hAnsiTheme="majorEastAsia" w:cstheme="majorEastAsia" w:hint="eastAsia"/>
          <w:szCs w:val="21"/>
        </w:rPr>
        <w:t>、为缓解中小企业融资难题，我市推出政府采购订单融资改革举措。订单融资具体流程及试点金融机构订单融资服务承诺可参阅深圳市政府采购监管网（</w:t>
      </w:r>
      <w:r>
        <w:rPr>
          <w:rFonts w:asciiTheme="majorEastAsia" w:eastAsiaTheme="majorEastAsia" w:hAnsiTheme="majorEastAsia" w:cstheme="majorEastAsia" w:hint="eastAsia"/>
          <w:szCs w:val="21"/>
        </w:rPr>
        <w:t>www.zfcg.sz.gov.cn</w:t>
      </w:r>
      <w:r>
        <w:rPr>
          <w:rFonts w:asciiTheme="majorEastAsia" w:eastAsiaTheme="majorEastAsia" w:hAnsiTheme="majorEastAsia" w:cstheme="majorEastAsia" w:hint="eastAsia"/>
          <w:szCs w:val="21"/>
        </w:rPr>
        <w:t>）信息公开栏目或深圳公共资源交易网（</w:t>
      </w:r>
      <w:r>
        <w:rPr>
          <w:rFonts w:asciiTheme="majorEastAsia" w:eastAsiaTheme="majorEastAsia" w:hAnsiTheme="majorEastAsia" w:cstheme="majorEastAsia" w:hint="eastAsia"/>
          <w:szCs w:val="21"/>
        </w:rPr>
        <w:t>http://www.szggzy.com/</w:t>
      </w:r>
      <w:r>
        <w:rPr>
          <w:rFonts w:asciiTheme="majorEastAsia" w:eastAsiaTheme="majorEastAsia" w:hAnsiTheme="majorEastAsia" w:cstheme="majorEastAsia" w:hint="eastAsia"/>
          <w:szCs w:val="21"/>
        </w:rPr>
        <w:t>）政府采购订单融资栏目。</w:t>
      </w:r>
    </w:p>
    <w:p w:rsidR="008C0A47">
      <w:pPr>
        <w:spacing w:line="42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w:t>
      </w:r>
      <w:r>
        <w:rPr>
          <w:rFonts w:asciiTheme="majorEastAsia" w:eastAsiaTheme="majorEastAsia" w:hAnsiTheme="majorEastAsia" w:cstheme="majorEastAsia" w:hint="eastAsia"/>
          <w:szCs w:val="21"/>
        </w:rPr>
        <w:t>、投标人信息（</w:t>
      </w:r>
      <w:r>
        <w:rPr>
          <w:rFonts w:asciiTheme="majorEastAsia" w:eastAsiaTheme="majorEastAsia" w:hAnsiTheme="majorEastAsia" w:cstheme="majorEastAsia" w:hint="eastAsia"/>
          <w:szCs w:val="21"/>
        </w:rPr>
        <w:t>供联系</w:t>
      </w:r>
      <w:r>
        <w:rPr>
          <w:rFonts w:asciiTheme="majorEastAsia" w:eastAsiaTheme="majorEastAsia" w:hAnsiTheme="majorEastAsia" w:cstheme="majorEastAsia" w:hint="eastAsia"/>
          <w:szCs w:val="21"/>
        </w:rPr>
        <w:t>用）：</w:t>
      </w:r>
    </w:p>
    <w:p w:rsidR="008C0A47">
      <w:pPr>
        <w:spacing w:line="440" w:lineRule="exact"/>
        <w:jc w:val="left"/>
        <w:rPr>
          <w:rFonts w:asciiTheme="majorEastAsia" w:eastAsiaTheme="majorEastAsia" w:hAnsiTheme="majorEastAsia" w:cstheme="majorEastAsia"/>
          <w:szCs w:val="21"/>
          <w:u w:val="single"/>
        </w:rPr>
      </w:pP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1</w:t>
      </w:r>
      <w:r>
        <w:rPr>
          <w:rFonts w:asciiTheme="majorEastAsia" w:eastAsiaTheme="majorEastAsia" w:hAnsiTheme="majorEastAsia" w:cstheme="majorEastAsia" w:hint="eastAsia"/>
          <w:szCs w:val="21"/>
        </w:rPr>
        <w:t>）单位地址：</w:t>
      </w:r>
      <w:r>
        <w:rPr>
          <w:rFonts w:ascii="宋体" w:hAnsi="宋体" w:hint="eastAsia"/>
          <w:szCs w:val="21"/>
        </w:rPr>
        <w:t>电子邮箱：</w:t>
      </w:r>
    </w:p>
    <w:p w:rsidR="008C0A47">
      <w:pPr>
        <w:spacing w:line="420" w:lineRule="exact"/>
        <w:rPr>
          <w:rFonts w:asciiTheme="majorEastAsia" w:eastAsiaTheme="majorEastAsia" w:hAnsiTheme="majorEastAsia" w:cstheme="majorEastAsia"/>
          <w:szCs w:val="21"/>
          <w:u w:val="single"/>
        </w:rPr>
      </w:pP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2</w:t>
      </w:r>
      <w:r>
        <w:rPr>
          <w:rFonts w:asciiTheme="majorEastAsia" w:eastAsiaTheme="majorEastAsia" w:hAnsiTheme="majorEastAsia" w:cstheme="majorEastAsia" w:hint="eastAsia"/>
          <w:szCs w:val="21"/>
        </w:rPr>
        <w:t>）法定代表人或其委托代理人（姓名及电话）：</w:t>
      </w:r>
    </w:p>
    <w:p w:rsidR="008C0A47">
      <w:pPr>
        <w:spacing w:line="42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3</w:t>
      </w:r>
      <w:r>
        <w:rPr>
          <w:rFonts w:asciiTheme="majorEastAsia" w:eastAsiaTheme="majorEastAsia" w:hAnsiTheme="majorEastAsia" w:cstheme="majorEastAsia" w:hint="eastAsia"/>
          <w:szCs w:val="21"/>
        </w:rPr>
        <w:t>）投标人财务负责人</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企业负责人（姓名及电话）：</w:t>
      </w:r>
    </w:p>
    <w:p w:rsidR="008C0A47">
      <w:pPr>
        <w:pStyle w:val="Heading3"/>
        <w:keepNext w:val="0"/>
        <w:keepLines w:val="0"/>
        <w:jc w:val="center"/>
        <w:rPr>
          <w:rFonts w:asciiTheme="majorEastAsia" w:eastAsiaTheme="majorEastAsia" w:hAnsiTheme="majorEastAsia" w:cstheme="majorEastAsia"/>
          <w:szCs w:val="28"/>
        </w:rPr>
      </w:pPr>
      <w:r>
        <w:rPr>
          <w:rFonts w:asciiTheme="majorEastAsia" w:eastAsiaTheme="majorEastAsia" w:hAnsiTheme="majorEastAsia" w:cstheme="majorEastAsia" w:hint="eastAsia"/>
          <w:szCs w:val="28"/>
        </w:rPr>
        <w:t>二、政府采购投标及履约承诺函</w:t>
      </w:r>
    </w:p>
    <w:p w:rsidR="008C0A47">
      <w:pPr>
        <w:spacing w:line="36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致：深圳市国际招标有限公司</w:t>
      </w:r>
    </w:p>
    <w:p w:rsidR="008C0A47">
      <w:pPr>
        <w:spacing w:line="360" w:lineRule="exact"/>
        <w:ind w:right="-815"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我单位承诺：</w:t>
      </w:r>
    </w:p>
    <w:p w:rsidR="008C0A47">
      <w:pPr>
        <w:spacing w:line="36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w:t>
      </w:r>
      <w:r>
        <w:rPr>
          <w:rFonts w:asciiTheme="majorEastAsia" w:eastAsiaTheme="majorEastAsia" w:hAnsiTheme="majorEastAsia" w:cstheme="majorEastAsia" w:hint="eastAsia"/>
          <w:szCs w:val="21"/>
        </w:rPr>
        <w:t>我单位参与本项目投标前三年内，在经营活动中没有重大违法记录。</w:t>
      </w:r>
    </w:p>
    <w:p w:rsidR="008C0A47">
      <w:pPr>
        <w:spacing w:line="36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w:t>
      </w:r>
      <w:r>
        <w:rPr>
          <w:rFonts w:asciiTheme="majorEastAsia" w:eastAsiaTheme="majorEastAsia" w:hAnsiTheme="majorEastAsia" w:cstheme="majorEastAsia" w:hint="eastAsia"/>
          <w:szCs w:val="21"/>
        </w:rPr>
        <w:t>我单位参与本项目</w:t>
      </w:r>
      <w:r>
        <w:rPr>
          <w:rFonts w:asciiTheme="majorEastAsia" w:eastAsiaTheme="majorEastAsia" w:hAnsiTheme="majorEastAsia" w:cstheme="majorEastAsia" w:hint="eastAsia"/>
        </w:rPr>
        <w:t>政府采购活动时不存在被有关部门禁止参与政府采购活动且在有效期内的情况。</w:t>
      </w:r>
    </w:p>
    <w:p w:rsidR="008C0A47">
      <w:pPr>
        <w:spacing w:line="36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w:t>
      </w:r>
      <w:r>
        <w:rPr>
          <w:rFonts w:asciiTheme="majorEastAsia" w:eastAsiaTheme="majorEastAsia" w:hAnsiTheme="majorEastAsia" w:cstheme="majorEastAsia" w:hint="eastAsia"/>
          <w:szCs w:val="21"/>
        </w:rPr>
        <w:t>我单位具备《中华人民共和国政府采购法》第二十二条第一款的条件。</w:t>
      </w:r>
    </w:p>
    <w:p w:rsidR="008C0A47">
      <w:pPr>
        <w:spacing w:line="36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4.</w:t>
      </w:r>
      <w:r>
        <w:rPr>
          <w:rFonts w:asciiTheme="majorEastAsia" w:eastAsiaTheme="majorEastAsia" w:hAnsiTheme="majorEastAsia" w:cstheme="majorEastAsia" w:hint="eastAsia"/>
          <w:szCs w:val="21"/>
        </w:rPr>
        <w:t>我单位</w:t>
      </w:r>
      <w:r>
        <w:rPr>
          <w:rFonts w:asciiTheme="majorEastAsia" w:eastAsiaTheme="majorEastAsia" w:hAnsiTheme="majorEastAsia" w:cstheme="majorEastAsia" w:hint="eastAsia"/>
        </w:rPr>
        <w:t>未被列入失信被执行人、重大税收违法案件当事人名单、政府采购严重违法失信行为记录名单。</w:t>
      </w:r>
    </w:p>
    <w:p w:rsidR="008C0A47">
      <w:pPr>
        <w:spacing w:line="36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5.</w:t>
      </w:r>
      <w:r>
        <w:rPr>
          <w:rFonts w:ascii="宋体" w:hAnsi="宋体" w:hint="eastAsia"/>
          <w:szCs w:val="21"/>
        </w:rPr>
        <w:t>我单位参与该项目投标，严格遵守政府采购相关法律，</w:t>
      </w:r>
      <w:r>
        <w:rPr>
          <w:rFonts w:ascii="宋体" w:hAnsi="宋体" w:hint="eastAsia"/>
          <w:szCs w:val="21"/>
        </w:rPr>
        <w:t>不</w:t>
      </w:r>
      <w:r>
        <w:rPr>
          <w:rFonts w:ascii="宋体" w:hAnsi="宋体" w:hint="eastAsia"/>
          <w:szCs w:val="21"/>
        </w:rPr>
        <w:t>造假，不围标、串标、陪标。我单位已清楚，如违反上述要求，投标将作无效处理，被列入不良记录名单并在网上曝光，同时将被提请政府采购主管部门给予一定年限内禁止参与政府采购活动或其他处罚。</w:t>
      </w:r>
    </w:p>
    <w:p w:rsidR="008C0A47">
      <w:pPr>
        <w:spacing w:line="360" w:lineRule="exact"/>
        <w:ind w:firstLine="480" w:firstLineChars="200"/>
        <w:rPr>
          <w:rFonts w:ascii="宋体" w:hAnsi="宋体"/>
          <w:szCs w:val="21"/>
        </w:rPr>
      </w:pPr>
      <w:r>
        <w:rPr>
          <w:rFonts w:ascii="宋体" w:hAnsi="宋体" w:hint="eastAsia"/>
          <w:szCs w:val="21"/>
        </w:rPr>
        <w:t>6.</w:t>
      </w:r>
      <w:r>
        <w:rPr>
          <w:rFonts w:ascii="宋体" w:hAnsi="宋体" w:hint="eastAsia"/>
          <w:szCs w:val="21"/>
        </w:rPr>
        <w:t>我单位非为本项目提供整体设计、规范编制或者项目管理、监理、检测等服务的供应商。</w:t>
      </w:r>
    </w:p>
    <w:p w:rsidR="008C0A47">
      <w:pPr>
        <w:spacing w:line="360" w:lineRule="exact"/>
        <w:ind w:firstLine="480" w:firstLineChars="200"/>
        <w:rPr>
          <w:rFonts w:ascii="宋体" w:hAnsi="宋体"/>
          <w:szCs w:val="21"/>
        </w:rPr>
      </w:pPr>
      <w:r>
        <w:rPr>
          <w:rFonts w:ascii="宋体" w:hAnsi="宋体" w:hint="eastAsia"/>
          <w:szCs w:val="21"/>
        </w:rPr>
        <w:t>7.</w:t>
      </w:r>
      <w:r>
        <w:rPr>
          <w:rFonts w:ascii="宋体" w:hAnsi="宋体" w:hint="eastAsia"/>
          <w:szCs w:val="21"/>
        </w:rPr>
        <w:t>我单位不存在“单位负责人为同一人或者存在直接控股、管理关系的不同供应商，参加同一合同项下的政府采购活动”的情形。</w:t>
      </w:r>
    </w:p>
    <w:p w:rsidR="008C0A47">
      <w:pPr>
        <w:spacing w:line="36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8.</w:t>
      </w:r>
      <w:r>
        <w:rPr>
          <w:rFonts w:asciiTheme="majorEastAsia" w:eastAsiaTheme="majorEastAsia" w:hAnsiTheme="majorEastAsia" w:cstheme="majorEastAsia" w:hint="eastAsia"/>
          <w:szCs w:val="21"/>
        </w:rPr>
        <w:t>我单位如果中标，做到守信，不偷工减料，依照本项目招标文件需求内容、签署的采</w:t>
      </w:r>
      <w:r>
        <w:rPr>
          <w:rFonts w:asciiTheme="majorEastAsia" w:eastAsiaTheme="majorEastAsia" w:hAnsiTheme="majorEastAsia" w:cstheme="majorEastAsia" w:hint="eastAsia"/>
          <w:szCs w:val="21"/>
        </w:rPr>
        <w:t>购合同及本公司在投标中所作的一切承诺履约。</w:t>
      </w:r>
    </w:p>
    <w:p w:rsidR="008C0A47">
      <w:pPr>
        <w:spacing w:line="36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9.</w:t>
      </w:r>
      <w:r>
        <w:rPr>
          <w:rFonts w:asciiTheme="majorEastAsia" w:eastAsiaTheme="majorEastAsia" w:hAnsiTheme="majorEastAsia" w:cstheme="majorEastAsia" w:hint="eastAsia"/>
          <w:szCs w:val="21"/>
        </w:rPr>
        <w:t>我单位对本项目的报价负责，中标后将严格按照本项目招标文件需求、签署的采购合同及我单位在投标中所作的全部承诺履行。我单位清楚，若我单位以“报价太低而无法履约”为理由放弃本项目中标资格时，将被财政部门根据实际情况记入供应商诚信档案，且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w:t>
      </w:r>
      <w:r>
        <w:rPr>
          <w:rFonts w:asciiTheme="majorEastAsia" w:eastAsiaTheme="majorEastAsia" w:hAnsiTheme="majorEastAsia" w:cstheme="majorEastAsia" w:hint="eastAsia"/>
          <w:szCs w:val="21"/>
        </w:rPr>
        <w:t>管部门的处理处罚。</w:t>
      </w:r>
    </w:p>
    <w:p w:rsidR="008C0A47">
      <w:pPr>
        <w:spacing w:line="36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10.</w:t>
      </w:r>
      <w:r>
        <w:rPr>
          <w:rFonts w:asciiTheme="majorEastAsia" w:eastAsiaTheme="majorEastAsia" w:hAnsiTheme="majorEastAsia" w:cstheme="majorEastAsia" w:hint="eastAsia"/>
          <w:szCs w:val="21"/>
        </w:rPr>
        <w:t>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w:t>
      </w:r>
      <w:r>
        <w:rPr>
          <w:rFonts w:asciiTheme="majorEastAsia" w:eastAsiaTheme="majorEastAsia" w:hAnsiTheme="majorEastAsia" w:cstheme="majorEastAsia" w:hint="eastAsia"/>
          <w:szCs w:val="21"/>
        </w:rPr>
        <w:t>作出</w:t>
      </w:r>
      <w:r>
        <w:rPr>
          <w:rFonts w:asciiTheme="majorEastAsia" w:eastAsiaTheme="majorEastAsia" w:hAnsiTheme="majorEastAsia" w:cstheme="majorEastAsia" w:hint="eastAsia"/>
          <w:szCs w:val="21"/>
        </w:rPr>
        <w:t>的行政处罚。</w:t>
      </w:r>
    </w:p>
    <w:p w:rsidR="008C0A47">
      <w:pPr>
        <w:spacing w:line="360" w:lineRule="exact"/>
        <w:ind w:firstLine="480" w:firstLineChars="200"/>
        <w:rPr>
          <w:rFonts w:ascii="宋体" w:hAnsi="宋体"/>
        </w:rPr>
      </w:pPr>
      <w:r>
        <w:rPr>
          <w:rFonts w:asciiTheme="majorEastAsia" w:eastAsiaTheme="majorEastAsia" w:hAnsiTheme="majorEastAsia" w:cstheme="majorEastAsia" w:hint="eastAsia"/>
          <w:szCs w:val="21"/>
        </w:rPr>
        <w:t>11.</w:t>
      </w:r>
      <w:r>
        <w:rPr>
          <w:rFonts w:ascii="宋体" w:hAnsi="宋体" w:hint="eastAsia"/>
        </w:rPr>
        <w:t>我单位保证，其所提供的服务在提供给采购人前具有完全的所有权，不会产生因第三方提出的包括但不限于侵犯其专利权、商标权、工业设计权等知识产权和侵犯其所有权、抵押权等物权及其他权利而引发的纠纷；如有纠纷，我单位承担全部责任。</w:t>
      </w:r>
    </w:p>
    <w:p w:rsidR="008C0A47">
      <w:pPr>
        <w:spacing w:line="360" w:lineRule="exact"/>
        <w:ind w:firstLine="480" w:firstLineChars="200"/>
        <w:rPr>
          <w:rFonts w:asciiTheme="majorEastAsia" w:eastAsiaTheme="majorEastAsia" w:hAnsiTheme="majorEastAsia" w:cstheme="majorEastAsia"/>
          <w:szCs w:val="21"/>
        </w:rPr>
      </w:pPr>
      <w:r>
        <w:rPr>
          <w:rFonts w:ascii="宋体" w:hAnsi="宋体" w:hint="eastAsia"/>
        </w:rPr>
        <w:t>12.</w:t>
      </w:r>
      <w:r>
        <w:rPr>
          <w:rFonts w:ascii="宋体" w:hAnsi="宋体" w:hint="eastAsia"/>
          <w:szCs w:val="21"/>
        </w:rPr>
        <w:t>我单位承诺中标后项目</w:t>
      </w:r>
      <w:r>
        <w:rPr>
          <w:rFonts w:ascii="宋体" w:hAnsi="宋体" w:hint="eastAsia"/>
          <w:szCs w:val="21"/>
        </w:rPr>
        <w:t>不</w:t>
      </w:r>
      <w:r>
        <w:rPr>
          <w:rFonts w:ascii="宋体" w:hAnsi="宋体" w:hint="eastAsia"/>
          <w:szCs w:val="21"/>
        </w:rPr>
        <w:t>转包，</w:t>
      </w:r>
      <w:r>
        <w:rPr>
          <w:rFonts w:ascii="宋体" w:hAnsi="宋体" w:hint="eastAsia"/>
          <w:szCs w:val="21"/>
        </w:rPr>
        <w:t>未经采购人同意不进行分包</w:t>
      </w:r>
      <w:r>
        <w:rPr>
          <w:rFonts w:asciiTheme="majorEastAsia" w:eastAsiaTheme="majorEastAsia" w:hAnsiTheme="majorEastAsia" w:cstheme="majorEastAsia" w:hint="eastAsia"/>
          <w:szCs w:val="21"/>
        </w:rPr>
        <w:t>。</w:t>
      </w:r>
    </w:p>
    <w:p w:rsidR="008C0A47">
      <w:pPr>
        <w:spacing w:line="36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以上承诺，如有违反，愿依照国家相关法律处理，并承担由此给采购人带来的损失。</w:t>
      </w:r>
    </w:p>
    <w:p w:rsidR="008C0A47">
      <w:pPr>
        <w:spacing w:line="360" w:lineRule="exact"/>
        <w:ind w:firstLine="5400" w:firstLineChars="2250"/>
        <w:rPr>
          <w:rFonts w:asciiTheme="majorEastAsia" w:eastAsiaTheme="majorEastAsia" w:hAnsiTheme="majorEastAsia" w:cstheme="majorEastAsia"/>
          <w:szCs w:val="21"/>
        </w:rPr>
      </w:pPr>
    </w:p>
    <w:p w:rsidR="008C0A47">
      <w:pPr>
        <w:spacing w:line="360" w:lineRule="exact"/>
        <w:ind w:firstLine="5640" w:firstLineChars="2350"/>
        <w:rPr>
          <w:rFonts w:asciiTheme="majorEastAsia" w:eastAsiaTheme="majorEastAsia" w:hAnsiTheme="majorEastAsia" w:cstheme="majorEastAsia"/>
        </w:rPr>
      </w:pPr>
      <w:r>
        <w:rPr>
          <w:rFonts w:asciiTheme="majorEastAsia" w:eastAsiaTheme="majorEastAsia" w:hAnsiTheme="majorEastAsia" w:cstheme="majorEastAsia" w:hint="eastAsia"/>
          <w:szCs w:val="21"/>
        </w:rPr>
        <w:t>投标人：</w:t>
      </w:r>
    </w:p>
    <w:p w:rsidR="008C0A47">
      <w:pPr>
        <w:spacing w:line="360" w:lineRule="exact"/>
        <w:jc w:val="left"/>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日期：年月日</w:t>
      </w:r>
    </w:p>
    <w:p w:rsidR="008C0A47">
      <w:pPr>
        <w:rPr>
          <w:rFonts w:asciiTheme="majorEastAsia" w:eastAsiaTheme="majorEastAsia" w:hAnsiTheme="majorEastAsia" w:cstheme="majorEastAsia"/>
          <w:szCs w:val="28"/>
        </w:rPr>
      </w:pPr>
      <w:r>
        <w:rPr>
          <w:rFonts w:asciiTheme="majorEastAsia" w:eastAsiaTheme="majorEastAsia" w:hAnsiTheme="majorEastAsia" w:cstheme="majorEastAsia" w:hint="eastAsia"/>
          <w:szCs w:val="28"/>
        </w:rPr>
        <w:br w:type="page"/>
      </w:r>
    </w:p>
    <w:p w:rsidR="008C0A47">
      <w:pPr>
        <w:pStyle w:val="Heading3"/>
        <w:keepNext w:val="0"/>
        <w:keepLines w:val="0"/>
        <w:jc w:val="center"/>
        <w:rPr>
          <w:rFonts w:asciiTheme="majorEastAsia" w:eastAsiaTheme="majorEastAsia" w:hAnsiTheme="majorEastAsia" w:cstheme="majorEastAsia"/>
          <w:szCs w:val="28"/>
        </w:rPr>
      </w:pPr>
      <w:r>
        <w:rPr>
          <w:rFonts w:asciiTheme="majorEastAsia" w:eastAsiaTheme="majorEastAsia" w:hAnsiTheme="majorEastAsia" w:cstheme="majorEastAsia" w:hint="eastAsia"/>
          <w:szCs w:val="28"/>
        </w:rPr>
        <w:t>三、资格证明材料</w:t>
      </w:r>
    </w:p>
    <w:p w:rsidR="008C0A47">
      <w:pPr>
        <w:ind w:firstLine="480" w:firstLineChars="200"/>
        <w:rPr>
          <w:rFonts w:asciiTheme="majorEastAsia" w:eastAsiaTheme="majorEastAsia" w:hAnsiTheme="majorEastAsia" w:cstheme="majorEastAsia"/>
          <w:b/>
          <w:bCs/>
        </w:rPr>
      </w:pPr>
      <w:r>
        <w:rPr>
          <w:rFonts w:asciiTheme="majorEastAsia" w:eastAsiaTheme="majorEastAsia" w:hAnsiTheme="majorEastAsia" w:cstheme="majorEastAsia" w:hint="eastAsia"/>
          <w:b/>
          <w:bCs/>
        </w:rPr>
        <w:t>（一）资质证明文件</w:t>
      </w:r>
    </w:p>
    <w:p w:rsidR="008C0A47">
      <w:pPr>
        <w:ind w:firstLine="480" w:firstLineChars="200"/>
        <w:rPr>
          <w:rFonts w:asciiTheme="minorEastAsia" w:eastAsiaTheme="minorEastAsia" w:hAnsiTheme="minorEastAsia"/>
          <w:b/>
          <w:bCs/>
          <w:color w:val="FF0000"/>
          <w:szCs w:val="21"/>
        </w:rPr>
      </w:pPr>
      <w:r>
        <w:rPr>
          <w:rFonts w:asciiTheme="minorEastAsia" w:eastAsiaTheme="minorEastAsia" w:hAnsiTheme="minorEastAsia" w:hint="eastAsia"/>
          <w:b/>
          <w:bCs/>
          <w:color w:val="FF0000"/>
          <w:szCs w:val="21"/>
        </w:rPr>
        <w:t>（特别提示：投标人须按本招标文件第一章招标公告</w:t>
      </w:r>
      <w:r>
        <w:rPr>
          <w:rFonts w:asciiTheme="minorEastAsia" w:eastAsiaTheme="minorEastAsia" w:hAnsiTheme="minorEastAsia" w:hint="eastAsia"/>
          <w:b/>
          <w:bCs/>
          <w:color w:val="FF0000"/>
          <w:szCs w:val="21"/>
        </w:rPr>
        <w:t xml:space="preserve"> </w:t>
      </w:r>
      <w:r>
        <w:rPr>
          <w:rFonts w:asciiTheme="minorEastAsia" w:eastAsiaTheme="minorEastAsia" w:hAnsiTheme="minorEastAsia" w:hint="eastAsia"/>
          <w:b/>
          <w:bCs/>
          <w:color w:val="FF0000"/>
          <w:szCs w:val="21"/>
        </w:rPr>
        <w:t>“投标人资质要求”提供相关的资质证明，未提供或提供不完整、不符合要求的，投标文件将按无效投标处理。）</w:t>
      </w:r>
    </w:p>
    <w:p w:rsidR="008C0A47">
      <w:pPr>
        <w:ind w:firstLine="480" w:firstLineChars="200"/>
        <w:rPr>
          <w:rFonts w:asciiTheme="majorEastAsia" w:eastAsiaTheme="majorEastAsia" w:hAnsiTheme="majorEastAsia" w:cstheme="majorEastAsia"/>
          <w:b/>
          <w:bCs/>
        </w:rPr>
      </w:pPr>
    </w:p>
    <w:p w:rsidR="008C0A47">
      <w:pPr>
        <w:ind w:firstLine="480" w:firstLineChars="200"/>
        <w:rPr>
          <w:rFonts w:asciiTheme="minorEastAsia" w:eastAsiaTheme="minorEastAsia" w:hAnsiTheme="minorEastAsia"/>
          <w:b/>
          <w:szCs w:val="21"/>
        </w:rPr>
      </w:pPr>
      <w:r>
        <w:rPr>
          <w:rFonts w:asciiTheme="majorEastAsia" w:eastAsiaTheme="majorEastAsia" w:hAnsiTheme="majorEastAsia" w:cstheme="majorEastAsia" w:hint="eastAsia"/>
          <w:b/>
          <w:bCs/>
        </w:rPr>
        <w:t>（二）</w:t>
      </w:r>
      <w:r>
        <w:rPr>
          <w:rFonts w:asciiTheme="minorEastAsia" w:eastAsiaTheme="minorEastAsia" w:hAnsiTheme="minorEastAsia" w:hint="eastAsia"/>
          <w:b/>
          <w:szCs w:val="21"/>
        </w:rPr>
        <w:t>投标人认为需提供的其他证明文件</w:t>
      </w:r>
    </w:p>
    <w:p w:rsidR="008C0A47">
      <w:pPr>
        <w:ind w:left="718" w:hanging="238" w:leftChars="200" w:hangingChars="99"/>
        <w:rPr>
          <w:rFonts w:asciiTheme="majorEastAsia" w:eastAsiaTheme="majorEastAsia" w:hAnsiTheme="majorEastAsia" w:cstheme="majorEastAsia"/>
          <w:b/>
          <w:bCs/>
        </w:rPr>
      </w:pPr>
    </w:p>
    <w:p w:rsidR="008C0A47">
      <w:pPr>
        <w:ind w:firstLine="480" w:firstLineChars="200"/>
        <w:rPr>
          <w:rFonts w:asciiTheme="minorEastAsia" w:eastAsiaTheme="minorEastAsia" w:hAnsiTheme="minorEastAsia"/>
          <w:b/>
          <w:szCs w:val="21"/>
        </w:rPr>
      </w:pPr>
      <w:r>
        <w:rPr>
          <w:rFonts w:asciiTheme="minorEastAsia" w:eastAsiaTheme="minorEastAsia" w:hAnsiTheme="minorEastAsia" w:hint="eastAsia"/>
          <w:b/>
          <w:szCs w:val="21"/>
        </w:rPr>
        <w:t>（三）投标人股东关系构成表</w:t>
      </w:r>
    </w:p>
    <w:tbl>
      <w:tblPr>
        <w:tblStyle w:val="TableNormal"/>
        <w:tblW w:w="85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9"/>
        <w:gridCol w:w="6290"/>
      </w:tblGrid>
      <w:tr>
        <w:tblPrEx>
          <w:tblW w:w="85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trHeight w:val="680"/>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C0A47">
            <w:pPr>
              <w:autoSpaceDE w:val="0"/>
              <w:autoSpaceDN w:val="0"/>
              <w:adjustRightInd w:val="0"/>
              <w:snapToGrid w:val="0"/>
              <w:rPr>
                <w:rFonts w:ascii="宋体" w:hAnsi="宋体"/>
                <w:szCs w:val="21"/>
              </w:rPr>
            </w:pPr>
            <w:r>
              <w:rPr>
                <w:rFonts w:ascii="宋体" w:hAnsi="宋体" w:hint="eastAsia"/>
                <w:szCs w:val="21"/>
              </w:rPr>
              <w:t>投标人名称</w:t>
            </w:r>
          </w:p>
        </w:tc>
        <w:tc>
          <w:tcPr>
            <w:tcW w:w="6290" w:type="dxa"/>
            <w:tcBorders>
              <w:top w:val="single" w:sz="4" w:space="0" w:color="000000"/>
              <w:left w:val="single" w:sz="4" w:space="0" w:color="000000"/>
              <w:bottom w:val="single" w:sz="4" w:space="0" w:color="000000"/>
              <w:right w:val="single" w:sz="4" w:space="0" w:color="000000"/>
            </w:tcBorders>
            <w:vAlign w:val="center"/>
          </w:tcPr>
          <w:p w:rsidR="008C0A47">
            <w:pPr>
              <w:autoSpaceDE w:val="0"/>
              <w:autoSpaceDN w:val="0"/>
              <w:adjustRightInd w:val="0"/>
              <w:snapToGrid w:val="0"/>
              <w:jc w:val="left"/>
              <w:rPr>
                <w:rFonts w:ascii="宋体" w:hAnsi="宋体" w:cs="Segoe UI Symbol"/>
                <w:kern w:val="0"/>
                <w:szCs w:val="21"/>
              </w:rPr>
            </w:pPr>
          </w:p>
        </w:tc>
      </w:tr>
      <w:tr>
        <w:tblPrEx>
          <w:tblW w:w="8529" w:type="dxa"/>
          <w:jc w:val="center"/>
          <w:tblLayout w:type="fixed"/>
          <w:tblLook w:val="04A0"/>
        </w:tblPrEx>
        <w:trPr>
          <w:trHeight w:val="680"/>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C0A47">
            <w:pPr>
              <w:autoSpaceDE w:val="0"/>
              <w:autoSpaceDN w:val="0"/>
              <w:adjustRightInd w:val="0"/>
              <w:snapToGrid w:val="0"/>
              <w:jc w:val="left"/>
              <w:rPr>
                <w:rFonts w:ascii="宋体" w:hAnsi="宋体"/>
                <w:szCs w:val="21"/>
              </w:rPr>
            </w:pPr>
            <w:r>
              <w:rPr>
                <w:rFonts w:ascii="宋体" w:hAnsi="宋体" w:hint="eastAsia"/>
                <w:szCs w:val="21"/>
              </w:rPr>
              <w:t>本单位负责人（法定代表人）姓名</w:t>
            </w:r>
          </w:p>
        </w:tc>
        <w:tc>
          <w:tcPr>
            <w:tcW w:w="6290" w:type="dxa"/>
            <w:tcBorders>
              <w:top w:val="single" w:sz="4" w:space="0" w:color="000000"/>
              <w:left w:val="single" w:sz="4" w:space="0" w:color="000000"/>
              <w:bottom w:val="single" w:sz="4" w:space="0" w:color="000000"/>
              <w:right w:val="single" w:sz="4" w:space="0" w:color="000000"/>
            </w:tcBorders>
            <w:vAlign w:val="center"/>
          </w:tcPr>
          <w:p w:rsidR="008C0A47">
            <w:pPr>
              <w:autoSpaceDE w:val="0"/>
              <w:autoSpaceDN w:val="0"/>
              <w:adjustRightInd w:val="0"/>
              <w:snapToGrid w:val="0"/>
              <w:jc w:val="left"/>
              <w:rPr>
                <w:rFonts w:ascii="宋体" w:hAnsi="宋体" w:cs="Segoe UI Symbol"/>
                <w:kern w:val="0"/>
                <w:szCs w:val="21"/>
              </w:rPr>
            </w:pPr>
          </w:p>
        </w:tc>
      </w:tr>
      <w:tr>
        <w:tblPrEx>
          <w:tblW w:w="8529" w:type="dxa"/>
          <w:jc w:val="center"/>
          <w:tblLayout w:type="fixed"/>
          <w:tblLook w:val="04A0"/>
        </w:tblPrEx>
        <w:trPr>
          <w:trHeight w:val="1417"/>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C0A47">
            <w:pPr>
              <w:autoSpaceDE w:val="0"/>
              <w:autoSpaceDN w:val="0"/>
              <w:adjustRightInd w:val="0"/>
              <w:snapToGrid w:val="0"/>
              <w:jc w:val="left"/>
              <w:rPr>
                <w:rFonts w:ascii="宋体" w:hAnsi="宋体"/>
                <w:szCs w:val="21"/>
              </w:rPr>
            </w:pPr>
            <w:r>
              <w:rPr>
                <w:rFonts w:ascii="宋体" w:hAnsi="宋体" w:hint="eastAsia"/>
                <w:szCs w:val="21"/>
              </w:rPr>
              <w:t>是否存在本单位的控股股东</w:t>
            </w:r>
          </w:p>
        </w:tc>
        <w:tc>
          <w:tcPr>
            <w:tcW w:w="6290" w:type="dxa"/>
            <w:tcBorders>
              <w:top w:val="single" w:sz="4" w:space="0" w:color="000000"/>
              <w:left w:val="single" w:sz="4" w:space="0" w:color="000000"/>
              <w:bottom w:val="single" w:sz="4" w:space="0" w:color="000000"/>
              <w:right w:val="single" w:sz="4" w:space="0" w:color="000000"/>
            </w:tcBorders>
            <w:vAlign w:val="center"/>
          </w:tcPr>
          <w:p w:rsidR="008C0A47">
            <w:pPr>
              <w:autoSpaceDE w:val="0"/>
              <w:autoSpaceDN w:val="0"/>
              <w:adjustRightInd w:val="0"/>
              <w:snapToGrid w:val="0"/>
              <w:jc w:val="left"/>
              <w:rPr>
                <w:rFonts w:ascii="宋体" w:hAnsi="宋体" w:cs="Segoe UI Symbol"/>
                <w:kern w:val="0"/>
                <w:szCs w:val="21"/>
                <w:u w:val="single"/>
              </w:rPr>
            </w:pPr>
            <w:r>
              <w:rPr>
                <w:rFonts w:ascii="宋体" w:hAnsi="宋体" w:cs="Segoe UI Symbol" w:hint="eastAsia"/>
                <w:kern w:val="0"/>
                <w:szCs w:val="21"/>
              </w:rPr>
              <w:t>□是，其控股股东为：，股份占比：；</w:t>
            </w:r>
          </w:p>
          <w:p w:rsidR="008C0A47">
            <w:pPr>
              <w:autoSpaceDE w:val="0"/>
              <w:autoSpaceDN w:val="0"/>
              <w:adjustRightInd w:val="0"/>
              <w:snapToGrid w:val="0"/>
              <w:jc w:val="left"/>
              <w:rPr>
                <w:rFonts w:ascii="宋体" w:hAnsi="宋体" w:cs="Segoe UI Symbol"/>
                <w:kern w:val="0"/>
                <w:szCs w:val="21"/>
              </w:rPr>
            </w:pPr>
            <w:r>
              <w:rPr>
                <w:rFonts w:ascii="宋体" w:hAnsi="宋体" w:cs="Segoe UI Symbol" w:hint="eastAsia"/>
                <w:kern w:val="0"/>
                <w:szCs w:val="21"/>
              </w:rPr>
              <w:t>其他主要股东及其股份占比：。</w:t>
            </w:r>
          </w:p>
          <w:p w:rsidR="008C0A47">
            <w:pPr>
              <w:autoSpaceDE w:val="0"/>
              <w:autoSpaceDN w:val="0"/>
              <w:adjustRightInd w:val="0"/>
              <w:snapToGrid w:val="0"/>
              <w:jc w:val="left"/>
              <w:rPr>
                <w:rFonts w:ascii="宋体" w:hAnsi="宋体"/>
                <w:b/>
                <w:bCs/>
                <w:szCs w:val="21"/>
              </w:rPr>
            </w:pPr>
            <w:r>
              <w:rPr>
                <w:rFonts w:ascii="宋体" w:hAnsi="宋体" w:cs="Segoe UI Symbol" w:hint="eastAsia"/>
                <w:kern w:val="0"/>
                <w:szCs w:val="21"/>
              </w:rPr>
              <w:t>□否</w:t>
            </w:r>
          </w:p>
        </w:tc>
      </w:tr>
      <w:tr>
        <w:tblPrEx>
          <w:tblW w:w="8529" w:type="dxa"/>
          <w:jc w:val="center"/>
          <w:tblLayout w:type="fixed"/>
          <w:tblLook w:val="04A0"/>
        </w:tblPrEx>
        <w:trPr>
          <w:trHeight w:val="1417"/>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C0A47">
            <w:pPr>
              <w:autoSpaceDE w:val="0"/>
              <w:autoSpaceDN w:val="0"/>
              <w:adjustRightInd w:val="0"/>
              <w:snapToGrid w:val="0"/>
              <w:jc w:val="left"/>
              <w:rPr>
                <w:rFonts w:ascii="宋体" w:hAnsi="宋体"/>
                <w:szCs w:val="21"/>
              </w:rPr>
            </w:pPr>
            <w:r>
              <w:rPr>
                <w:rFonts w:ascii="宋体" w:hAnsi="宋体" w:hint="eastAsia"/>
                <w:szCs w:val="21"/>
              </w:rPr>
              <w:t>是否存在“与本单位存在管理关系的单位”</w:t>
            </w:r>
          </w:p>
        </w:tc>
        <w:tc>
          <w:tcPr>
            <w:tcW w:w="6290" w:type="dxa"/>
            <w:tcBorders>
              <w:top w:val="single" w:sz="4" w:space="0" w:color="000000"/>
              <w:left w:val="single" w:sz="4" w:space="0" w:color="000000"/>
              <w:bottom w:val="single" w:sz="4" w:space="0" w:color="000000"/>
              <w:right w:val="single" w:sz="4" w:space="0" w:color="000000"/>
            </w:tcBorders>
            <w:vAlign w:val="center"/>
          </w:tcPr>
          <w:p w:rsidR="008C0A47">
            <w:pPr>
              <w:autoSpaceDE w:val="0"/>
              <w:autoSpaceDN w:val="0"/>
              <w:adjustRightInd w:val="0"/>
              <w:snapToGrid w:val="0"/>
              <w:jc w:val="left"/>
              <w:rPr>
                <w:rFonts w:ascii="宋体" w:hAnsi="宋体" w:cs="Segoe UI Symbol"/>
                <w:kern w:val="0"/>
                <w:szCs w:val="21"/>
                <w:u w:val="single"/>
              </w:rPr>
            </w:pPr>
            <w:r>
              <w:rPr>
                <w:rFonts w:ascii="宋体" w:hAnsi="宋体" w:cs="Segoe UI Symbol" w:hint="eastAsia"/>
                <w:kern w:val="0"/>
                <w:szCs w:val="21"/>
              </w:rPr>
              <w:t>□是，该单位为：</w:t>
            </w:r>
          </w:p>
          <w:p w:rsidR="008C0A47">
            <w:pPr>
              <w:autoSpaceDE w:val="0"/>
              <w:autoSpaceDN w:val="0"/>
              <w:adjustRightInd w:val="0"/>
              <w:snapToGrid w:val="0"/>
              <w:jc w:val="left"/>
              <w:rPr>
                <w:rFonts w:ascii="宋体" w:hAnsi="宋体"/>
                <w:b/>
                <w:bCs/>
                <w:szCs w:val="21"/>
              </w:rPr>
            </w:pPr>
            <w:r>
              <w:rPr>
                <w:rFonts w:ascii="宋体" w:hAnsi="宋体" w:cs="Segoe UI Symbol" w:hint="eastAsia"/>
                <w:kern w:val="0"/>
                <w:szCs w:val="21"/>
              </w:rPr>
              <w:t>□否</w:t>
            </w:r>
          </w:p>
        </w:tc>
      </w:tr>
    </w:tbl>
    <w:p w:rsidR="008C0A47">
      <w:pPr>
        <w:autoSpaceDE w:val="0"/>
        <w:autoSpaceDN w:val="0"/>
        <w:adjustRightInd w:val="0"/>
        <w:snapToGrid w:val="0"/>
        <w:jc w:val="left"/>
        <w:rPr>
          <w:rFonts w:ascii="宋体" w:hAnsi="宋体"/>
          <w:b/>
          <w:bCs/>
          <w:szCs w:val="21"/>
        </w:rPr>
      </w:pPr>
      <w:r>
        <w:rPr>
          <w:rFonts w:ascii="宋体" w:hAnsi="宋体" w:hint="eastAsia"/>
          <w:b/>
          <w:bCs/>
          <w:szCs w:val="21"/>
        </w:rPr>
        <w:t>注：</w:t>
      </w:r>
    </w:p>
    <w:p w:rsidR="008C0A47">
      <w:pPr>
        <w:autoSpaceDE w:val="0"/>
        <w:autoSpaceDN w:val="0"/>
        <w:adjustRightInd w:val="0"/>
        <w:snapToGrid w:val="0"/>
        <w:jc w:val="left"/>
        <w:rPr>
          <w:rFonts w:ascii="宋体" w:hAnsi="宋体"/>
          <w:bCs/>
          <w:szCs w:val="21"/>
        </w:rPr>
      </w:pPr>
      <w:r>
        <w:rPr>
          <w:rFonts w:ascii="宋体" w:hAnsi="宋体" w:hint="eastAsia"/>
          <w:bCs/>
          <w:szCs w:val="21"/>
        </w:rPr>
        <w:t>1</w:t>
      </w:r>
      <w:r>
        <w:rPr>
          <w:rFonts w:ascii="宋体" w:hAnsi="宋体" w:hint="eastAsia"/>
          <w:bCs/>
          <w:szCs w:val="21"/>
        </w:rPr>
        <w:t>、</w:t>
      </w:r>
      <w:r>
        <w:rPr>
          <w:rFonts w:ascii="宋体" w:hAnsi="宋体"/>
          <w:bCs/>
          <w:szCs w:val="21"/>
        </w:rPr>
        <w:t>根据财政部编著的释义，单位负责人，是指单位法定代表人或者法律、行政法规规定代表单位行使职权的主要负责人。控股关系，是指单位或个人股东的控股关系。控股股东，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管理关系，是指不具有出资持股关系的其他单位之间存在的管理与被管理关系，如一些上下级关系的事业单位和团体组织。上述规定</w:t>
      </w:r>
      <w:r>
        <w:rPr>
          <w:rFonts w:ascii="宋体" w:hAnsi="宋体"/>
          <w:bCs/>
          <w:szCs w:val="21"/>
        </w:rPr>
        <w:t>的控股、管理关系仅限于直接控股、直接管理关系，不包括间接的控股或管理关系。</w:t>
      </w:r>
    </w:p>
    <w:p w:rsidR="008C0A47">
      <w:pPr>
        <w:autoSpaceDE w:val="0"/>
        <w:autoSpaceDN w:val="0"/>
        <w:adjustRightInd w:val="0"/>
        <w:snapToGrid w:val="0"/>
        <w:jc w:val="left"/>
        <w:rPr>
          <w:rFonts w:ascii="宋体" w:hAnsi="宋体"/>
          <w:bCs/>
          <w:szCs w:val="21"/>
        </w:rPr>
      </w:pPr>
      <w:r>
        <w:rPr>
          <w:rFonts w:ascii="宋体" w:hAnsi="宋体" w:hint="eastAsia"/>
          <w:bCs/>
          <w:szCs w:val="21"/>
        </w:rPr>
        <w:t>2</w:t>
      </w:r>
      <w:r>
        <w:rPr>
          <w:rFonts w:ascii="宋体" w:hAnsi="宋体" w:hint="eastAsia"/>
          <w:bCs/>
          <w:szCs w:val="21"/>
        </w:rPr>
        <w:t>、投标人需如实填写上述信息，如查实上述信息与实际不符，视为提供虚假证明材料骗取中标，投标人应承担相应法律后果。</w:t>
      </w:r>
    </w:p>
    <w:p w:rsidR="008C0A47">
      <w:pPr>
        <w:rPr>
          <w:rFonts w:asciiTheme="majorEastAsia" w:eastAsiaTheme="majorEastAsia" w:hAnsiTheme="majorEastAsia" w:cstheme="majorEastAsia"/>
          <w:szCs w:val="28"/>
        </w:rPr>
      </w:pPr>
      <w:r>
        <w:rPr>
          <w:rFonts w:asciiTheme="majorEastAsia" w:eastAsiaTheme="majorEastAsia" w:hAnsiTheme="majorEastAsia" w:cstheme="majorEastAsia" w:hint="eastAsia"/>
          <w:szCs w:val="28"/>
        </w:rPr>
        <w:br w:type="page"/>
      </w:r>
    </w:p>
    <w:p w:rsidR="008C0A47">
      <w:pPr>
        <w:pStyle w:val="Heading3"/>
        <w:keepNext w:val="0"/>
        <w:keepLines w:val="0"/>
        <w:jc w:val="center"/>
        <w:rPr>
          <w:rFonts w:asciiTheme="majorEastAsia" w:eastAsiaTheme="majorEastAsia" w:hAnsiTheme="majorEastAsia" w:cstheme="majorEastAsia"/>
          <w:szCs w:val="28"/>
        </w:rPr>
      </w:pPr>
      <w:r>
        <w:rPr>
          <w:rFonts w:asciiTheme="majorEastAsia" w:eastAsiaTheme="majorEastAsia" w:hAnsiTheme="majorEastAsia" w:cstheme="majorEastAsia" w:hint="eastAsia"/>
          <w:szCs w:val="28"/>
        </w:rPr>
        <w:t>四、中小企业、残疾人福利性单位及监狱企业声明函（可选项）</w:t>
      </w:r>
    </w:p>
    <w:p w:rsidR="008C0A47">
      <w:pPr>
        <w:spacing w:line="460" w:lineRule="exact"/>
        <w:ind w:firstLine="480" w:firstLineChars="200"/>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填写指引：</w:t>
      </w:r>
    </w:p>
    <w:p w:rsidR="008C0A47">
      <w:pPr>
        <w:spacing w:line="460" w:lineRule="exact"/>
        <w:ind w:firstLine="480" w:firstLineChars="200"/>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hint="eastAsia"/>
          <w:szCs w:val="21"/>
        </w:rPr>
        <w:t>、该部分内容供填写</w:t>
      </w:r>
      <w:r>
        <w:rPr>
          <w:rFonts w:asciiTheme="minorEastAsia" w:eastAsiaTheme="minorEastAsia" w:hAnsiTheme="minorEastAsia"/>
          <w:szCs w:val="21"/>
        </w:rPr>
        <w:t>参考，</w:t>
      </w:r>
      <w:r>
        <w:rPr>
          <w:rFonts w:asciiTheme="minorEastAsia" w:eastAsiaTheme="minorEastAsia" w:hAnsiTheme="minorEastAsia" w:hint="eastAsia"/>
          <w:szCs w:val="21"/>
        </w:rPr>
        <w:t>由供应商根据项目</w:t>
      </w:r>
      <w:r>
        <w:rPr>
          <w:rFonts w:asciiTheme="minorEastAsia" w:eastAsiaTheme="minorEastAsia" w:hAnsiTheme="minorEastAsia"/>
          <w:szCs w:val="21"/>
        </w:rPr>
        <w:t>特点和</w:t>
      </w:r>
      <w:r>
        <w:rPr>
          <w:rFonts w:asciiTheme="minorEastAsia" w:eastAsiaTheme="minorEastAsia" w:hAnsiTheme="minorEastAsia" w:hint="eastAsia"/>
          <w:szCs w:val="21"/>
        </w:rPr>
        <w:t>自身实际情况填写，不符合要求的供应商可以不填写或直接删除相应的声明函。投标人自行对声明内容的真实性负责；如提供虚假声明，将报送主管部门进行行政处罚。</w:t>
      </w:r>
    </w:p>
    <w:p w:rsidR="008C0A47">
      <w:pPr>
        <w:spacing w:line="460" w:lineRule="exact"/>
        <w:ind w:firstLine="480" w:firstLineChars="200"/>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hint="eastAsia"/>
          <w:szCs w:val="21"/>
        </w:rPr>
        <w:t>、请依照提供的格式和内容填写声明函，</w:t>
      </w:r>
      <w:r>
        <w:rPr>
          <w:rFonts w:asciiTheme="minorEastAsia" w:eastAsiaTheme="minorEastAsia" w:hAnsiTheme="minorEastAsia" w:hint="eastAsia"/>
          <w:szCs w:val="21"/>
        </w:rPr>
        <w:t>声明函不需要</w:t>
      </w:r>
      <w:r>
        <w:rPr>
          <w:rFonts w:asciiTheme="minorEastAsia" w:eastAsiaTheme="minorEastAsia" w:hAnsiTheme="minorEastAsia" w:hint="eastAsia"/>
          <w:szCs w:val="21"/>
        </w:rPr>
        <w:t>盖章或签字；满足多项优惠政策的企业，不重复享受多项价格扣除政策。</w:t>
      </w:r>
    </w:p>
    <w:p w:rsidR="008C0A47">
      <w:pPr>
        <w:spacing w:line="460" w:lineRule="exact"/>
        <w:ind w:firstLine="480" w:firstLineChars="20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3</w:t>
      </w:r>
      <w:r>
        <w:rPr>
          <w:rFonts w:asciiTheme="minorEastAsia" w:eastAsiaTheme="minorEastAsia" w:hAnsiTheme="minorEastAsia" w:hint="eastAsia"/>
          <w:color w:val="FF0000"/>
          <w:szCs w:val="21"/>
        </w:rPr>
        <w:t>、本项目采购标的对应的中小企业划分标准所属行业为</w:t>
      </w:r>
      <w:r>
        <w:rPr>
          <w:rFonts w:asciiTheme="minorEastAsia" w:eastAsiaTheme="minorEastAsia" w:hAnsiTheme="minorEastAsia" w:hint="eastAsia"/>
          <w:b/>
          <w:color w:val="FF0000"/>
          <w:szCs w:val="21"/>
          <w:u w:val="single"/>
        </w:rPr>
        <w:t>租赁和商务服务业</w:t>
      </w:r>
      <w:r>
        <w:rPr>
          <w:rFonts w:asciiTheme="minorEastAsia" w:eastAsiaTheme="minorEastAsia" w:hAnsiTheme="minorEastAsia" w:hint="eastAsia"/>
          <w:color w:val="FF0000"/>
          <w:szCs w:val="21"/>
        </w:rPr>
        <w:t>；</w:t>
      </w:r>
    </w:p>
    <w:p w:rsidR="008C0A47">
      <w:pPr>
        <w:spacing w:line="460" w:lineRule="exact"/>
        <w:ind w:firstLine="480" w:firstLineChars="200"/>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hint="eastAsia"/>
          <w:szCs w:val="21"/>
        </w:rPr>
        <w:t>、声明是残疾人福利性单位、监狱企业须填写《残疾人福利性单位声明函》《监狱企业声明函》。</w:t>
      </w:r>
    </w:p>
    <w:p w:rsidR="008C0A47">
      <w:pPr>
        <w:spacing w:line="460" w:lineRule="exact"/>
        <w:ind w:firstLine="480" w:firstLineChars="200"/>
        <w:rPr>
          <w:rFonts w:ascii="黑体" w:eastAsia="黑体" w:hAnsi="宋体"/>
          <w:b/>
          <w:bCs/>
          <w:kern w:val="0"/>
          <w:szCs w:val="21"/>
        </w:rPr>
      </w:pPr>
      <w:r>
        <w:rPr>
          <w:rFonts w:asciiTheme="minorEastAsia" w:eastAsiaTheme="minorEastAsia" w:hAnsiTheme="minorEastAsia" w:hint="eastAsia"/>
          <w:szCs w:val="21"/>
        </w:rPr>
        <w:t>5</w:t>
      </w:r>
      <w:r>
        <w:rPr>
          <w:rFonts w:asciiTheme="minorEastAsia" w:eastAsiaTheme="minorEastAsia" w:hAnsiTheme="minorEastAsia" w:hint="eastAsia"/>
          <w:szCs w:val="21"/>
        </w:rPr>
        <w:t>、声明函的有效性最终由评审委员会判定；如评审委员会判定声明函无效，相关供应商不享受价格扣除（但不作投标无效处理）。</w:t>
      </w:r>
    </w:p>
    <w:p w:rsidR="008C0A47">
      <w:pPr>
        <w:spacing w:line="460" w:lineRule="exact"/>
        <w:ind w:firstLine="480" w:firstLineChars="200"/>
        <w:rPr>
          <w:rFonts w:asciiTheme="minorEastAsia" w:eastAsiaTheme="minorEastAsia" w:hAnsiTheme="minorEastAsia"/>
          <w:sz w:val="24"/>
        </w:rPr>
      </w:pPr>
    </w:p>
    <w:p w:rsidR="008C0A47">
      <w:pPr>
        <w:pStyle w:val="Heading4"/>
        <w:keepNext w:val="0"/>
        <w:keepLines w:val="0"/>
        <w:spacing w:before="0" w:after="120" w:line="4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（一）中小企业声明函（样表）</w:t>
      </w:r>
    </w:p>
    <w:p w:rsidR="008C0A47">
      <w:pPr>
        <w:spacing w:line="460" w:lineRule="exact"/>
        <w:ind w:firstLine="480" w:firstLineChars="200"/>
        <w:rPr>
          <w:rFonts w:ascii="宋体" w:hAnsi="宋体" w:cs="宋体"/>
          <w:szCs w:val="21"/>
        </w:rPr>
      </w:pPr>
      <w:r>
        <w:rPr>
          <w:rFonts w:ascii="宋体" w:hAnsi="宋体" w:cs="宋体" w:hint="eastAsia"/>
          <w:szCs w:val="21"/>
        </w:rPr>
        <w:t>本</w:t>
      </w:r>
      <w:r>
        <w:rPr>
          <w:rFonts w:asciiTheme="minorEastAsia" w:eastAsiaTheme="minorEastAsia" w:hAnsiTheme="minorEastAsia" w:hint="eastAsia"/>
          <w:szCs w:val="21"/>
        </w:rPr>
        <w:t>公司</w:t>
      </w:r>
      <w:r>
        <w:rPr>
          <w:rFonts w:ascii="宋体" w:hAnsi="宋体" w:cs="宋体" w:hint="eastAsia"/>
          <w:szCs w:val="21"/>
        </w:rPr>
        <w:t>（联合体）郑重声明，根据《政府采购促进中小企业发展管理办法》（财库〔</w:t>
      </w:r>
      <w:r>
        <w:rPr>
          <w:rFonts w:ascii="宋体" w:hAnsi="宋体" w:cs="宋体" w:hint="eastAsia"/>
          <w:szCs w:val="21"/>
        </w:rPr>
        <w:t>2020</w:t>
      </w:r>
      <w:r>
        <w:rPr>
          <w:rFonts w:ascii="宋体" w:hAnsi="宋体" w:cs="宋体" w:hint="eastAsia"/>
          <w:szCs w:val="21"/>
        </w:rPr>
        <w:t>〕</w:t>
      </w:r>
      <w:r>
        <w:rPr>
          <w:rFonts w:ascii="宋体" w:hAnsi="宋体" w:cs="宋体" w:hint="eastAsia"/>
          <w:szCs w:val="21"/>
        </w:rPr>
        <w:t>46</w:t>
      </w:r>
      <w:r>
        <w:rPr>
          <w:rFonts w:ascii="宋体" w:hAnsi="宋体" w:cs="宋体" w:hint="eastAsia"/>
          <w:szCs w:val="21"/>
        </w:rPr>
        <w:t>号）的规定，本公司（联合体）参加</w:t>
      </w:r>
      <w:r>
        <w:rPr>
          <w:rFonts w:ascii="宋体" w:hAnsi="宋体" w:cs="宋体" w:hint="eastAsia"/>
          <w:szCs w:val="21"/>
          <w:u w:val="single"/>
        </w:rPr>
        <w:t>（单位名称）</w:t>
      </w:r>
      <w:r>
        <w:rPr>
          <w:rFonts w:ascii="宋体" w:hAnsi="宋体" w:cs="宋体" w:hint="eastAsia"/>
          <w:szCs w:val="21"/>
        </w:rPr>
        <w:t>的</w:t>
      </w:r>
      <w:r>
        <w:rPr>
          <w:rFonts w:ascii="宋体" w:hAnsi="宋体" w:cs="宋体" w:hint="eastAsia"/>
          <w:szCs w:val="21"/>
          <w:u w:val="single"/>
        </w:rPr>
        <w:t>（项目名称）</w:t>
      </w:r>
      <w:r>
        <w:rPr>
          <w:rFonts w:ascii="宋体" w:hAnsi="宋体" w:cs="宋体" w:hint="eastAsia"/>
          <w:szCs w:val="21"/>
        </w:rPr>
        <w:t>采购活动，服务全部由符合政策要求的中小企业承接。相关企业（含联合体中的中小企业、签订分包意向协议的中小企业）的具体情况如下：</w:t>
      </w:r>
    </w:p>
    <w:p w:rsidR="008C0A47">
      <w:pPr>
        <w:spacing w:line="460" w:lineRule="exact"/>
        <w:ind w:firstLine="480" w:firstLineChars="200"/>
        <w:jc w:val="left"/>
        <w:rPr>
          <w:rFonts w:ascii="宋体" w:hAnsi="宋体" w:cs="宋体"/>
          <w:szCs w:val="21"/>
        </w:rPr>
      </w:pPr>
      <w:r>
        <w:rPr>
          <w:rFonts w:ascii="宋体" w:hAnsi="宋体" w:cs="宋体" w:hint="eastAsia"/>
          <w:szCs w:val="21"/>
        </w:rPr>
        <w:t>1.</w:t>
      </w:r>
      <w:r>
        <w:rPr>
          <w:rFonts w:ascii="宋体" w:hAnsi="宋体" w:cs="宋体" w:hint="eastAsia"/>
          <w:szCs w:val="21"/>
          <w:u w:val="single"/>
        </w:rPr>
        <w:t>（标的名称）</w:t>
      </w:r>
      <w:r>
        <w:rPr>
          <w:rFonts w:ascii="宋体" w:hAnsi="宋体" w:cs="宋体" w:hint="eastAsia"/>
          <w:szCs w:val="21"/>
        </w:rPr>
        <w:t>，属于</w:t>
      </w:r>
      <w:r>
        <w:rPr>
          <w:rFonts w:ascii="宋体" w:hAnsi="宋体" w:cs="宋体" w:hint="eastAsia"/>
          <w:szCs w:val="21"/>
          <w:u w:val="single"/>
        </w:rPr>
        <w:t>（采购文件中明确的所属行业）</w:t>
      </w:r>
      <w:r>
        <w:rPr>
          <w:rFonts w:ascii="宋体" w:hAnsi="宋体" w:cs="宋体" w:hint="eastAsia"/>
          <w:szCs w:val="21"/>
        </w:rPr>
        <w:t>；承接企业为</w:t>
      </w:r>
      <w:r>
        <w:rPr>
          <w:rFonts w:ascii="宋体" w:hAnsi="宋体" w:cs="宋体" w:hint="eastAsia"/>
          <w:szCs w:val="21"/>
          <w:u w:val="single"/>
        </w:rPr>
        <w:t>（企业名称）</w:t>
      </w:r>
      <w:r>
        <w:rPr>
          <w:rFonts w:ascii="宋体" w:hAnsi="宋体" w:cs="宋体" w:hint="eastAsia"/>
          <w:szCs w:val="21"/>
        </w:rPr>
        <w:t>，从业人员人，营业收入为万元，资产总额为万元，属于</w:t>
      </w:r>
      <w:r>
        <w:rPr>
          <w:rFonts w:ascii="宋体" w:hAnsi="宋体" w:cs="宋体" w:hint="eastAsia"/>
          <w:szCs w:val="21"/>
          <w:u w:val="single"/>
        </w:rPr>
        <w:t>（中型企业、小型企业、微型企业）</w:t>
      </w:r>
      <w:r>
        <w:rPr>
          <w:rFonts w:ascii="宋体" w:hAnsi="宋体" w:cs="宋体" w:hint="eastAsia"/>
          <w:szCs w:val="21"/>
        </w:rPr>
        <w:t>；</w:t>
      </w:r>
    </w:p>
    <w:p w:rsidR="008C0A47">
      <w:pPr>
        <w:spacing w:line="460" w:lineRule="exact"/>
        <w:ind w:firstLine="480" w:firstLineChars="200"/>
        <w:jc w:val="left"/>
        <w:rPr>
          <w:rFonts w:ascii="宋体" w:hAnsi="宋体" w:cs="宋体"/>
          <w:szCs w:val="21"/>
        </w:rPr>
      </w:pPr>
      <w:r>
        <w:rPr>
          <w:rFonts w:ascii="宋体" w:hAnsi="宋体" w:cs="宋体" w:hint="eastAsia"/>
          <w:szCs w:val="21"/>
        </w:rPr>
        <w:t>2.</w:t>
      </w:r>
      <w:r>
        <w:rPr>
          <w:rFonts w:ascii="宋体" w:hAnsi="宋体" w:cs="宋体" w:hint="eastAsia"/>
          <w:szCs w:val="21"/>
          <w:u w:val="single"/>
        </w:rPr>
        <w:t xml:space="preserve"> </w:t>
      </w:r>
      <w:r>
        <w:rPr>
          <w:rFonts w:ascii="宋体" w:hAnsi="宋体" w:cs="宋体" w:hint="eastAsia"/>
          <w:szCs w:val="21"/>
          <w:u w:val="single"/>
        </w:rPr>
        <w:t>（标的名称）</w:t>
      </w:r>
      <w:r>
        <w:rPr>
          <w:rFonts w:ascii="宋体" w:hAnsi="宋体" w:cs="宋体" w:hint="eastAsia"/>
          <w:szCs w:val="21"/>
        </w:rPr>
        <w:t>，属于</w:t>
      </w:r>
      <w:r>
        <w:rPr>
          <w:rFonts w:ascii="宋体" w:hAnsi="宋体" w:cs="宋体" w:hint="eastAsia"/>
          <w:szCs w:val="21"/>
          <w:u w:val="single"/>
        </w:rPr>
        <w:t>（采购文件中明确的所属行业）</w:t>
      </w:r>
      <w:r>
        <w:rPr>
          <w:rFonts w:ascii="宋体" w:hAnsi="宋体" w:cs="宋体" w:hint="eastAsia"/>
          <w:szCs w:val="21"/>
        </w:rPr>
        <w:t>；承接企业为</w:t>
      </w:r>
      <w:r>
        <w:rPr>
          <w:rFonts w:ascii="宋体" w:hAnsi="宋体" w:cs="宋体" w:hint="eastAsia"/>
          <w:szCs w:val="21"/>
          <w:u w:val="single"/>
        </w:rPr>
        <w:t>（企业名称）</w:t>
      </w:r>
      <w:r>
        <w:rPr>
          <w:rFonts w:ascii="宋体" w:hAnsi="宋体" w:cs="宋体" w:hint="eastAsia"/>
          <w:szCs w:val="21"/>
        </w:rPr>
        <w:t>，从业人员</w:t>
      </w:r>
      <w:r>
        <w:rPr>
          <w:rFonts w:ascii="宋体" w:hAnsi="宋体" w:cs="宋体" w:hint="eastAsia"/>
          <w:szCs w:val="21"/>
        </w:rPr>
        <w:t>人，营业收入为万元，资产总额为万元，属于</w:t>
      </w:r>
      <w:r>
        <w:rPr>
          <w:rFonts w:ascii="宋体" w:hAnsi="宋体" w:cs="宋体" w:hint="eastAsia"/>
          <w:szCs w:val="21"/>
          <w:u w:val="single"/>
        </w:rPr>
        <w:t>（中型企业、小型企业、微型企业）</w:t>
      </w:r>
      <w:r>
        <w:rPr>
          <w:rFonts w:ascii="宋体" w:hAnsi="宋体" w:cs="宋体" w:hint="eastAsia"/>
          <w:szCs w:val="21"/>
        </w:rPr>
        <w:t>；</w:t>
      </w:r>
    </w:p>
    <w:p w:rsidR="008C0A47">
      <w:pPr>
        <w:spacing w:line="460" w:lineRule="exact"/>
        <w:ind w:firstLine="480" w:firstLineChars="200"/>
        <w:jc w:val="left"/>
        <w:rPr>
          <w:rFonts w:ascii="宋体" w:hAnsi="宋体" w:cs="宋体"/>
          <w:szCs w:val="21"/>
        </w:rPr>
      </w:pPr>
      <w:r>
        <w:rPr>
          <w:rFonts w:ascii="宋体" w:hAnsi="宋体" w:cs="宋体" w:hint="eastAsia"/>
          <w:szCs w:val="21"/>
        </w:rPr>
        <w:t>……</w:t>
      </w:r>
    </w:p>
    <w:p w:rsidR="008C0A47">
      <w:pPr>
        <w:spacing w:line="460" w:lineRule="exact"/>
        <w:ind w:firstLine="480" w:firstLineChars="200"/>
        <w:jc w:val="left"/>
        <w:rPr>
          <w:rFonts w:ascii="宋体" w:hAnsi="宋体" w:cs="宋体"/>
          <w:szCs w:val="21"/>
        </w:rPr>
      </w:pPr>
      <w:r>
        <w:rPr>
          <w:rFonts w:ascii="宋体" w:hAnsi="宋体" w:cs="宋体" w:hint="eastAsia"/>
          <w:szCs w:val="21"/>
        </w:rPr>
        <w:t>以上企业，不属于大企业的分支机构，不存在控股股东为大企业的情形，也不存在与大企业的负责人为同一人的情形。</w:t>
      </w:r>
    </w:p>
    <w:p w:rsidR="008C0A47">
      <w:pPr>
        <w:spacing w:line="460" w:lineRule="exact"/>
        <w:ind w:firstLine="480" w:firstLineChars="200"/>
        <w:jc w:val="left"/>
        <w:rPr>
          <w:rFonts w:ascii="宋体" w:hAnsi="宋体" w:eastAsiaTheme="majorEastAsia" w:cs="宋体"/>
          <w:szCs w:val="21"/>
        </w:rPr>
      </w:pPr>
    </w:p>
    <w:p w:rsidR="008C0A47">
      <w:pPr>
        <w:spacing w:line="440" w:lineRule="exact"/>
        <w:ind w:firstLine="480" w:firstLineChars="200"/>
        <w:jc w:val="left"/>
        <w:rPr>
          <w:rFonts w:ascii="宋体" w:hAnsi="宋体" w:cs="宋体"/>
          <w:szCs w:val="21"/>
        </w:rPr>
      </w:pPr>
      <w:r>
        <w:rPr>
          <w:rFonts w:ascii="宋体" w:hAnsi="宋体" w:cs="宋体" w:hint="eastAsia"/>
          <w:szCs w:val="21"/>
        </w:rPr>
        <w:t>本企业已知悉《政府采购促进中小企业发展管理办法》（财库〔</w:t>
      </w:r>
      <w:r>
        <w:rPr>
          <w:rFonts w:ascii="宋体" w:hAnsi="宋体" w:cs="宋体" w:hint="eastAsia"/>
          <w:szCs w:val="21"/>
        </w:rPr>
        <w:t>2020</w:t>
      </w:r>
      <w:r>
        <w:rPr>
          <w:rFonts w:ascii="宋体" w:hAnsi="宋体" w:cs="宋体" w:hint="eastAsia"/>
          <w:szCs w:val="21"/>
        </w:rPr>
        <w:t>〕</w:t>
      </w:r>
      <w:r>
        <w:rPr>
          <w:rFonts w:ascii="宋体" w:hAnsi="宋体" w:cs="宋体" w:hint="eastAsia"/>
          <w:szCs w:val="21"/>
        </w:rPr>
        <w:t xml:space="preserve">46 </w:t>
      </w:r>
      <w:r>
        <w:rPr>
          <w:rFonts w:ascii="宋体" w:hAnsi="宋体" w:cs="宋体" w:hint="eastAsia"/>
          <w:szCs w:val="21"/>
        </w:rPr>
        <w:t>号）、《中小企业划型标准规定》（工信</w:t>
      </w:r>
      <w:r>
        <w:rPr>
          <w:rFonts w:ascii="宋体" w:hAnsi="宋体" w:cs="宋体" w:hint="eastAsia"/>
          <w:szCs w:val="21"/>
        </w:rPr>
        <w:t>部联企〔</w:t>
      </w:r>
      <w:r>
        <w:rPr>
          <w:rFonts w:ascii="宋体" w:hAnsi="宋体" w:cs="宋体" w:hint="eastAsia"/>
          <w:szCs w:val="21"/>
        </w:rPr>
        <w:t>2011</w:t>
      </w:r>
      <w:r>
        <w:rPr>
          <w:rFonts w:ascii="宋体" w:hAnsi="宋体" w:cs="宋体" w:hint="eastAsia"/>
          <w:szCs w:val="21"/>
        </w:rPr>
        <w:t>〕</w:t>
      </w:r>
      <w:r>
        <w:rPr>
          <w:rFonts w:ascii="宋体" w:hAnsi="宋体" w:cs="宋体" w:hint="eastAsia"/>
          <w:szCs w:val="21"/>
        </w:rPr>
        <w:t xml:space="preserve">300 </w:t>
      </w:r>
      <w:r>
        <w:rPr>
          <w:rFonts w:ascii="宋体" w:hAnsi="宋体" w:cs="宋体" w:hint="eastAsia"/>
          <w:szCs w:val="21"/>
        </w:rPr>
        <w:t>号）、《统计上大中小微型企业划分办法（</w:t>
      </w:r>
      <w:r>
        <w:rPr>
          <w:rFonts w:ascii="宋体" w:hAnsi="宋体" w:cs="宋体" w:hint="eastAsia"/>
          <w:szCs w:val="21"/>
        </w:rPr>
        <w:t>2017</w:t>
      </w:r>
      <w:r>
        <w:rPr>
          <w:rFonts w:ascii="宋体" w:hAnsi="宋体" w:cs="宋体" w:hint="eastAsia"/>
          <w:szCs w:val="21"/>
        </w:rPr>
        <w:t>）》等规定，承诺提供的声明</w:t>
      </w:r>
      <w:r>
        <w:rPr>
          <w:rFonts w:ascii="宋体" w:hAnsi="宋体" w:cs="宋体" w:hint="eastAsia"/>
          <w:szCs w:val="21"/>
        </w:rPr>
        <w:t>函内容</w:t>
      </w:r>
      <w:r>
        <w:rPr>
          <w:rFonts w:ascii="宋体" w:hAnsi="宋体" w:cs="宋体" w:hint="eastAsia"/>
          <w:szCs w:val="21"/>
        </w:rPr>
        <w:t>是真实的，并知悉根据《政府采购促进中小企业</w:t>
      </w:r>
      <w:r>
        <w:rPr>
          <w:rFonts w:ascii="宋体" w:hAnsi="宋体" w:cs="宋体" w:hint="eastAsia"/>
          <w:szCs w:val="21"/>
        </w:rPr>
        <w:t>发展管理办法》（财库〔</w:t>
      </w:r>
      <w:r>
        <w:rPr>
          <w:rFonts w:ascii="宋体" w:hAnsi="宋体" w:cs="宋体" w:hint="eastAsia"/>
          <w:szCs w:val="21"/>
        </w:rPr>
        <w:t>2020</w:t>
      </w:r>
      <w:r>
        <w:rPr>
          <w:rFonts w:ascii="宋体" w:hAnsi="宋体" w:cs="宋体" w:hint="eastAsia"/>
          <w:szCs w:val="21"/>
        </w:rPr>
        <w:t>〕</w:t>
      </w:r>
      <w:r>
        <w:rPr>
          <w:rFonts w:ascii="宋体" w:hAnsi="宋体" w:cs="宋体" w:hint="eastAsia"/>
          <w:szCs w:val="21"/>
        </w:rPr>
        <w:t xml:space="preserve">46 </w:t>
      </w:r>
      <w:r>
        <w:rPr>
          <w:rFonts w:ascii="宋体" w:hAnsi="宋体" w:cs="宋体" w:hint="eastAsia"/>
          <w:szCs w:val="21"/>
        </w:rPr>
        <w:t>号）第二十条规定，供应</w:t>
      </w:r>
      <w:r>
        <w:rPr>
          <w:rFonts w:ascii="宋体" w:hAnsi="宋体" w:cs="宋体" w:hint="eastAsia"/>
          <w:szCs w:val="21"/>
        </w:rPr>
        <w:t>商按照</w:t>
      </w:r>
      <w:r>
        <w:rPr>
          <w:rFonts w:ascii="宋体" w:hAnsi="宋体" w:cs="宋体" w:hint="eastAsia"/>
          <w:szCs w:val="21"/>
        </w:rPr>
        <w:t>本办法规定提供声明</w:t>
      </w:r>
      <w:r>
        <w:rPr>
          <w:rFonts w:ascii="宋体" w:hAnsi="宋体" w:cs="宋体" w:hint="eastAsia"/>
          <w:szCs w:val="21"/>
        </w:rPr>
        <w:t>函内容</w:t>
      </w:r>
      <w:r>
        <w:rPr>
          <w:rFonts w:ascii="宋体" w:hAnsi="宋体" w:cs="宋体" w:hint="eastAsia"/>
          <w:szCs w:val="21"/>
        </w:rPr>
        <w:t>不实的，属于提供虚假材料谋取中标、成交，依照《政府采购法》等政府采购有关法律法规规定追究相应责任。</w:t>
      </w:r>
    </w:p>
    <w:p w:rsidR="008C0A47">
      <w:pPr>
        <w:pStyle w:val="NormalWeb"/>
        <w:shd w:val="clear" w:color="auto" w:fill="FFFFFF"/>
        <w:spacing w:line="460" w:lineRule="exact"/>
        <w:ind w:firstLine="420"/>
        <w:rPr>
          <w:rFonts w:ascii="宋体" w:hAnsi="宋体"/>
          <w:b/>
          <w:sz w:val="21"/>
          <w:szCs w:val="21"/>
        </w:rPr>
      </w:pPr>
      <w:r>
        <w:rPr>
          <w:rFonts w:ascii="宋体" w:hAnsi="宋体" w:hint="eastAsia"/>
          <w:b/>
          <w:sz w:val="21"/>
          <w:szCs w:val="21"/>
        </w:rPr>
        <w:t>备注：</w:t>
      </w:r>
    </w:p>
    <w:p w:rsidR="008C0A47">
      <w:pPr>
        <w:pStyle w:val="NormalWeb"/>
        <w:shd w:val="clear" w:color="auto" w:fill="FFFFFF"/>
        <w:spacing w:line="460" w:lineRule="exact"/>
        <w:ind w:firstLine="420"/>
        <w:rPr>
          <w:rFonts w:ascii="宋体" w:hAnsi="宋体"/>
          <w:sz w:val="21"/>
          <w:szCs w:val="21"/>
        </w:rPr>
      </w:pPr>
      <w:r>
        <w:rPr>
          <w:rFonts w:ascii="宋体" w:hAnsi="宋体" w:hint="eastAsia"/>
          <w:sz w:val="21"/>
          <w:szCs w:val="21"/>
        </w:rPr>
        <w:t>1</w:t>
      </w:r>
      <w:r>
        <w:rPr>
          <w:rFonts w:ascii="宋体" w:hAnsi="宋体" w:hint="eastAsia"/>
          <w:sz w:val="21"/>
          <w:szCs w:val="21"/>
        </w:rPr>
        <w:t>、从业人员、营业收入、资产总额填报上一年度数据，无上</w:t>
      </w:r>
      <w:r>
        <w:rPr>
          <w:rFonts w:ascii="宋体" w:hAnsi="宋体" w:hint="eastAsia"/>
          <w:sz w:val="21"/>
          <w:szCs w:val="21"/>
        </w:rPr>
        <w:t>一</w:t>
      </w:r>
      <w:r>
        <w:rPr>
          <w:rFonts w:ascii="宋体" w:hAnsi="宋体" w:hint="eastAsia"/>
          <w:sz w:val="21"/>
          <w:szCs w:val="21"/>
        </w:rPr>
        <w:t>年度数据的新成立企业可不填报。</w:t>
      </w:r>
    </w:p>
    <w:p w:rsidR="008C0A47">
      <w:pPr>
        <w:pStyle w:val="NormalWeb"/>
        <w:shd w:val="clear" w:color="auto" w:fill="FFFFFF"/>
        <w:spacing w:line="460" w:lineRule="exact"/>
        <w:ind w:firstLine="420"/>
        <w:rPr>
          <w:sz w:val="21"/>
          <w:szCs w:val="21"/>
        </w:rPr>
      </w:pPr>
      <w:r>
        <w:rPr>
          <w:rFonts w:ascii="宋体" w:hAnsi="宋体" w:hint="eastAsia"/>
          <w:sz w:val="21"/>
          <w:szCs w:val="21"/>
        </w:rPr>
        <w:t>2</w:t>
      </w:r>
      <w:r>
        <w:rPr>
          <w:rFonts w:ascii="宋体" w:hAnsi="宋体" w:hint="eastAsia"/>
          <w:sz w:val="21"/>
          <w:szCs w:val="21"/>
        </w:rPr>
        <w:t>、本</w:t>
      </w:r>
      <w:r>
        <w:rPr>
          <w:rFonts w:ascii="宋体" w:hAnsi="宋体" w:hint="eastAsia"/>
          <w:sz w:val="21"/>
          <w:szCs w:val="21"/>
        </w:rPr>
        <w:t>声明函仅适用于</w:t>
      </w:r>
      <w:r>
        <w:rPr>
          <w:rFonts w:ascii="宋体" w:hAnsi="宋体" w:hint="eastAsia"/>
          <w:sz w:val="21"/>
          <w:szCs w:val="21"/>
        </w:rPr>
        <w:t>投标人为企业或个体工商户，其他组织形式单位不适用。</w:t>
      </w:r>
    </w:p>
    <w:p w:rsidR="008C0A47">
      <w:pPr>
        <w:spacing w:line="460" w:lineRule="exact"/>
        <w:ind w:firstLine="480" w:firstLineChars="200"/>
        <w:rPr>
          <w:rFonts w:asciiTheme="majorEastAsia" w:eastAsiaTheme="majorEastAsia" w:hAnsiTheme="majorEastAsia" w:cstheme="majorEastAsia"/>
          <w:szCs w:val="21"/>
        </w:rPr>
      </w:pPr>
    </w:p>
    <w:p w:rsidR="008C0A47">
      <w:pPr>
        <w:pStyle w:val="Heading4"/>
        <w:keepNext w:val="0"/>
        <w:keepLines w:val="0"/>
        <w:spacing w:before="0" w:after="120" w:line="4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（二）残疾人福利性单位声明函（样</w:t>
      </w:r>
      <w:r>
        <w:rPr>
          <w:rFonts w:asciiTheme="minorEastAsia" w:eastAsiaTheme="minorEastAsia" w:hAnsiTheme="minorEastAsia" w:hint="eastAsia"/>
          <w:sz w:val="24"/>
          <w:szCs w:val="24"/>
        </w:rPr>
        <w:t>表）</w:t>
      </w:r>
    </w:p>
    <w:p w:rsidR="008C0A47">
      <w:pPr>
        <w:spacing w:line="460" w:lineRule="exact"/>
        <w:ind w:firstLine="480" w:firstLineChars="200"/>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本单位郑重声明，根据《财政部</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民政部</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中国残疾人联合会关于促进残疾人就业政府采购政策的通知》（财库〔</w:t>
      </w:r>
      <w:r>
        <w:rPr>
          <w:rFonts w:asciiTheme="majorEastAsia" w:eastAsiaTheme="majorEastAsia" w:hAnsiTheme="majorEastAsia" w:cstheme="majorEastAsia" w:hint="eastAsia"/>
          <w:szCs w:val="21"/>
        </w:rPr>
        <w:t>2017</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141</w:t>
      </w:r>
      <w:r>
        <w:rPr>
          <w:rFonts w:asciiTheme="majorEastAsia" w:eastAsiaTheme="majorEastAsia" w:hAnsiTheme="majorEastAsia" w:cstheme="majorEastAsia" w:hint="eastAsia"/>
          <w:szCs w:val="21"/>
        </w:rPr>
        <w:t>号）的规定，本单位为符合条件的残疾人福利性单位，且本单位参加</w:t>
      </w:r>
      <w:r>
        <w:rPr>
          <w:rFonts w:asciiTheme="majorEastAsia" w:eastAsiaTheme="majorEastAsia" w:hAnsiTheme="majorEastAsia" w:cstheme="majorEastAsia" w:hint="eastAsia"/>
          <w:iCs/>
          <w:szCs w:val="21"/>
          <w:u w:val="single"/>
        </w:rPr>
        <w:t>（采购单位名称）</w:t>
      </w:r>
      <w:r>
        <w:rPr>
          <w:rFonts w:asciiTheme="majorEastAsia" w:eastAsiaTheme="majorEastAsia" w:hAnsiTheme="majorEastAsia" w:cstheme="majorEastAsia" w:hint="eastAsia"/>
          <w:iCs/>
          <w:szCs w:val="21"/>
          <w:u w:val="single"/>
        </w:rPr>
        <w:t xml:space="preserve">  </w:t>
      </w:r>
      <w:r>
        <w:rPr>
          <w:rFonts w:asciiTheme="majorEastAsia" w:eastAsiaTheme="majorEastAsia" w:hAnsiTheme="majorEastAsia" w:cstheme="majorEastAsia" w:hint="eastAsia"/>
          <w:iCs/>
          <w:szCs w:val="21"/>
        </w:rPr>
        <w:t>单位的</w:t>
      </w:r>
      <w:r>
        <w:rPr>
          <w:rFonts w:asciiTheme="majorEastAsia" w:eastAsiaTheme="majorEastAsia" w:hAnsiTheme="majorEastAsia" w:cstheme="majorEastAsia" w:hint="eastAsia"/>
          <w:iCs/>
          <w:szCs w:val="21"/>
          <w:u w:val="single"/>
        </w:rPr>
        <w:t xml:space="preserve">  </w:t>
      </w:r>
      <w:r>
        <w:rPr>
          <w:rFonts w:asciiTheme="majorEastAsia" w:eastAsiaTheme="majorEastAsia" w:hAnsiTheme="majorEastAsia" w:cstheme="majorEastAsia" w:hint="eastAsia"/>
          <w:iCs/>
          <w:szCs w:val="21"/>
          <w:u w:val="single"/>
        </w:rPr>
        <w:t>（采购项目名称）</w:t>
      </w:r>
      <w:r>
        <w:rPr>
          <w:rFonts w:asciiTheme="majorEastAsia" w:eastAsiaTheme="majorEastAsia" w:hAnsiTheme="majorEastAsia" w:cstheme="majorEastAsia" w:hint="eastAsia"/>
          <w:iCs/>
          <w:szCs w:val="21"/>
          <w:u w:val="single"/>
        </w:rPr>
        <w:t xml:space="preserve">   </w:t>
      </w:r>
      <w:r>
        <w:rPr>
          <w:rFonts w:asciiTheme="majorEastAsia" w:eastAsiaTheme="majorEastAsia" w:hAnsiTheme="majorEastAsia" w:cstheme="majorEastAsia" w:hint="eastAsia"/>
          <w:iCs/>
          <w:szCs w:val="21"/>
        </w:rPr>
        <w:t>项目</w:t>
      </w:r>
      <w:r>
        <w:rPr>
          <w:rFonts w:asciiTheme="majorEastAsia" w:eastAsiaTheme="majorEastAsia" w:hAnsiTheme="majorEastAsia" w:cstheme="majorEastAsia" w:hint="eastAsia"/>
          <w:szCs w:val="21"/>
        </w:rPr>
        <w:t>采购活动，并由本单位承接服务。</w:t>
      </w:r>
    </w:p>
    <w:p w:rsidR="008C0A47">
      <w:pPr>
        <w:spacing w:line="440" w:lineRule="exact"/>
        <w:ind w:firstLine="480" w:firstLineChars="200"/>
        <w:jc w:val="left"/>
        <w:rPr>
          <w:rFonts w:ascii="宋体" w:hAnsi="宋体" w:cs="宋体"/>
          <w:szCs w:val="21"/>
        </w:rPr>
      </w:pPr>
      <w:r>
        <w:rPr>
          <w:rFonts w:asciiTheme="majorEastAsia" w:eastAsiaTheme="majorEastAsia" w:hAnsiTheme="majorEastAsia" w:cstheme="majorEastAsia" w:hint="eastAsia"/>
          <w:szCs w:val="21"/>
        </w:rPr>
        <w:t>本单位已</w:t>
      </w:r>
      <w:r>
        <w:rPr>
          <w:rFonts w:ascii="宋体" w:hAnsi="宋体" w:cs="宋体" w:hint="eastAsia"/>
          <w:szCs w:val="21"/>
        </w:rPr>
        <w:t>知悉《关于促进残疾人就业政府采购政策的通知》（财库〔</w:t>
      </w:r>
      <w:r>
        <w:rPr>
          <w:rFonts w:ascii="宋体" w:hAnsi="宋体" w:cs="宋体" w:hint="eastAsia"/>
          <w:szCs w:val="21"/>
        </w:rPr>
        <w:t>2017</w:t>
      </w:r>
      <w:r>
        <w:rPr>
          <w:rFonts w:ascii="宋体" w:hAnsi="宋体" w:cs="宋体" w:hint="eastAsia"/>
          <w:szCs w:val="21"/>
        </w:rPr>
        <w:t>〕</w:t>
      </w:r>
      <w:r>
        <w:rPr>
          <w:rFonts w:ascii="宋体" w:hAnsi="宋体" w:cs="宋体" w:hint="eastAsia"/>
          <w:szCs w:val="21"/>
        </w:rPr>
        <w:t xml:space="preserve">141 </w:t>
      </w:r>
      <w:r>
        <w:rPr>
          <w:rFonts w:ascii="宋体" w:hAnsi="宋体" w:cs="宋体" w:hint="eastAsia"/>
          <w:szCs w:val="21"/>
        </w:rPr>
        <w:t>号）的规定，承诺提供的声明</w:t>
      </w:r>
      <w:r>
        <w:rPr>
          <w:rFonts w:ascii="宋体" w:hAnsi="宋体" w:cs="宋体" w:hint="eastAsia"/>
          <w:szCs w:val="21"/>
        </w:rPr>
        <w:t>函内容</w:t>
      </w:r>
      <w:r>
        <w:rPr>
          <w:rFonts w:ascii="宋体" w:hAnsi="宋体" w:cs="宋体" w:hint="eastAsia"/>
          <w:szCs w:val="21"/>
        </w:rPr>
        <w:t>是真实的，如提供声明</w:t>
      </w:r>
      <w:r>
        <w:rPr>
          <w:rFonts w:ascii="宋体" w:hAnsi="宋体" w:cs="宋体" w:hint="eastAsia"/>
          <w:szCs w:val="21"/>
        </w:rPr>
        <w:t>函内容</w:t>
      </w:r>
      <w:r>
        <w:rPr>
          <w:rFonts w:ascii="宋体" w:hAnsi="宋体" w:cs="宋体" w:hint="eastAsia"/>
          <w:szCs w:val="21"/>
        </w:rPr>
        <w:t>不实，则依法追究相关法律责任。</w:t>
      </w:r>
    </w:p>
    <w:p w:rsidR="008C0A47">
      <w:pPr>
        <w:spacing w:line="460" w:lineRule="exact"/>
        <w:ind w:firstLine="480" w:firstLineChars="200"/>
        <w:rPr>
          <w:rFonts w:asciiTheme="majorEastAsia" w:eastAsiaTheme="majorEastAsia" w:hAnsiTheme="majorEastAsia" w:cstheme="majorEastAsia"/>
          <w:szCs w:val="21"/>
        </w:rPr>
      </w:pPr>
    </w:p>
    <w:p w:rsidR="008C0A47">
      <w:pPr>
        <w:pStyle w:val="Heading4"/>
        <w:keepNext w:val="0"/>
        <w:keepLines w:val="0"/>
        <w:spacing w:before="0" w:after="120" w:line="4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（三）监狱企业声明函（样表）</w:t>
      </w:r>
    </w:p>
    <w:p w:rsidR="008C0A47">
      <w:pPr>
        <w:spacing w:line="460" w:lineRule="exact"/>
        <w:ind w:firstLine="480" w:firstLineChars="200"/>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本单位郑重声明，根据《财政部</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司法部关于政府采购支持监狱企业发展有关问题的通知》（财库〔</w:t>
      </w:r>
      <w:r>
        <w:rPr>
          <w:rFonts w:asciiTheme="majorEastAsia" w:eastAsiaTheme="majorEastAsia" w:hAnsiTheme="majorEastAsia" w:cstheme="majorEastAsia" w:hint="eastAsia"/>
          <w:szCs w:val="21"/>
        </w:rPr>
        <w:t>2014</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68</w:t>
      </w:r>
      <w:r>
        <w:rPr>
          <w:rFonts w:asciiTheme="majorEastAsia" w:eastAsiaTheme="majorEastAsia" w:hAnsiTheme="majorEastAsia" w:cstheme="majorEastAsia" w:hint="eastAsia"/>
          <w:szCs w:val="21"/>
        </w:rPr>
        <w:t>号）的规定，本单位为符合条件的监狱企业，且本单位参加</w:t>
      </w:r>
      <w:r>
        <w:rPr>
          <w:rFonts w:asciiTheme="majorEastAsia" w:eastAsiaTheme="majorEastAsia" w:hAnsiTheme="majorEastAsia" w:cstheme="majorEastAsia" w:hint="eastAsia"/>
          <w:szCs w:val="21"/>
          <w:u w:val="single"/>
        </w:rPr>
        <w:t xml:space="preserve">  </w:t>
      </w:r>
      <w:r>
        <w:rPr>
          <w:rFonts w:asciiTheme="majorEastAsia" w:eastAsiaTheme="majorEastAsia" w:hAnsiTheme="majorEastAsia" w:cstheme="majorEastAsia" w:hint="eastAsia"/>
          <w:szCs w:val="21"/>
          <w:u w:val="single"/>
        </w:rPr>
        <w:t>（采购单位名称）</w:t>
      </w:r>
      <w:r>
        <w:rPr>
          <w:rFonts w:asciiTheme="majorEastAsia" w:eastAsiaTheme="majorEastAsia" w:hAnsiTheme="majorEastAsia" w:cstheme="majorEastAsia" w:hint="eastAsia"/>
          <w:szCs w:val="21"/>
          <w:u w:val="single"/>
        </w:rPr>
        <w:t xml:space="preserve">  </w:t>
      </w:r>
      <w:r>
        <w:rPr>
          <w:rFonts w:asciiTheme="majorEastAsia" w:eastAsiaTheme="majorEastAsia" w:hAnsiTheme="majorEastAsia" w:cstheme="majorEastAsia" w:hint="eastAsia"/>
          <w:szCs w:val="21"/>
        </w:rPr>
        <w:t>单位的</w:t>
      </w:r>
      <w:r>
        <w:rPr>
          <w:rFonts w:asciiTheme="majorEastAsia" w:eastAsiaTheme="majorEastAsia" w:hAnsiTheme="majorEastAsia" w:cstheme="majorEastAsia" w:hint="eastAsia"/>
          <w:szCs w:val="21"/>
          <w:u w:val="single"/>
        </w:rPr>
        <w:t>（采购项目名称）</w:t>
      </w:r>
      <w:r>
        <w:rPr>
          <w:rFonts w:asciiTheme="majorEastAsia" w:eastAsiaTheme="majorEastAsia" w:hAnsiTheme="majorEastAsia" w:cstheme="majorEastAsia" w:hint="eastAsia"/>
          <w:szCs w:val="21"/>
          <w:u w:val="single"/>
        </w:rPr>
        <w:t xml:space="preserve">  </w:t>
      </w:r>
      <w:r>
        <w:rPr>
          <w:rFonts w:asciiTheme="majorEastAsia" w:eastAsiaTheme="majorEastAsia" w:hAnsiTheme="majorEastAsia" w:cstheme="majorEastAsia" w:hint="eastAsia"/>
          <w:szCs w:val="21"/>
        </w:rPr>
        <w:t>项目采购活动，并由本单位承接服务。</w:t>
      </w:r>
    </w:p>
    <w:p w:rsidR="008C0A47">
      <w:pPr>
        <w:spacing w:line="460" w:lineRule="exact"/>
        <w:ind w:firstLine="480" w:firstLineChars="200"/>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本单位对上述声明的真实性负责。如有虚假，将依法承担相应责任。</w:t>
      </w:r>
    </w:p>
    <w:p w:rsidR="008C0A47">
      <w:pPr>
        <w:spacing w:line="460" w:lineRule="exact"/>
        <w:ind w:firstLine="480" w:firstLineChars="200"/>
        <w:jc w:val="left"/>
        <w:rPr>
          <w:rFonts w:asciiTheme="majorEastAsia" w:eastAsiaTheme="majorEastAsia" w:hAnsiTheme="majorEastAsia" w:cstheme="majorEastAsia"/>
          <w:spacing w:val="-6"/>
          <w:szCs w:val="21"/>
        </w:rPr>
      </w:pPr>
      <w:r>
        <w:rPr>
          <w:rFonts w:asciiTheme="majorEastAsia" w:eastAsiaTheme="majorEastAsia" w:hAnsiTheme="majorEastAsia" w:cstheme="majorEastAsia" w:hint="eastAsia"/>
          <w:b/>
          <w:szCs w:val="21"/>
        </w:rPr>
        <w:t>附：</w:t>
      </w:r>
      <w:r>
        <w:rPr>
          <w:rFonts w:asciiTheme="majorEastAsia" w:eastAsiaTheme="majorEastAsia" w:hAnsiTheme="majorEastAsia" w:cstheme="majorEastAsia" w:hint="eastAsia"/>
          <w:spacing w:val="-6"/>
          <w:szCs w:val="21"/>
        </w:rPr>
        <w:t>省级以上监狱管理局、戒毒管理局（含新疆生产建设兵团）出具的监狱企业证明文件。</w:t>
      </w:r>
    </w:p>
    <w:p w:rsidR="008C0A47">
      <w:pPr>
        <w:spacing w:line="410" w:lineRule="exact"/>
        <w:rPr>
          <w:rFonts w:asciiTheme="majorEastAsia" w:eastAsiaTheme="majorEastAsia" w:hAnsiTheme="majorEastAsia" w:cstheme="majorEastAsia"/>
          <w:color w:val="FF0000"/>
          <w:szCs w:val="21"/>
        </w:rPr>
      </w:pPr>
    </w:p>
    <w:p w:rsidR="008C0A47">
      <w:pPr>
        <w:pStyle w:val="NormalWeb"/>
        <w:shd w:val="clear" w:color="auto" w:fill="FFFFFF"/>
        <w:spacing w:line="400" w:lineRule="exact"/>
        <w:ind w:firstLine="470" w:firstLineChars="196"/>
        <w:rPr>
          <w:rFonts w:asciiTheme="majorEastAsia" w:eastAsiaTheme="majorEastAsia" w:hAnsiTheme="majorEastAsia" w:cstheme="majorEastAsia"/>
          <w:szCs w:val="28"/>
        </w:rPr>
      </w:pPr>
      <w:r>
        <w:rPr>
          <w:rFonts w:asciiTheme="majorEastAsia" w:eastAsiaTheme="majorEastAsia" w:hAnsiTheme="majorEastAsia" w:cstheme="majorEastAsia" w:hint="eastAsia"/>
          <w:color w:val="FF0000"/>
          <w:sz w:val="21"/>
          <w:szCs w:val="21"/>
        </w:rPr>
        <w:br w:type="page"/>
      </w:r>
    </w:p>
    <w:p w:rsidR="008C0A47">
      <w:pPr>
        <w:pStyle w:val="Heading3"/>
        <w:keepNext w:val="0"/>
        <w:keepLines w:val="0"/>
        <w:jc w:val="center"/>
        <w:rPr>
          <w:rFonts w:asciiTheme="majorEastAsia" w:eastAsiaTheme="majorEastAsia" w:hAnsiTheme="majorEastAsia" w:cstheme="majorEastAsia"/>
          <w:szCs w:val="28"/>
        </w:rPr>
      </w:pPr>
      <w:r>
        <w:rPr>
          <w:rFonts w:asciiTheme="majorEastAsia" w:eastAsiaTheme="majorEastAsia" w:hAnsiTheme="majorEastAsia" w:cstheme="majorEastAsia" w:hint="eastAsia"/>
          <w:szCs w:val="28"/>
        </w:rPr>
        <w:t>五、详细分项报价清单</w:t>
      </w:r>
    </w:p>
    <w:p w:rsidR="008C0A47">
      <w:pPr>
        <w:tabs>
          <w:tab w:val="left" w:pos="720"/>
        </w:tabs>
        <w:ind w:firstLine="3120" w:firstLineChars="1300"/>
        <w:rPr>
          <w:b/>
          <w:sz w:val="24"/>
        </w:rPr>
      </w:pPr>
      <w:r>
        <w:rPr>
          <w:rFonts w:hint="eastAsia"/>
          <w:b/>
          <w:sz w:val="24"/>
        </w:rPr>
        <w:t>（一）分项报价表</w:t>
      </w:r>
    </w:p>
    <w:tbl>
      <w:tblPr>
        <w:tblStyle w:val="TableNormal"/>
        <w:tblW w:w="8529" w:type="dxa"/>
        <w:jc w:val="center"/>
        <w:tblLayout w:type="fixed"/>
        <w:tblLook w:val="04A0"/>
      </w:tblPr>
      <w:tblGrid>
        <w:gridCol w:w="757"/>
        <w:gridCol w:w="990"/>
        <w:gridCol w:w="2992"/>
        <w:gridCol w:w="1544"/>
        <w:gridCol w:w="2246"/>
      </w:tblGrid>
      <w:tr>
        <w:tblPrEx>
          <w:tblW w:w="8529" w:type="dxa"/>
          <w:jc w:val="center"/>
          <w:tblLayout w:type="fixed"/>
          <w:tblLook w:val="04A0"/>
        </w:tblPrEx>
        <w:trPr>
          <w:trHeight w:val="567"/>
          <w:jc w:val="center"/>
        </w:trPr>
        <w:tc>
          <w:tcPr>
            <w:tcW w:w="757" w:type="dxa"/>
            <w:tcBorders>
              <w:top w:val="single" w:sz="8" w:space="0" w:color="auto"/>
              <w:left w:val="single" w:sz="8" w:space="0" w:color="auto"/>
              <w:bottom w:val="single" w:sz="4" w:space="0" w:color="auto"/>
              <w:right w:val="single" w:sz="4" w:space="0" w:color="auto"/>
            </w:tcBorders>
            <w:shd w:val="clear" w:color="auto" w:fill="auto"/>
            <w:vAlign w:val="center"/>
          </w:tcPr>
          <w:p w:rsidR="008C0A47">
            <w:pPr>
              <w:jc w:val="center"/>
              <w:rPr>
                <w:rFonts w:ascii="宋体" w:hAnsi="宋体" w:cs="宋体"/>
                <w:b/>
                <w:bCs/>
                <w:kern w:val="0"/>
                <w:szCs w:val="21"/>
              </w:rPr>
            </w:pPr>
            <w:r>
              <w:rPr>
                <w:rFonts w:ascii="宋体" w:hAnsi="宋体" w:cs="宋体" w:hint="eastAsia"/>
                <w:b/>
                <w:bCs/>
                <w:kern w:val="0"/>
                <w:szCs w:val="21"/>
              </w:rPr>
              <w:t>序号</w:t>
            </w:r>
          </w:p>
        </w:tc>
        <w:tc>
          <w:tcPr>
            <w:tcW w:w="3982" w:type="dxa"/>
            <w:gridSpan w:val="2"/>
            <w:tcBorders>
              <w:top w:val="single" w:sz="8" w:space="0" w:color="auto"/>
              <w:left w:val="nil"/>
              <w:bottom w:val="single" w:sz="4" w:space="0" w:color="auto"/>
              <w:right w:val="single" w:sz="4" w:space="0" w:color="auto"/>
            </w:tcBorders>
            <w:shd w:val="clear" w:color="auto" w:fill="auto"/>
            <w:vAlign w:val="center"/>
          </w:tcPr>
          <w:p w:rsidR="008C0A47">
            <w:pPr>
              <w:jc w:val="center"/>
              <w:rPr>
                <w:rFonts w:ascii="宋体" w:hAnsi="宋体" w:cs="宋体"/>
                <w:b/>
                <w:bCs/>
                <w:kern w:val="0"/>
                <w:szCs w:val="21"/>
              </w:rPr>
            </w:pPr>
            <w:r>
              <w:rPr>
                <w:rFonts w:ascii="宋体" w:hAnsi="宋体" w:cs="宋体" w:hint="eastAsia"/>
                <w:b/>
                <w:bCs/>
                <w:kern w:val="0"/>
                <w:szCs w:val="21"/>
              </w:rPr>
              <w:t>需求名称</w:t>
            </w:r>
          </w:p>
        </w:tc>
        <w:tc>
          <w:tcPr>
            <w:tcW w:w="1544" w:type="dxa"/>
            <w:tcBorders>
              <w:top w:val="single" w:sz="8" w:space="0" w:color="auto"/>
              <w:left w:val="nil"/>
              <w:bottom w:val="single" w:sz="4" w:space="0" w:color="auto"/>
              <w:right w:val="single" w:sz="4" w:space="0" w:color="auto"/>
            </w:tcBorders>
            <w:shd w:val="clear" w:color="auto" w:fill="auto"/>
            <w:vAlign w:val="center"/>
          </w:tcPr>
          <w:p w:rsidR="008C0A47">
            <w:pPr>
              <w:jc w:val="center"/>
              <w:rPr>
                <w:rFonts w:ascii="宋体" w:hAnsi="宋体" w:cs="宋体"/>
                <w:b/>
                <w:bCs/>
                <w:kern w:val="0"/>
                <w:szCs w:val="21"/>
              </w:rPr>
            </w:pPr>
            <w:r>
              <w:rPr>
                <w:rFonts w:ascii="宋体" w:hAnsi="宋体" w:cs="宋体" w:hint="eastAsia"/>
                <w:b/>
                <w:bCs/>
                <w:kern w:val="0"/>
                <w:szCs w:val="21"/>
              </w:rPr>
              <w:t>金额（元）</w:t>
            </w:r>
          </w:p>
        </w:tc>
        <w:tc>
          <w:tcPr>
            <w:tcW w:w="2246" w:type="dxa"/>
            <w:tcBorders>
              <w:top w:val="single" w:sz="8" w:space="0" w:color="auto"/>
              <w:left w:val="nil"/>
              <w:bottom w:val="single" w:sz="4" w:space="0" w:color="auto"/>
              <w:right w:val="single" w:sz="8" w:space="0" w:color="auto"/>
            </w:tcBorders>
            <w:shd w:val="clear" w:color="auto" w:fill="auto"/>
            <w:vAlign w:val="center"/>
          </w:tcPr>
          <w:p w:rsidR="008C0A47">
            <w:pPr>
              <w:jc w:val="center"/>
              <w:rPr>
                <w:rFonts w:ascii="宋体" w:hAnsi="宋体" w:cs="宋体"/>
                <w:b/>
                <w:bCs/>
                <w:kern w:val="0"/>
                <w:szCs w:val="21"/>
              </w:rPr>
            </w:pPr>
            <w:r>
              <w:rPr>
                <w:rFonts w:ascii="宋体" w:hAnsi="宋体" w:cs="宋体" w:hint="eastAsia"/>
                <w:b/>
                <w:bCs/>
                <w:kern w:val="0"/>
                <w:szCs w:val="21"/>
              </w:rPr>
              <w:t>说明</w:t>
            </w:r>
          </w:p>
        </w:tc>
      </w:tr>
      <w:tr>
        <w:tblPrEx>
          <w:tblW w:w="8529" w:type="dxa"/>
          <w:jc w:val="center"/>
          <w:tblLayout w:type="fixed"/>
          <w:tblLook w:val="04A0"/>
        </w:tblPrEx>
        <w:trPr>
          <w:trHeight w:val="567"/>
          <w:jc w:val="center"/>
        </w:trPr>
        <w:tc>
          <w:tcPr>
            <w:tcW w:w="757" w:type="dxa"/>
            <w:tcBorders>
              <w:top w:val="single" w:sz="4" w:space="0" w:color="auto"/>
              <w:left w:val="single" w:sz="8" w:space="0" w:color="auto"/>
              <w:bottom w:val="single" w:sz="4" w:space="0" w:color="auto"/>
              <w:right w:val="single" w:sz="4" w:space="0" w:color="auto"/>
            </w:tcBorders>
            <w:shd w:val="clear" w:color="auto" w:fill="auto"/>
            <w:vAlign w:val="center"/>
          </w:tcPr>
          <w:p w:rsidR="008C0A47">
            <w:pPr>
              <w:jc w:val="center"/>
              <w:rPr>
                <w:rFonts w:ascii="宋体" w:hAnsi="宋体" w:cs="宋体"/>
                <w:kern w:val="0"/>
                <w:szCs w:val="21"/>
              </w:rPr>
            </w:pPr>
            <w:r>
              <w:rPr>
                <w:rFonts w:ascii="宋体" w:hAnsi="宋体" w:cs="宋体" w:hint="eastAsia"/>
                <w:kern w:val="0"/>
                <w:szCs w:val="21"/>
              </w:rPr>
              <w:t>一</w:t>
            </w:r>
          </w:p>
        </w:tc>
        <w:tc>
          <w:tcPr>
            <w:tcW w:w="3982" w:type="dxa"/>
            <w:gridSpan w:val="2"/>
            <w:tcBorders>
              <w:top w:val="single" w:sz="4" w:space="0" w:color="auto"/>
              <w:left w:val="nil"/>
              <w:bottom w:val="single" w:sz="4" w:space="0" w:color="auto"/>
              <w:right w:val="single" w:sz="4" w:space="0" w:color="auto"/>
            </w:tcBorders>
            <w:shd w:val="clear" w:color="auto" w:fill="auto"/>
            <w:vAlign w:val="center"/>
          </w:tcPr>
          <w:p w:rsidR="008C0A47">
            <w:pPr>
              <w:jc w:val="center"/>
              <w:rPr>
                <w:rFonts w:ascii="宋体" w:hAnsi="宋体" w:cs="宋体"/>
                <w:kern w:val="0"/>
                <w:szCs w:val="21"/>
              </w:rPr>
            </w:pPr>
            <w:r>
              <w:rPr>
                <w:rFonts w:ascii="宋体" w:hAnsi="宋体" w:cs="宋体" w:hint="eastAsia"/>
                <w:kern w:val="0"/>
                <w:szCs w:val="21"/>
              </w:rPr>
              <w:t>*</w:t>
            </w:r>
            <w:r>
              <w:rPr>
                <w:rFonts w:ascii="宋体" w:hAnsi="宋体" w:cs="宋体"/>
                <w:kern w:val="0"/>
                <w:szCs w:val="21"/>
              </w:rPr>
              <w:t>*****</w:t>
            </w:r>
          </w:p>
        </w:tc>
        <w:tc>
          <w:tcPr>
            <w:tcW w:w="1544" w:type="dxa"/>
            <w:tcBorders>
              <w:top w:val="single" w:sz="4" w:space="0" w:color="auto"/>
              <w:left w:val="nil"/>
              <w:bottom w:val="single" w:sz="4" w:space="0" w:color="auto"/>
              <w:right w:val="single" w:sz="4" w:space="0" w:color="auto"/>
            </w:tcBorders>
            <w:shd w:val="clear" w:color="auto" w:fill="auto"/>
            <w:vAlign w:val="center"/>
          </w:tcPr>
          <w:p w:rsidR="008C0A47">
            <w:pPr>
              <w:jc w:val="right"/>
              <w:rPr>
                <w:rFonts w:ascii="宋体" w:hAnsi="宋体" w:cs="宋体"/>
                <w:kern w:val="0"/>
                <w:szCs w:val="21"/>
              </w:rPr>
            </w:pPr>
            <w:r>
              <w:rPr>
                <w:rFonts w:ascii="宋体" w:hAnsi="宋体" w:cs="宋体" w:hint="eastAsia"/>
                <w:kern w:val="0"/>
                <w:szCs w:val="21"/>
              </w:rPr>
              <w:t>　</w:t>
            </w:r>
          </w:p>
        </w:tc>
        <w:tc>
          <w:tcPr>
            <w:tcW w:w="2246" w:type="dxa"/>
            <w:tcBorders>
              <w:top w:val="single" w:sz="4" w:space="0" w:color="auto"/>
              <w:left w:val="nil"/>
              <w:bottom w:val="single" w:sz="4" w:space="0" w:color="auto"/>
              <w:right w:val="single" w:sz="8" w:space="0" w:color="auto"/>
            </w:tcBorders>
            <w:shd w:val="clear" w:color="auto" w:fill="auto"/>
            <w:vAlign w:val="center"/>
          </w:tcPr>
          <w:p w:rsidR="008C0A47">
            <w:pPr>
              <w:jc w:val="left"/>
              <w:rPr>
                <w:rFonts w:ascii="宋体" w:hAnsi="宋体" w:cs="宋体"/>
                <w:kern w:val="0"/>
                <w:szCs w:val="21"/>
              </w:rPr>
            </w:pPr>
          </w:p>
        </w:tc>
      </w:tr>
      <w:tr>
        <w:tblPrEx>
          <w:tblW w:w="8529" w:type="dxa"/>
          <w:jc w:val="center"/>
          <w:tblLayout w:type="fixed"/>
          <w:tblLook w:val="04A0"/>
        </w:tblPrEx>
        <w:trPr>
          <w:trHeight w:val="567"/>
          <w:jc w:val="center"/>
        </w:trPr>
        <w:tc>
          <w:tcPr>
            <w:tcW w:w="757" w:type="dxa"/>
            <w:vMerge w:val="restart"/>
            <w:tcBorders>
              <w:top w:val="nil"/>
              <w:left w:val="single" w:sz="8" w:space="0" w:color="auto"/>
              <w:right w:val="single" w:sz="4" w:space="0" w:color="auto"/>
            </w:tcBorders>
            <w:shd w:val="clear" w:color="auto" w:fill="auto"/>
            <w:vAlign w:val="center"/>
          </w:tcPr>
          <w:p w:rsidR="008C0A47">
            <w:pPr>
              <w:jc w:val="center"/>
              <w:rPr>
                <w:rFonts w:ascii="宋体" w:hAnsi="宋体" w:cs="宋体"/>
                <w:kern w:val="0"/>
                <w:szCs w:val="21"/>
              </w:rPr>
            </w:pPr>
            <w:r>
              <w:rPr>
                <w:rFonts w:ascii="宋体" w:hAnsi="宋体" w:cs="宋体" w:hint="eastAsia"/>
                <w:kern w:val="0"/>
                <w:szCs w:val="21"/>
              </w:rPr>
              <w:t>二</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tcPr>
          <w:p w:rsidR="008C0A47">
            <w:pPr>
              <w:jc w:val="center"/>
              <w:rPr>
                <w:rFonts w:ascii="宋体" w:hAnsi="宋体" w:cs="宋体"/>
                <w:kern w:val="0"/>
                <w:szCs w:val="21"/>
              </w:rPr>
            </w:pPr>
            <w:r>
              <w:rPr>
                <w:rFonts w:ascii="宋体" w:hAnsi="宋体" w:cs="宋体" w:hint="eastAsia"/>
                <w:kern w:val="0"/>
                <w:szCs w:val="21"/>
              </w:rPr>
              <w:t>*</w:t>
            </w:r>
            <w:r>
              <w:rPr>
                <w:rFonts w:ascii="宋体" w:hAnsi="宋体" w:cs="宋体"/>
                <w:kern w:val="0"/>
                <w:szCs w:val="21"/>
              </w:rPr>
              <w:t>*</w:t>
            </w:r>
            <w:r>
              <w:rPr>
                <w:rFonts w:ascii="宋体" w:hAnsi="宋体" w:cs="宋体" w:hint="eastAsia"/>
                <w:kern w:val="0"/>
                <w:szCs w:val="21"/>
              </w:rPr>
              <w:t>费用</w:t>
            </w:r>
          </w:p>
        </w:tc>
        <w:tc>
          <w:tcPr>
            <w:tcW w:w="2992" w:type="dxa"/>
            <w:tcBorders>
              <w:top w:val="nil"/>
              <w:left w:val="nil"/>
              <w:bottom w:val="single" w:sz="4" w:space="0" w:color="auto"/>
              <w:right w:val="single" w:sz="4" w:space="0" w:color="auto"/>
            </w:tcBorders>
            <w:shd w:val="clear" w:color="auto" w:fill="auto"/>
            <w:vAlign w:val="center"/>
          </w:tcPr>
          <w:p w:rsidR="008C0A47">
            <w:pPr>
              <w:jc w:val="left"/>
              <w:rPr>
                <w:rFonts w:ascii="宋体" w:hAnsi="宋体" w:cs="宋体"/>
                <w:kern w:val="0"/>
                <w:szCs w:val="21"/>
              </w:rPr>
            </w:pPr>
          </w:p>
        </w:tc>
        <w:tc>
          <w:tcPr>
            <w:tcW w:w="1544" w:type="dxa"/>
            <w:tcBorders>
              <w:top w:val="nil"/>
              <w:left w:val="nil"/>
              <w:bottom w:val="single" w:sz="4" w:space="0" w:color="auto"/>
              <w:right w:val="single" w:sz="4" w:space="0" w:color="auto"/>
            </w:tcBorders>
            <w:shd w:val="clear" w:color="auto" w:fill="auto"/>
            <w:vAlign w:val="center"/>
          </w:tcPr>
          <w:p w:rsidR="008C0A47">
            <w:pPr>
              <w:jc w:val="right"/>
              <w:rPr>
                <w:rFonts w:ascii="宋体" w:hAnsi="宋体" w:cs="宋体"/>
                <w:kern w:val="0"/>
                <w:szCs w:val="21"/>
              </w:rPr>
            </w:pPr>
            <w:r>
              <w:rPr>
                <w:rFonts w:ascii="宋体" w:hAnsi="宋体" w:cs="宋体" w:hint="eastAsia"/>
                <w:kern w:val="0"/>
                <w:szCs w:val="21"/>
              </w:rPr>
              <w:t>　</w:t>
            </w:r>
          </w:p>
        </w:tc>
        <w:tc>
          <w:tcPr>
            <w:tcW w:w="2246" w:type="dxa"/>
            <w:vMerge w:val="restart"/>
            <w:tcBorders>
              <w:top w:val="nil"/>
              <w:left w:val="nil"/>
              <w:right w:val="single" w:sz="8" w:space="0" w:color="auto"/>
            </w:tcBorders>
            <w:shd w:val="clear" w:color="auto" w:fill="auto"/>
            <w:vAlign w:val="center"/>
          </w:tcPr>
          <w:p w:rsidR="008C0A47">
            <w:pPr>
              <w:jc w:val="left"/>
              <w:rPr>
                <w:rFonts w:ascii="宋体" w:hAnsi="宋体" w:cs="宋体"/>
                <w:kern w:val="0"/>
                <w:szCs w:val="21"/>
              </w:rPr>
            </w:pPr>
            <w:r>
              <w:rPr>
                <w:rFonts w:ascii="宋体" w:hAnsi="宋体" w:cs="宋体" w:hint="eastAsia"/>
                <w:kern w:val="0"/>
                <w:szCs w:val="21"/>
              </w:rPr>
              <w:t>　</w:t>
            </w:r>
          </w:p>
        </w:tc>
      </w:tr>
      <w:tr>
        <w:tblPrEx>
          <w:tblW w:w="8529" w:type="dxa"/>
          <w:jc w:val="center"/>
          <w:tblLayout w:type="fixed"/>
          <w:tblLook w:val="04A0"/>
        </w:tblPrEx>
        <w:trPr>
          <w:trHeight w:val="567"/>
          <w:jc w:val="center"/>
        </w:trPr>
        <w:tc>
          <w:tcPr>
            <w:tcW w:w="757" w:type="dxa"/>
            <w:vMerge/>
            <w:tcBorders>
              <w:left w:val="single" w:sz="8" w:space="0" w:color="auto"/>
              <w:right w:val="single" w:sz="4" w:space="0" w:color="auto"/>
            </w:tcBorders>
            <w:shd w:val="clear" w:color="auto" w:fill="auto"/>
            <w:vAlign w:val="center"/>
          </w:tcPr>
          <w:p w:rsidR="008C0A47">
            <w:pPr>
              <w:jc w:val="center"/>
              <w:rPr>
                <w:rFonts w:ascii="宋体" w:hAnsi="宋体" w:cs="宋体"/>
                <w:kern w:val="0"/>
                <w:szCs w:val="21"/>
              </w:rPr>
            </w:pPr>
          </w:p>
        </w:tc>
        <w:tc>
          <w:tcPr>
            <w:tcW w:w="990" w:type="dxa"/>
            <w:vMerge/>
            <w:tcBorders>
              <w:top w:val="nil"/>
              <w:left w:val="single" w:sz="4" w:space="0" w:color="auto"/>
              <w:bottom w:val="single" w:sz="4" w:space="0" w:color="auto"/>
              <w:right w:val="single" w:sz="4" w:space="0" w:color="auto"/>
            </w:tcBorders>
            <w:shd w:val="clear" w:color="auto" w:fill="auto"/>
            <w:vAlign w:val="center"/>
          </w:tcPr>
          <w:p w:rsidR="008C0A47">
            <w:pPr>
              <w:jc w:val="left"/>
              <w:rPr>
                <w:rFonts w:ascii="宋体" w:hAnsi="宋体" w:cs="宋体"/>
                <w:kern w:val="0"/>
                <w:szCs w:val="21"/>
              </w:rPr>
            </w:pPr>
          </w:p>
        </w:tc>
        <w:tc>
          <w:tcPr>
            <w:tcW w:w="2992" w:type="dxa"/>
            <w:tcBorders>
              <w:top w:val="nil"/>
              <w:left w:val="nil"/>
              <w:bottom w:val="single" w:sz="4" w:space="0" w:color="auto"/>
              <w:right w:val="single" w:sz="4" w:space="0" w:color="auto"/>
            </w:tcBorders>
            <w:shd w:val="clear" w:color="auto" w:fill="auto"/>
            <w:vAlign w:val="center"/>
          </w:tcPr>
          <w:p w:rsidR="008C0A47">
            <w:pPr>
              <w:jc w:val="left"/>
              <w:rPr>
                <w:rFonts w:ascii="宋体" w:hAnsi="宋体" w:cs="宋体"/>
                <w:kern w:val="0"/>
                <w:szCs w:val="21"/>
              </w:rPr>
            </w:pPr>
          </w:p>
        </w:tc>
        <w:tc>
          <w:tcPr>
            <w:tcW w:w="1544" w:type="dxa"/>
            <w:tcBorders>
              <w:top w:val="nil"/>
              <w:left w:val="nil"/>
              <w:bottom w:val="single" w:sz="4" w:space="0" w:color="auto"/>
              <w:right w:val="single" w:sz="4" w:space="0" w:color="auto"/>
            </w:tcBorders>
            <w:shd w:val="clear" w:color="auto" w:fill="auto"/>
            <w:vAlign w:val="center"/>
          </w:tcPr>
          <w:p w:rsidR="008C0A47">
            <w:pPr>
              <w:jc w:val="right"/>
              <w:rPr>
                <w:rFonts w:ascii="宋体" w:hAnsi="宋体" w:cs="宋体"/>
                <w:kern w:val="0"/>
                <w:szCs w:val="21"/>
              </w:rPr>
            </w:pPr>
            <w:r>
              <w:rPr>
                <w:rFonts w:ascii="宋体" w:hAnsi="宋体" w:cs="宋体" w:hint="eastAsia"/>
                <w:kern w:val="0"/>
                <w:szCs w:val="21"/>
              </w:rPr>
              <w:t>　</w:t>
            </w:r>
          </w:p>
        </w:tc>
        <w:tc>
          <w:tcPr>
            <w:tcW w:w="2246" w:type="dxa"/>
            <w:vMerge/>
            <w:tcBorders>
              <w:left w:val="nil"/>
              <w:right w:val="single" w:sz="8" w:space="0" w:color="auto"/>
            </w:tcBorders>
            <w:shd w:val="clear" w:color="auto" w:fill="auto"/>
            <w:vAlign w:val="center"/>
          </w:tcPr>
          <w:p w:rsidR="008C0A47">
            <w:pPr>
              <w:adjustRightInd w:val="0"/>
              <w:jc w:val="left"/>
              <w:textAlignment w:val="baseline"/>
              <w:outlineLvl w:val="1"/>
              <w:rPr>
                <w:rFonts w:ascii="宋体" w:hAnsi="宋体" w:cs="宋体"/>
                <w:kern w:val="0"/>
                <w:szCs w:val="21"/>
              </w:rPr>
            </w:pPr>
          </w:p>
        </w:tc>
      </w:tr>
      <w:tr>
        <w:tblPrEx>
          <w:tblW w:w="8529" w:type="dxa"/>
          <w:jc w:val="center"/>
          <w:tblLayout w:type="fixed"/>
          <w:tblLook w:val="04A0"/>
        </w:tblPrEx>
        <w:trPr>
          <w:trHeight w:val="567"/>
          <w:jc w:val="center"/>
        </w:trPr>
        <w:tc>
          <w:tcPr>
            <w:tcW w:w="757" w:type="dxa"/>
            <w:vMerge/>
            <w:tcBorders>
              <w:left w:val="single" w:sz="8" w:space="0" w:color="auto"/>
              <w:right w:val="single" w:sz="4" w:space="0" w:color="auto"/>
            </w:tcBorders>
            <w:shd w:val="clear" w:color="auto" w:fill="auto"/>
            <w:vAlign w:val="center"/>
          </w:tcPr>
          <w:p w:rsidR="008C0A47">
            <w:pPr>
              <w:jc w:val="center"/>
              <w:rPr>
                <w:rFonts w:ascii="宋体" w:hAnsi="宋体" w:cs="宋体"/>
                <w:kern w:val="0"/>
                <w:szCs w:val="21"/>
              </w:rPr>
            </w:pPr>
          </w:p>
        </w:tc>
        <w:tc>
          <w:tcPr>
            <w:tcW w:w="990" w:type="dxa"/>
            <w:vMerge/>
            <w:tcBorders>
              <w:top w:val="nil"/>
              <w:left w:val="single" w:sz="4" w:space="0" w:color="auto"/>
              <w:bottom w:val="single" w:sz="4" w:space="0" w:color="auto"/>
              <w:right w:val="single" w:sz="4" w:space="0" w:color="auto"/>
            </w:tcBorders>
            <w:shd w:val="clear" w:color="auto" w:fill="auto"/>
            <w:vAlign w:val="center"/>
          </w:tcPr>
          <w:p w:rsidR="008C0A47">
            <w:pPr>
              <w:jc w:val="left"/>
              <w:rPr>
                <w:rFonts w:ascii="宋体" w:hAnsi="宋体" w:cs="宋体"/>
                <w:kern w:val="0"/>
                <w:szCs w:val="21"/>
              </w:rPr>
            </w:pPr>
          </w:p>
        </w:tc>
        <w:tc>
          <w:tcPr>
            <w:tcW w:w="2992" w:type="dxa"/>
            <w:tcBorders>
              <w:top w:val="nil"/>
              <w:left w:val="nil"/>
              <w:bottom w:val="single" w:sz="4" w:space="0" w:color="auto"/>
              <w:right w:val="single" w:sz="4" w:space="0" w:color="auto"/>
            </w:tcBorders>
            <w:shd w:val="clear" w:color="auto" w:fill="auto"/>
            <w:vAlign w:val="center"/>
          </w:tcPr>
          <w:p w:rsidR="008C0A47">
            <w:pPr>
              <w:jc w:val="left"/>
              <w:rPr>
                <w:rFonts w:ascii="宋体" w:hAnsi="宋体" w:cs="宋体"/>
                <w:kern w:val="0"/>
                <w:szCs w:val="21"/>
              </w:rPr>
            </w:pPr>
          </w:p>
        </w:tc>
        <w:tc>
          <w:tcPr>
            <w:tcW w:w="1544" w:type="dxa"/>
            <w:tcBorders>
              <w:top w:val="nil"/>
              <w:left w:val="nil"/>
              <w:bottom w:val="single" w:sz="4" w:space="0" w:color="auto"/>
              <w:right w:val="single" w:sz="4" w:space="0" w:color="auto"/>
            </w:tcBorders>
            <w:shd w:val="clear" w:color="auto" w:fill="auto"/>
            <w:vAlign w:val="center"/>
          </w:tcPr>
          <w:p w:rsidR="008C0A47">
            <w:pPr>
              <w:jc w:val="right"/>
              <w:rPr>
                <w:rFonts w:ascii="宋体" w:hAnsi="宋体" w:cs="宋体"/>
                <w:kern w:val="0"/>
                <w:szCs w:val="21"/>
              </w:rPr>
            </w:pPr>
            <w:r>
              <w:rPr>
                <w:rFonts w:ascii="宋体" w:hAnsi="宋体" w:cs="宋体" w:hint="eastAsia"/>
                <w:kern w:val="0"/>
                <w:szCs w:val="21"/>
              </w:rPr>
              <w:t>　</w:t>
            </w:r>
          </w:p>
        </w:tc>
        <w:tc>
          <w:tcPr>
            <w:tcW w:w="2246" w:type="dxa"/>
            <w:vMerge/>
            <w:tcBorders>
              <w:left w:val="nil"/>
              <w:right w:val="single" w:sz="8" w:space="0" w:color="auto"/>
            </w:tcBorders>
            <w:shd w:val="clear" w:color="auto" w:fill="auto"/>
            <w:vAlign w:val="center"/>
          </w:tcPr>
          <w:p w:rsidR="008C0A47">
            <w:pPr>
              <w:adjustRightInd w:val="0"/>
              <w:jc w:val="left"/>
              <w:textAlignment w:val="baseline"/>
              <w:outlineLvl w:val="1"/>
              <w:rPr>
                <w:rFonts w:ascii="宋体" w:hAnsi="宋体" w:cs="宋体"/>
                <w:kern w:val="0"/>
                <w:szCs w:val="21"/>
              </w:rPr>
            </w:pPr>
          </w:p>
        </w:tc>
      </w:tr>
      <w:tr>
        <w:tblPrEx>
          <w:tblW w:w="8529" w:type="dxa"/>
          <w:jc w:val="center"/>
          <w:tblLayout w:type="fixed"/>
          <w:tblLook w:val="04A0"/>
        </w:tblPrEx>
        <w:trPr>
          <w:trHeight w:val="567"/>
          <w:jc w:val="center"/>
        </w:trPr>
        <w:tc>
          <w:tcPr>
            <w:tcW w:w="757" w:type="dxa"/>
            <w:vMerge/>
            <w:tcBorders>
              <w:left w:val="single" w:sz="8" w:space="0" w:color="auto"/>
              <w:right w:val="single" w:sz="4" w:space="0" w:color="auto"/>
            </w:tcBorders>
            <w:shd w:val="clear" w:color="auto" w:fill="auto"/>
            <w:vAlign w:val="center"/>
          </w:tcPr>
          <w:p w:rsidR="008C0A47">
            <w:pPr>
              <w:jc w:val="center"/>
              <w:rPr>
                <w:rFonts w:ascii="宋体" w:hAnsi="宋体" w:cs="宋体"/>
                <w:kern w:val="0"/>
                <w:szCs w:val="21"/>
              </w:rPr>
            </w:pPr>
          </w:p>
        </w:tc>
        <w:tc>
          <w:tcPr>
            <w:tcW w:w="990" w:type="dxa"/>
            <w:vMerge/>
            <w:tcBorders>
              <w:top w:val="nil"/>
              <w:left w:val="single" w:sz="4" w:space="0" w:color="auto"/>
              <w:bottom w:val="single" w:sz="4" w:space="0" w:color="auto"/>
              <w:right w:val="single" w:sz="4" w:space="0" w:color="auto"/>
            </w:tcBorders>
            <w:shd w:val="clear" w:color="auto" w:fill="auto"/>
            <w:vAlign w:val="center"/>
          </w:tcPr>
          <w:p w:rsidR="008C0A47">
            <w:pPr>
              <w:jc w:val="left"/>
              <w:rPr>
                <w:rFonts w:ascii="宋体" w:hAnsi="宋体" w:cs="宋体"/>
                <w:kern w:val="0"/>
                <w:szCs w:val="21"/>
              </w:rPr>
            </w:pPr>
          </w:p>
        </w:tc>
        <w:tc>
          <w:tcPr>
            <w:tcW w:w="2992" w:type="dxa"/>
            <w:tcBorders>
              <w:top w:val="nil"/>
              <w:left w:val="nil"/>
              <w:bottom w:val="single" w:sz="4" w:space="0" w:color="auto"/>
              <w:right w:val="single" w:sz="4" w:space="0" w:color="auto"/>
            </w:tcBorders>
            <w:shd w:val="clear" w:color="auto" w:fill="auto"/>
            <w:vAlign w:val="center"/>
          </w:tcPr>
          <w:p w:rsidR="008C0A47">
            <w:pPr>
              <w:jc w:val="left"/>
              <w:rPr>
                <w:rFonts w:ascii="宋体" w:hAnsi="宋体" w:cs="宋体"/>
                <w:kern w:val="0"/>
                <w:szCs w:val="21"/>
              </w:rPr>
            </w:pPr>
          </w:p>
        </w:tc>
        <w:tc>
          <w:tcPr>
            <w:tcW w:w="1544" w:type="dxa"/>
            <w:tcBorders>
              <w:top w:val="nil"/>
              <w:left w:val="nil"/>
              <w:bottom w:val="single" w:sz="4" w:space="0" w:color="auto"/>
              <w:right w:val="single" w:sz="4" w:space="0" w:color="auto"/>
            </w:tcBorders>
            <w:shd w:val="clear" w:color="auto" w:fill="auto"/>
            <w:vAlign w:val="center"/>
          </w:tcPr>
          <w:p w:rsidR="008C0A47">
            <w:pPr>
              <w:jc w:val="right"/>
              <w:rPr>
                <w:rFonts w:ascii="宋体" w:hAnsi="宋体" w:cs="宋体"/>
                <w:kern w:val="0"/>
                <w:szCs w:val="21"/>
              </w:rPr>
            </w:pPr>
            <w:r>
              <w:rPr>
                <w:rFonts w:ascii="宋体" w:hAnsi="宋体" w:cs="宋体" w:hint="eastAsia"/>
                <w:kern w:val="0"/>
                <w:szCs w:val="21"/>
              </w:rPr>
              <w:t>　</w:t>
            </w:r>
          </w:p>
        </w:tc>
        <w:tc>
          <w:tcPr>
            <w:tcW w:w="2246" w:type="dxa"/>
            <w:vMerge/>
            <w:tcBorders>
              <w:left w:val="nil"/>
              <w:right w:val="single" w:sz="8" w:space="0" w:color="auto"/>
            </w:tcBorders>
            <w:shd w:val="clear" w:color="auto" w:fill="auto"/>
            <w:vAlign w:val="center"/>
          </w:tcPr>
          <w:p w:rsidR="008C0A47">
            <w:pPr>
              <w:adjustRightInd w:val="0"/>
              <w:jc w:val="left"/>
              <w:textAlignment w:val="baseline"/>
              <w:outlineLvl w:val="1"/>
              <w:rPr>
                <w:rFonts w:ascii="宋体" w:hAnsi="宋体" w:cs="宋体"/>
                <w:kern w:val="0"/>
                <w:szCs w:val="21"/>
              </w:rPr>
            </w:pPr>
          </w:p>
        </w:tc>
      </w:tr>
      <w:tr>
        <w:tblPrEx>
          <w:tblW w:w="8529" w:type="dxa"/>
          <w:jc w:val="center"/>
          <w:tblLayout w:type="fixed"/>
          <w:tblLook w:val="04A0"/>
        </w:tblPrEx>
        <w:trPr>
          <w:trHeight w:val="567"/>
          <w:jc w:val="center"/>
        </w:trPr>
        <w:tc>
          <w:tcPr>
            <w:tcW w:w="757" w:type="dxa"/>
            <w:vMerge/>
            <w:tcBorders>
              <w:left w:val="single" w:sz="8" w:space="0" w:color="auto"/>
              <w:right w:val="single" w:sz="4" w:space="0" w:color="auto"/>
            </w:tcBorders>
            <w:shd w:val="clear" w:color="auto" w:fill="auto"/>
            <w:vAlign w:val="center"/>
          </w:tcPr>
          <w:p w:rsidR="008C0A47">
            <w:pPr>
              <w:jc w:val="center"/>
              <w:rPr>
                <w:rFonts w:ascii="宋体" w:hAnsi="宋体" w:cs="宋体"/>
                <w:kern w:val="0"/>
                <w:szCs w:val="21"/>
              </w:rPr>
            </w:pPr>
          </w:p>
        </w:tc>
        <w:tc>
          <w:tcPr>
            <w:tcW w:w="990" w:type="dxa"/>
            <w:vMerge/>
            <w:tcBorders>
              <w:top w:val="nil"/>
              <w:left w:val="single" w:sz="4" w:space="0" w:color="auto"/>
              <w:bottom w:val="single" w:sz="4" w:space="0" w:color="auto"/>
              <w:right w:val="single" w:sz="4" w:space="0" w:color="auto"/>
            </w:tcBorders>
            <w:shd w:val="clear" w:color="auto" w:fill="auto"/>
            <w:vAlign w:val="center"/>
          </w:tcPr>
          <w:p w:rsidR="008C0A47">
            <w:pPr>
              <w:jc w:val="left"/>
              <w:rPr>
                <w:rFonts w:ascii="宋体" w:hAnsi="宋体" w:cs="宋体"/>
                <w:kern w:val="0"/>
                <w:szCs w:val="21"/>
              </w:rPr>
            </w:pPr>
          </w:p>
        </w:tc>
        <w:tc>
          <w:tcPr>
            <w:tcW w:w="2992" w:type="dxa"/>
            <w:tcBorders>
              <w:top w:val="nil"/>
              <w:left w:val="nil"/>
              <w:bottom w:val="single" w:sz="4" w:space="0" w:color="auto"/>
              <w:right w:val="single" w:sz="4" w:space="0" w:color="auto"/>
            </w:tcBorders>
            <w:shd w:val="clear" w:color="auto" w:fill="auto"/>
            <w:vAlign w:val="center"/>
          </w:tcPr>
          <w:p w:rsidR="008C0A47">
            <w:pPr>
              <w:jc w:val="left"/>
              <w:rPr>
                <w:rFonts w:ascii="宋体" w:hAnsi="宋体" w:cs="宋体"/>
                <w:kern w:val="0"/>
                <w:szCs w:val="21"/>
              </w:rPr>
            </w:pPr>
          </w:p>
        </w:tc>
        <w:tc>
          <w:tcPr>
            <w:tcW w:w="1544" w:type="dxa"/>
            <w:tcBorders>
              <w:top w:val="nil"/>
              <w:left w:val="nil"/>
              <w:bottom w:val="single" w:sz="4" w:space="0" w:color="auto"/>
              <w:right w:val="single" w:sz="4" w:space="0" w:color="auto"/>
            </w:tcBorders>
            <w:shd w:val="clear" w:color="auto" w:fill="auto"/>
            <w:vAlign w:val="center"/>
          </w:tcPr>
          <w:p w:rsidR="008C0A47">
            <w:pPr>
              <w:jc w:val="right"/>
              <w:rPr>
                <w:rFonts w:ascii="宋体" w:hAnsi="宋体" w:cs="宋体"/>
                <w:kern w:val="0"/>
                <w:szCs w:val="21"/>
              </w:rPr>
            </w:pPr>
            <w:r>
              <w:rPr>
                <w:rFonts w:ascii="宋体" w:hAnsi="宋体" w:cs="宋体" w:hint="eastAsia"/>
                <w:kern w:val="0"/>
                <w:szCs w:val="21"/>
              </w:rPr>
              <w:t>　</w:t>
            </w:r>
          </w:p>
        </w:tc>
        <w:tc>
          <w:tcPr>
            <w:tcW w:w="2246" w:type="dxa"/>
            <w:vMerge/>
            <w:tcBorders>
              <w:left w:val="nil"/>
              <w:right w:val="single" w:sz="8" w:space="0" w:color="auto"/>
            </w:tcBorders>
            <w:shd w:val="clear" w:color="auto" w:fill="auto"/>
            <w:vAlign w:val="center"/>
          </w:tcPr>
          <w:p w:rsidR="008C0A47">
            <w:pPr>
              <w:adjustRightInd w:val="0"/>
              <w:jc w:val="left"/>
              <w:textAlignment w:val="baseline"/>
              <w:outlineLvl w:val="1"/>
              <w:rPr>
                <w:rFonts w:ascii="宋体" w:hAnsi="宋体" w:cs="宋体"/>
                <w:kern w:val="0"/>
                <w:szCs w:val="21"/>
              </w:rPr>
            </w:pPr>
          </w:p>
        </w:tc>
      </w:tr>
      <w:tr>
        <w:tblPrEx>
          <w:tblW w:w="8529" w:type="dxa"/>
          <w:jc w:val="center"/>
          <w:tblLayout w:type="fixed"/>
          <w:tblLook w:val="04A0"/>
        </w:tblPrEx>
        <w:trPr>
          <w:trHeight w:val="567"/>
          <w:jc w:val="center"/>
        </w:trPr>
        <w:tc>
          <w:tcPr>
            <w:tcW w:w="757" w:type="dxa"/>
            <w:vMerge/>
            <w:tcBorders>
              <w:left w:val="single" w:sz="8" w:space="0" w:color="auto"/>
              <w:right w:val="single" w:sz="4" w:space="0" w:color="auto"/>
            </w:tcBorders>
            <w:shd w:val="clear" w:color="auto" w:fill="auto"/>
            <w:vAlign w:val="center"/>
          </w:tcPr>
          <w:p w:rsidR="008C0A47">
            <w:pPr>
              <w:jc w:val="center"/>
              <w:rPr>
                <w:rFonts w:ascii="宋体" w:hAnsi="宋体" w:cs="宋体"/>
                <w:kern w:val="0"/>
                <w:szCs w:val="21"/>
              </w:rPr>
            </w:pPr>
          </w:p>
        </w:tc>
        <w:tc>
          <w:tcPr>
            <w:tcW w:w="990" w:type="dxa"/>
            <w:vMerge/>
            <w:tcBorders>
              <w:top w:val="nil"/>
              <w:left w:val="single" w:sz="4" w:space="0" w:color="auto"/>
              <w:bottom w:val="single" w:sz="4" w:space="0" w:color="auto"/>
              <w:right w:val="single" w:sz="4" w:space="0" w:color="auto"/>
            </w:tcBorders>
            <w:shd w:val="clear" w:color="auto" w:fill="auto"/>
            <w:vAlign w:val="center"/>
          </w:tcPr>
          <w:p w:rsidR="008C0A47">
            <w:pPr>
              <w:jc w:val="left"/>
              <w:rPr>
                <w:rFonts w:ascii="宋体" w:hAnsi="宋体" w:cs="宋体"/>
                <w:kern w:val="0"/>
                <w:szCs w:val="21"/>
              </w:rPr>
            </w:pPr>
          </w:p>
        </w:tc>
        <w:tc>
          <w:tcPr>
            <w:tcW w:w="2992" w:type="dxa"/>
            <w:tcBorders>
              <w:top w:val="nil"/>
              <w:left w:val="nil"/>
              <w:bottom w:val="single" w:sz="4" w:space="0" w:color="auto"/>
              <w:right w:val="single" w:sz="4" w:space="0" w:color="auto"/>
            </w:tcBorders>
            <w:shd w:val="clear" w:color="auto" w:fill="auto"/>
            <w:vAlign w:val="center"/>
          </w:tcPr>
          <w:p w:rsidR="008C0A47">
            <w:pPr>
              <w:jc w:val="left"/>
              <w:rPr>
                <w:rFonts w:ascii="宋体" w:hAnsi="宋体" w:cs="宋体"/>
                <w:kern w:val="0"/>
                <w:szCs w:val="21"/>
              </w:rPr>
            </w:pPr>
          </w:p>
        </w:tc>
        <w:tc>
          <w:tcPr>
            <w:tcW w:w="1544" w:type="dxa"/>
            <w:tcBorders>
              <w:top w:val="nil"/>
              <w:left w:val="nil"/>
              <w:bottom w:val="single" w:sz="4" w:space="0" w:color="auto"/>
              <w:right w:val="single" w:sz="4" w:space="0" w:color="auto"/>
            </w:tcBorders>
            <w:shd w:val="clear" w:color="auto" w:fill="auto"/>
            <w:vAlign w:val="center"/>
          </w:tcPr>
          <w:p w:rsidR="008C0A47">
            <w:pPr>
              <w:jc w:val="right"/>
              <w:rPr>
                <w:rFonts w:ascii="宋体" w:hAnsi="宋体" w:cs="宋体"/>
                <w:kern w:val="0"/>
                <w:szCs w:val="21"/>
              </w:rPr>
            </w:pPr>
            <w:r>
              <w:rPr>
                <w:rFonts w:ascii="宋体" w:hAnsi="宋体" w:cs="宋体" w:hint="eastAsia"/>
                <w:kern w:val="0"/>
                <w:szCs w:val="21"/>
              </w:rPr>
              <w:t>　</w:t>
            </w:r>
          </w:p>
        </w:tc>
        <w:tc>
          <w:tcPr>
            <w:tcW w:w="2246" w:type="dxa"/>
            <w:vMerge/>
            <w:tcBorders>
              <w:left w:val="nil"/>
              <w:bottom w:val="single" w:sz="4" w:space="0" w:color="auto"/>
              <w:right w:val="single" w:sz="8" w:space="0" w:color="auto"/>
            </w:tcBorders>
            <w:shd w:val="clear" w:color="auto" w:fill="auto"/>
            <w:vAlign w:val="center"/>
          </w:tcPr>
          <w:p w:rsidR="008C0A47">
            <w:pPr>
              <w:adjustRightInd w:val="0"/>
              <w:jc w:val="left"/>
              <w:textAlignment w:val="baseline"/>
              <w:outlineLvl w:val="1"/>
              <w:rPr>
                <w:rFonts w:ascii="宋体" w:hAnsi="宋体" w:cs="宋体"/>
                <w:kern w:val="0"/>
                <w:szCs w:val="21"/>
              </w:rPr>
            </w:pPr>
          </w:p>
        </w:tc>
      </w:tr>
      <w:tr>
        <w:tblPrEx>
          <w:tblW w:w="8529" w:type="dxa"/>
          <w:jc w:val="center"/>
          <w:tblLayout w:type="fixed"/>
          <w:tblLook w:val="04A0"/>
        </w:tblPrEx>
        <w:trPr>
          <w:trHeight w:val="567"/>
          <w:jc w:val="center"/>
        </w:trPr>
        <w:tc>
          <w:tcPr>
            <w:tcW w:w="757" w:type="dxa"/>
            <w:vMerge/>
            <w:tcBorders>
              <w:left w:val="single" w:sz="8" w:space="0" w:color="auto"/>
              <w:bottom w:val="single" w:sz="4" w:space="0" w:color="auto"/>
              <w:right w:val="single" w:sz="4" w:space="0" w:color="auto"/>
            </w:tcBorders>
            <w:shd w:val="clear" w:color="auto" w:fill="auto"/>
            <w:vAlign w:val="center"/>
          </w:tcPr>
          <w:p w:rsidR="008C0A47">
            <w:pPr>
              <w:jc w:val="center"/>
              <w:rPr>
                <w:rFonts w:ascii="宋体" w:hAnsi="宋体" w:cs="宋体"/>
                <w:kern w:val="0"/>
                <w:szCs w:val="21"/>
              </w:rPr>
            </w:pPr>
          </w:p>
        </w:tc>
        <w:tc>
          <w:tcPr>
            <w:tcW w:w="3982" w:type="dxa"/>
            <w:gridSpan w:val="2"/>
            <w:tcBorders>
              <w:top w:val="single" w:sz="4" w:space="0" w:color="auto"/>
              <w:left w:val="nil"/>
              <w:bottom w:val="single" w:sz="4" w:space="0" w:color="auto"/>
              <w:right w:val="single" w:sz="4" w:space="0" w:color="auto"/>
            </w:tcBorders>
            <w:shd w:val="clear" w:color="auto" w:fill="auto"/>
            <w:vAlign w:val="center"/>
          </w:tcPr>
          <w:p w:rsidR="008C0A47">
            <w:pPr>
              <w:jc w:val="center"/>
              <w:rPr>
                <w:rFonts w:ascii="宋体" w:hAnsi="宋体" w:cs="宋体"/>
                <w:kern w:val="0"/>
                <w:szCs w:val="21"/>
              </w:rPr>
            </w:pPr>
            <w:r>
              <w:rPr>
                <w:rFonts w:ascii="宋体" w:hAnsi="宋体" w:cs="宋体"/>
                <w:kern w:val="0"/>
                <w:szCs w:val="21"/>
              </w:rPr>
              <w:t>**</w:t>
            </w:r>
            <w:r>
              <w:rPr>
                <w:rFonts w:ascii="宋体" w:hAnsi="宋体" w:cs="宋体" w:hint="eastAsia"/>
                <w:kern w:val="0"/>
                <w:szCs w:val="21"/>
              </w:rPr>
              <w:t>费用小计</w:t>
            </w:r>
          </w:p>
        </w:tc>
        <w:tc>
          <w:tcPr>
            <w:tcW w:w="1544" w:type="dxa"/>
            <w:tcBorders>
              <w:top w:val="nil"/>
              <w:left w:val="nil"/>
              <w:bottom w:val="single" w:sz="4" w:space="0" w:color="auto"/>
              <w:right w:val="single" w:sz="4" w:space="0" w:color="auto"/>
            </w:tcBorders>
            <w:shd w:val="clear" w:color="auto" w:fill="auto"/>
            <w:vAlign w:val="center"/>
          </w:tcPr>
          <w:p w:rsidR="008C0A47">
            <w:pPr>
              <w:jc w:val="right"/>
              <w:rPr>
                <w:rFonts w:ascii="宋体" w:hAnsi="宋体" w:cs="宋体"/>
                <w:kern w:val="0"/>
                <w:szCs w:val="21"/>
              </w:rPr>
            </w:pPr>
            <w:r>
              <w:rPr>
                <w:rFonts w:ascii="宋体" w:hAnsi="宋体" w:cs="宋体" w:hint="eastAsia"/>
                <w:kern w:val="0"/>
                <w:szCs w:val="21"/>
              </w:rPr>
              <w:t>　</w:t>
            </w:r>
          </w:p>
        </w:tc>
        <w:tc>
          <w:tcPr>
            <w:tcW w:w="2246" w:type="dxa"/>
            <w:tcBorders>
              <w:top w:val="nil"/>
              <w:left w:val="nil"/>
              <w:bottom w:val="single" w:sz="4" w:space="0" w:color="auto"/>
              <w:right w:val="single" w:sz="8" w:space="0" w:color="auto"/>
            </w:tcBorders>
            <w:shd w:val="clear" w:color="auto" w:fill="auto"/>
            <w:vAlign w:val="center"/>
          </w:tcPr>
          <w:p w:rsidR="008C0A47">
            <w:pPr>
              <w:jc w:val="left"/>
              <w:rPr>
                <w:rFonts w:ascii="宋体" w:hAnsi="宋体" w:cs="宋体"/>
                <w:kern w:val="0"/>
                <w:szCs w:val="21"/>
              </w:rPr>
            </w:pPr>
            <w:r>
              <w:rPr>
                <w:rFonts w:ascii="宋体" w:hAnsi="宋体" w:cs="宋体" w:hint="eastAsia"/>
                <w:kern w:val="0"/>
                <w:szCs w:val="21"/>
              </w:rPr>
              <w:t>　</w:t>
            </w:r>
          </w:p>
        </w:tc>
      </w:tr>
      <w:tr>
        <w:tblPrEx>
          <w:tblW w:w="8529" w:type="dxa"/>
          <w:jc w:val="center"/>
          <w:tblLayout w:type="fixed"/>
          <w:tblLook w:val="04A0"/>
        </w:tblPrEx>
        <w:trPr>
          <w:trHeight w:val="567"/>
          <w:jc w:val="center"/>
        </w:trPr>
        <w:tc>
          <w:tcPr>
            <w:tcW w:w="757" w:type="dxa"/>
            <w:vMerge w:val="restart"/>
            <w:tcBorders>
              <w:top w:val="nil"/>
              <w:left w:val="single" w:sz="8" w:space="0" w:color="auto"/>
              <w:right w:val="single" w:sz="4" w:space="0" w:color="auto"/>
            </w:tcBorders>
            <w:shd w:val="clear" w:color="auto" w:fill="auto"/>
            <w:vAlign w:val="center"/>
          </w:tcPr>
          <w:p w:rsidR="008C0A47">
            <w:pPr>
              <w:jc w:val="center"/>
              <w:rPr>
                <w:rFonts w:ascii="宋体" w:hAnsi="宋体" w:cs="宋体"/>
                <w:kern w:val="0"/>
                <w:szCs w:val="21"/>
              </w:rPr>
            </w:pPr>
            <w:r>
              <w:rPr>
                <w:rFonts w:ascii="宋体" w:hAnsi="宋体" w:cs="宋体" w:hint="eastAsia"/>
                <w:kern w:val="0"/>
                <w:szCs w:val="21"/>
              </w:rPr>
              <w:t>三</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tcPr>
          <w:p w:rsidR="008C0A47">
            <w:pPr>
              <w:jc w:val="center"/>
              <w:rPr>
                <w:rFonts w:ascii="宋体" w:hAnsi="宋体" w:cs="宋体"/>
                <w:kern w:val="0"/>
                <w:szCs w:val="21"/>
              </w:rPr>
            </w:pPr>
            <w:r>
              <w:rPr>
                <w:rFonts w:ascii="宋体" w:hAnsi="宋体" w:cs="宋体" w:hint="eastAsia"/>
                <w:kern w:val="0"/>
                <w:szCs w:val="21"/>
              </w:rPr>
              <w:t>其他费用</w:t>
            </w:r>
          </w:p>
        </w:tc>
        <w:tc>
          <w:tcPr>
            <w:tcW w:w="2992" w:type="dxa"/>
            <w:tcBorders>
              <w:top w:val="nil"/>
              <w:left w:val="nil"/>
              <w:bottom w:val="single" w:sz="4" w:space="0" w:color="auto"/>
              <w:right w:val="single" w:sz="4" w:space="0" w:color="auto"/>
            </w:tcBorders>
            <w:shd w:val="clear" w:color="auto" w:fill="auto"/>
            <w:vAlign w:val="center"/>
          </w:tcPr>
          <w:p w:rsidR="008C0A47">
            <w:pPr>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w:t>
            </w:r>
          </w:p>
        </w:tc>
        <w:tc>
          <w:tcPr>
            <w:tcW w:w="1544" w:type="dxa"/>
            <w:tcBorders>
              <w:top w:val="nil"/>
              <w:left w:val="nil"/>
              <w:bottom w:val="single" w:sz="4" w:space="0" w:color="auto"/>
              <w:right w:val="single" w:sz="4" w:space="0" w:color="auto"/>
            </w:tcBorders>
            <w:shd w:val="clear" w:color="auto" w:fill="auto"/>
            <w:vAlign w:val="center"/>
          </w:tcPr>
          <w:p w:rsidR="008C0A47">
            <w:pPr>
              <w:jc w:val="right"/>
              <w:rPr>
                <w:rFonts w:ascii="宋体" w:hAnsi="宋体" w:cs="宋体"/>
                <w:kern w:val="0"/>
                <w:szCs w:val="21"/>
              </w:rPr>
            </w:pPr>
            <w:r>
              <w:rPr>
                <w:rFonts w:ascii="宋体" w:hAnsi="宋体" w:cs="宋体" w:hint="eastAsia"/>
                <w:kern w:val="0"/>
                <w:szCs w:val="21"/>
              </w:rPr>
              <w:t>　</w:t>
            </w:r>
          </w:p>
        </w:tc>
        <w:tc>
          <w:tcPr>
            <w:tcW w:w="2246" w:type="dxa"/>
            <w:tcBorders>
              <w:top w:val="nil"/>
              <w:left w:val="nil"/>
              <w:bottom w:val="single" w:sz="4" w:space="0" w:color="auto"/>
              <w:right w:val="single" w:sz="8" w:space="0" w:color="auto"/>
            </w:tcBorders>
            <w:shd w:val="clear" w:color="auto" w:fill="auto"/>
            <w:vAlign w:val="center"/>
          </w:tcPr>
          <w:p w:rsidR="008C0A47">
            <w:pPr>
              <w:jc w:val="left"/>
              <w:rPr>
                <w:rFonts w:ascii="宋体" w:hAnsi="宋体" w:cs="宋体"/>
                <w:kern w:val="0"/>
                <w:szCs w:val="21"/>
              </w:rPr>
            </w:pPr>
          </w:p>
        </w:tc>
      </w:tr>
      <w:tr>
        <w:tblPrEx>
          <w:tblW w:w="8529" w:type="dxa"/>
          <w:jc w:val="center"/>
          <w:tblLayout w:type="fixed"/>
          <w:tblLook w:val="04A0"/>
        </w:tblPrEx>
        <w:trPr>
          <w:trHeight w:val="567"/>
          <w:jc w:val="center"/>
        </w:trPr>
        <w:tc>
          <w:tcPr>
            <w:tcW w:w="757" w:type="dxa"/>
            <w:vMerge/>
            <w:tcBorders>
              <w:left w:val="single" w:sz="8" w:space="0" w:color="auto"/>
              <w:right w:val="single" w:sz="4" w:space="0" w:color="auto"/>
            </w:tcBorders>
            <w:shd w:val="clear" w:color="auto" w:fill="auto"/>
            <w:vAlign w:val="center"/>
          </w:tcPr>
          <w:p w:rsidR="008C0A47">
            <w:pPr>
              <w:jc w:val="center"/>
              <w:rPr>
                <w:rFonts w:ascii="宋体" w:hAnsi="宋体" w:cs="宋体"/>
                <w:kern w:val="0"/>
                <w:szCs w:val="21"/>
              </w:rPr>
            </w:pPr>
          </w:p>
        </w:tc>
        <w:tc>
          <w:tcPr>
            <w:tcW w:w="990" w:type="dxa"/>
            <w:vMerge/>
            <w:tcBorders>
              <w:top w:val="nil"/>
              <w:left w:val="single" w:sz="4" w:space="0" w:color="auto"/>
              <w:bottom w:val="single" w:sz="4" w:space="0" w:color="auto"/>
              <w:right w:val="single" w:sz="4" w:space="0" w:color="auto"/>
            </w:tcBorders>
            <w:shd w:val="clear" w:color="auto" w:fill="auto"/>
            <w:vAlign w:val="center"/>
          </w:tcPr>
          <w:p w:rsidR="008C0A47">
            <w:pPr>
              <w:jc w:val="left"/>
              <w:rPr>
                <w:rFonts w:ascii="宋体" w:hAnsi="宋体" w:cs="宋体"/>
                <w:kern w:val="0"/>
                <w:szCs w:val="21"/>
              </w:rPr>
            </w:pPr>
          </w:p>
        </w:tc>
        <w:tc>
          <w:tcPr>
            <w:tcW w:w="2992" w:type="dxa"/>
            <w:tcBorders>
              <w:top w:val="nil"/>
              <w:left w:val="nil"/>
              <w:bottom w:val="single" w:sz="4" w:space="0" w:color="auto"/>
              <w:right w:val="single" w:sz="4" w:space="0" w:color="auto"/>
            </w:tcBorders>
            <w:shd w:val="clear" w:color="auto" w:fill="auto"/>
            <w:vAlign w:val="center"/>
          </w:tcPr>
          <w:p w:rsidR="008C0A47">
            <w:pPr>
              <w:jc w:val="left"/>
              <w:rPr>
                <w:rFonts w:ascii="宋体" w:hAnsi="宋体" w:cs="宋体"/>
                <w:kern w:val="0"/>
                <w:szCs w:val="21"/>
              </w:rPr>
            </w:pPr>
          </w:p>
        </w:tc>
        <w:tc>
          <w:tcPr>
            <w:tcW w:w="1544" w:type="dxa"/>
            <w:tcBorders>
              <w:top w:val="nil"/>
              <w:left w:val="nil"/>
              <w:bottom w:val="single" w:sz="4" w:space="0" w:color="auto"/>
              <w:right w:val="single" w:sz="4" w:space="0" w:color="auto"/>
            </w:tcBorders>
            <w:shd w:val="clear" w:color="auto" w:fill="auto"/>
            <w:vAlign w:val="center"/>
          </w:tcPr>
          <w:p w:rsidR="008C0A47">
            <w:pPr>
              <w:jc w:val="right"/>
              <w:rPr>
                <w:rFonts w:ascii="宋体" w:hAnsi="宋体" w:cs="宋体"/>
                <w:kern w:val="0"/>
                <w:szCs w:val="21"/>
              </w:rPr>
            </w:pPr>
            <w:r>
              <w:rPr>
                <w:rFonts w:ascii="宋体" w:hAnsi="宋体" w:cs="宋体" w:hint="eastAsia"/>
                <w:kern w:val="0"/>
                <w:szCs w:val="21"/>
              </w:rPr>
              <w:t>　</w:t>
            </w:r>
          </w:p>
        </w:tc>
        <w:tc>
          <w:tcPr>
            <w:tcW w:w="2246" w:type="dxa"/>
            <w:tcBorders>
              <w:top w:val="nil"/>
              <w:left w:val="nil"/>
              <w:bottom w:val="single" w:sz="4" w:space="0" w:color="auto"/>
              <w:right w:val="single" w:sz="8" w:space="0" w:color="auto"/>
            </w:tcBorders>
            <w:shd w:val="clear" w:color="auto" w:fill="auto"/>
            <w:vAlign w:val="center"/>
          </w:tcPr>
          <w:p w:rsidR="008C0A47">
            <w:pPr>
              <w:adjustRightInd w:val="0"/>
              <w:jc w:val="left"/>
              <w:textAlignment w:val="baseline"/>
              <w:outlineLvl w:val="1"/>
              <w:rPr>
                <w:rFonts w:ascii="宋体" w:hAnsi="宋体" w:cs="宋体"/>
                <w:kern w:val="0"/>
                <w:szCs w:val="21"/>
              </w:rPr>
            </w:pPr>
          </w:p>
        </w:tc>
      </w:tr>
      <w:tr>
        <w:tblPrEx>
          <w:tblW w:w="8529" w:type="dxa"/>
          <w:jc w:val="center"/>
          <w:tblLayout w:type="fixed"/>
          <w:tblLook w:val="04A0"/>
        </w:tblPrEx>
        <w:trPr>
          <w:trHeight w:val="567"/>
          <w:jc w:val="center"/>
        </w:trPr>
        <w:tc>
          <w:tcPr>
            <w:tcW w:w="757" w:type="dxa"/>
            <w:vMerge/>
            <w:tcBorders>
              <w:left w:val="single" w:sz="8" w:space="0" w:color="auto"/>
              <w:bottom w:val="single" w:sz="4" w:space="0" w:color="auto"/>
              <w:right w:val="single" w:sz="4" w:space="0" w:color="auto"/>
            </w:tcBorders>
            <w:shd w:val="clear" w:color="auto" w:fill="auto"/>
            <w:vAlign w:val="center"/>
          </w:tcPr>
          <w:p w:rsidR="008C0A47">
            <w:pPr>
              <w:jc w:val="center"/>
              <w:rPr>
                <w:rFonts w:ascii="宋体" w:hAnsi="宋体" w:cs="宋体"/>
                <w:kern w:val="0"/>
                <w:szCs w:val="21"/>
              </w:rPr>
            </w:pPr>
          </w:p>
        </w:tc>
        <w:tc>
          <w:tcPr>
            <w:tcW w:w="3982" w:type="dxa"/>
            <w:gridSpan w:val="2"/>
            <w:tcBorders>
              <w:top w:val="single" w:sz="4" w:space="0" w:color="auto"/>
              <w:left w:val="nil"/>
              <w:bottom w:val="single" w:sz="4" w:space="0" w:color="auto"/>
              <w:right w:val="single" w:sz="4" w:space="0" w:color="auto"/>
            </w:tcBorders>
            <w:shd w:val="clear" w:color="auto" w:fill="auto"/>
            <w:vAlign w:val="center"/>
          </w:tcPr>
          <w:p w:rsidR="008C0A47">
            <w:pPr>
              <w:jc w:val="center"/>
              <w:rPr>
                <w:rFonts w:ascii="宋体" w:hAnsi="宋体" w:cs="宋体"/>
                <w:kern w:val="0"/>
                <w:szCs w:val="21"/>
              </w:rPr>
            </w:pPr>
            <w:r>
              <w:rPr>
                <w:rFonts w:ascii="宋体" w:hAnsi="宋体" w:cs="宋体" w:hint="eastAsia"/>
                <w:kern w:val="0"/>
                <w:szCs w:val="21"/>
              </w:rPr>
              <w:t>其他费用小计</w:t>
            </w:r>
          </w:p>
        </w:tc>
        <w:tc>
          <w:tcPr>
            <w:tcW w:w="1544" w:type="dxa"/>
            <w:tcBorders>
              <w:top w:val="nil"/>
              <w:left w:val="nil"/>
              <w:bottom w:val="single" w:sz="4" w:space="0" w:color="auto"/>
              <w:right w:val="single" w:sz="4" w:space="0" w:color="auto"/>
            </w:tcBorders>
            <w:shd w:val="clear" w:color="auto" w:fill="auto"/>
            <w:vAlign w:val="center"/>
          </w:tcPr>
          <w:p w:rsidR="008C0A47">
            <w:pPr>
              <w:jc w:val="right"/>
              <w:rPr>
                <w:rFonts w:ascii="宋体" w:hAnsi="宋体" w:cs="宋体"/>
                <w:kern w:val="0"/>
                <w:szCs w:val="21"/>
              </w:rPr>
            </w:pPr>
            <w:r>
              <w:rPr>
                <w:rFonts w:ascii="宋体" w:hAnsi="宋体" w:cs="宋体" w:hint="eastAsia"/>
                <w:kern w:val="0"/>
                <w:szCs w:val="21"/>
              </w:rPr>
              <w:t>　</w:t>
            </w:r>
          </w:p>
        </w:tc>
        <w:tc>
          <w:tcPr>
            <w:tcW w:w="2246" w:type="dxa"/>
            <w:tcBorders>
              <w:top w:val="nil"/>
              <w:left w:val="nil"/>
              <w:bottom w:val="single" w:sz="4" w:space="0" w:color="auto"/>
              <w:right w:val="single" w:sz="8" w:space="0" w:color="auto"/>
            </w:tcBorders>
            <w:shd w:val="clear" w:color="auto" w:fill="auto"/>
            <w:vAlign w:val="center"/>
          </w:tcPr>
          <w:p w:rsidR="008C0A47">
            <w:pPr>
              <w:jc w:val="left"/>
              <w:rPr>
                <w:rFonts w:ascii="宋体" w:hAnsi="宋体" w:cs="宋体"/>
                <w:kern w:val="0"/>
                <w:szCs w:val="21"/>
              </w:rPr>
            </w:pPr>
            <w:r>
              <w:rPr>
                <w:rFonts w:ascii="宋体" w:hAnsi="宋体" w:cs="宋体" w:hint="eastAsia"/>
                <w:kern w:val="0"/>
                <w:szCs w:val="21"/>
              </w:rPr>
              <w:t>　</w:t>
            </w:r>
          </w:p>
        </w:tc>
      </w:tr>
      <w:tr>
        <w:tblPrEx>
          <w:tblW w:w="8529" w:type="dxa"/>
          <w:jc w:val="center"/>
          <w:tblLayout w:type="fixed"/>
          <w:tblLook w:val="04A0"/>
        </w:tblPrEx>
        <w:trPr>
          <w:trHeight w:val="567"/>
          <w:jc w:val="center"/>
        </w:trPr>
        <w:tc>
          <w:tcPr>
            <w:tcW w:w="757" w:type="dxa"/>
            <w:tcBorders>
              <w:top w:val="nil"/>
              <w:left w:val="single" w:sz="8" w:space="0" w:color="auto"/>
              <w:bottom w:val="single" w:sz="4" w:space="0" w:color="auto"/>
              <w:right w:val="single" w:sz="4" w:space="0" w:color="auto"/>
            </w:tcBorders>
            <w:shd w:val="clear" w:color="auto" w:fill="auto"/>
            <w:vAlign w:val="center"/>
          </w:tcPr>
          <w:p w:rsidR="008C0A47">
            <w:pPr>
              <w:jc w:val="center"/>
              <w:rPr>
                <w:rFonts w:ascii="宋体" w:hAnsi="宋体" w:cs="宋体"/>
                <w:kern w:val="0"/>
                <w:szCs w:val="21"/>
              </w:rPr>
            </w:pPr>
            <w:r>
              <w:rPr>
                <w:rFonts w:ascii="宋体" w:hAnsi="宋体" w:cs="宋体" w:hint="eastAsia"/>
                <w:kern w:val="0"/>
                <w:szCs w:val="21"/>
              </w:rPr>
              <w:t>四</w:t>
            </w:r>
          </w:p>
        </w:tc>
        <w:tc>
          <w:tcPr>
            <w:tcW w:w="3982" w:type="dxa"/>
            <w:gridSpan w:val="2"/>
            <w:tcBorders>
              <w:top w:val="single" w:sz="4" w:space="0" w:color="auto"/>
              <w:left w:val="nil"/>
              <w:bottom w:val="single" w:sz="4" w:space="0" w:color="auto"/>
              <w:right w:val="single" w:sz="4" w:space="0" w:color="auto"/>
            </w:tcBorders>
            <w:shd w:val="clear" w:color="auto" w:fill="auto"/>
            <w:vAlign w:val="center"/>
          </w:tcPr>
          <w:p w:rsidR="008C0A47">
            <w:pPr>
              <w:jc w:val="left"/>
              <w:rPr>
                <w:rFonts w:ascii="宋体" w:hAnsi="宋体" w:cs="宋体"/>
                <w:kern w:val="0"/>
                <w:szCs w:val="21"/>
              </w:rPr>
            </w:pPr>
            <w:r>
              <w:rPr>
                <w:rFonts w:ascii="宋体" w:hAnsi="宋体" w:cs="宋体" w:hint="eastAsia"/>
                <w:kern w:val="0"/>
                <w:szCs w:val="21"/>
              </w:rPr>
              <w:t>税金</w:t>
            </w:r>
          </w:p>
        </w:tc>
        <w:tc>
          <w:tcPr>
            <w:tcW w:w="1544" w:type="dxa"/>
            <w:tcBorders>
              <w:top w:val="nil"/>
              <w:left w:val="nil"/>
              <w:bottom w:val="single" w:sz="4" w:space="0" w:color="auto"/>
              <w:right w:val="single" w:sz="4" w:space="0" w:color="auto"/>
            </w:tcBorders>
            <w:shd w:val="clear" w:color="auto" w:fill="auto"/>
            <w:vAlign w:val="center"/>
          </w:tcPr>
          <w:p w:rsidR="008C0A47">
            <w:pPr>
              <w:jc w:val="left"/>
              <w:rPr>
                <w:rFonts w:ascii="宋体" w:hAnsi="宋体" w:cs="宋体"/>
                <w:kern w:val="0"/>
                <w:szCs w:val="21"/>
              </w:rPr>
            </w:pPr>
            <w:r>
              <w:rPr>
                <w:rFonts w:ascii="宋体" w:hAnsi="宋体" w:cs="宋体" w:hint="eastAsia"/>
                <w:kern w:val="0"/>
                <w:szCs w:val="21"/>
              </w:rPr>
              <w:t>　</w:t>
            </w:r>
          </w:p>
        </w:tc>
        <w:tc>
          <w:tcPr>
            <w:tcW w:w="2246" w:type="dxa"/>
            <w:tcBorders>
              <w:top w:val="nil"/>
              <w:left w:val="nil"/>
              <w:bottom w:val="single" w:sz="4" w:space="0" w:color="auto"/>
              <w:right w:val="single" w:sz="8" w:space="0" w:color="auto"/>
            </w:tcBorders>
            <w:shd w:val="clear" w:color="auto" w:fill="auto"/>
            <w:vAlign w:val="center"/>
          </w:tcPr>
          <w:p w:rsidR="008C0A47">
            <w:pPr>
              <w:jc w:val="left"/>
              <w:rPr>
                <w:rFonts w:ascii="宋体" w:hAnsi="宋体" w:cs="宋体"/>
                <w:kern w:val="0"/>
                <w:szCs w:val="21"/>
              </w:rPr>
            </w:pPr>
            <w:r>
              <w:rPr>
                <w:rFonts w:ascii="宋体" w:hAnsi="宋体" w:cs="宋体" w:hint="eastAsia"/>
                <w:kern w:val="0"/>
                <w:szCs w:val="21"/>
              </w:rPr>
              <w:t>　</w:t>
            </w:r>
          </w:p>
        </w:tc>
      </w:tr>
      <w:tr>
        <w:tblPrEx>
          <w:tblW w:w="8529" w:type="dxa"/>
          <w:jc w:val="center"/>
          <w:tblLayout w:type="fixed"/>
          <w:tblLook w:val="04A0"/>
        </w:tblPrEx>
        <w:trPr>
          <w:trHeight w:val="567"/>
          <w:jc w:val="center"/>
        </w:trPr>
        <w:tc>
          <w:tcPr>
            <w:tcW w:w="757" w:type="dxa"/>
            <w:tcBorders>
              <w:top w:val="nil"/>
              <w:left w:val="single" w:sz="8" w:space="0" w:color="auto"/>
              <w:bottom w:val="single" w:sz="4" w:space="0" w:color="auto"/>
              <w:right w:val="single" w:sz="4" w:space="0" w:color="auto"/>
            </w:tcBorders>
            <w:shd w:val="clear" w:color="auto" w:fill="auto"/>
            <w:vAlign w:val="center"/>
          </w:tcPr>
          <w:p w:rsidR="008C0A47">
            <w:pPr>
              <w:jc w:val="center"/>
              <w:rPr>
                <w:rFonts w:ascii="宋体" w:hAnsi="宋体" w:cs="宋体"/>
                <w:kern w:val="0"/>
                <w:szCs w:val="21"/>
              </w:rPr>
            </w:pPr>
          </w:p>
        </w:tc>
        <w:tc>
          <w:tcPr>
            <w:tcW w:w="3982" w:type="dxa"/>
            <w:gridSpan w:val="2"/>
            <w:tcBorders>
              <w:top w:val="single" w:sz="4" w:space="0" w:color="auto"/>
              <w:left w:val="nil"/>
              <w:bottom w:val="single" w:sz="4" w:space="0" w:color="auto"/>
              <w:right w:val="single" w:sz="4" w:space="0" w:color="auto"/>
            </w:tcBorders>
            <w:shd w:val="clear" w:color="auto" w:fill="auto"/>
            <w:vAlign w:val="center"/>
          </w:tcPr>
          <w:p w:rsidR="008C0A47">
            <w:pPr>
              <w:jc w:val="left"/>
              <w:rPr>
                <w:rFonts w:ascii="宋体" w:hAnsi="宋体" w:cs="宋体"/>
                <w:kern w:val="0"/>
                <w:szCs w:val="21"/>
              </w:rPr>
            </w:pPr>
            <w:r>
              <w:rPr>
                <w:rFonts w:ascii="宋体" w:hAnsi="宋体" w:cs="宋体" w:hint="eastAsia"/>
                <w:b/>
                <w:bCs/>
                <w:kern w:val="0"/>
                <w:szCs w:val="21"/>
              </w:rPr>
              <w:t>……</w:t>
            </w:r>
          </w:p>
        </w:tc>
        <w:tc>
          <w:tcPr>
            <w:tcW w:w="1544" w:type="dxa"/>
            <w:tcBorders>
              <w:top w:val="nil"/>
              <w:left w:val="nil"/>
              <w:bottom w:val="single" w:sz="4" w:space="0" w:color="auto"/>
              <w:right w:val="single" w:sz="4" w:space="0" w:color="auto"/>
            </w:tcBorders>
            <w:shd w:val="clear" w:color="auto" w:fill="auto"/>
            <w:vAlign w:val="center"/>
          </w:tcPr>
          <w:p w:rsidR="008C0A47">
            <w:pPr>
              <w:jc w:val="left"/>
              <w:rPr>
                <w:rFonts w:ascii="宋体" w:hAnsi="宋体" w:cs="宋体"/>
                <w:kern w:val="0"/>
                <w:szCs w:val="21"/>
              </w:rPr>
            </w:pPr>
          </w:p>
        </w:tc>
        <w:tc>
          <w:tcPr>
            <w:tcW w:w="2246" w:type="dxa"/>
            <w:tcBorders>
              <w:top w:val="nil"/>
              <w:left w:val="nil"/>
              <w:bottom w:val="single" w:sz="4" w:space="0" w:color="auto"/>
              <w:right w:val="single" w:sz="8" w:space="0" w:color="auto"/>
            </w:tcBorders>
            <w:shd w:val="clear" w:color="auto" w:fill="auto"/>
            <w:vAlign w:val="center"/>
          </w:tcPr>
          <w:p w:rsidR="008C0A47">
            <w:pPr>
              <w:jc w:val="left"/>
              <w:rPr>
                <w:rFonts w:ascii="宋体" w:hAnsi="宋体" w:cs="宋体"/>
                <w:kern w:val="0"/>
                <w:szCs w:val="21"/>
              </w:rPr>
            </w:pPr>
          </w:p>
        </w:tc>
      </w:tr>
      <w:tr>
        <w:tblPrEx>
          <w:tblW w:w="8529" w:type="dxa"/>
          <w:jc w:val="center"/>
          <w:tblLayout w:type="fixed"/>
          <w:tblLook w:val="04A0"/>
        </w:tblPrEx>
        <w:trPr>
          <w:trHeight w:val="567"/>
          <w:jc w:val="center"/>
        </w:trPr>
        <w:tc>
          <w:tcPr>
            <w:tcW w:w="757" w:type="dxa"/>
            <w:tcBorders>
              <w:top w:val="nil"/>
              <w:left w:val="single" w:sz="8" w:space="0" w:color="auto"/>
              <w:bottom w:val="single" w:sz="4" w:space="0" w:color="auto"/>
              <w:right w:val="single" w:sz="4" w:space="0" w:color="auto"/>
            </w:tcBorders>
            <w:shd w:val="clear" w:color="auto" w:fill="auto"/>
            <w:vAlign w:val="center"/>
          </w:tcPr>
          <w:p w:rsidR="008C0A47">
            <w:pPr>
              <w:jc w:val="center"/>
              <w:rPr>
                <w:rFonts w:ascii="宋体" w:hAnsi="宋体" w:cs="宋体"/>
                <w:kern w:val="0"/>
                <w:szCs w:val="21"/>
              </w:rPr>
            </w:pPr>
          </w:p>
        </w:tc>
        <w:tc>
          <w:tcPr>
            <w:tcW w:w="3982" w:type="dxa"/>
            <w:gridSpan w:val="2"/>
            <w:tcBorders>
              <w:top w:val="single" w:sz="4" w:space="0" w:color="auto"/>
              <w:left w:val="nil"/>
              <w:bottom w:val="single" w:sz="4" w:space="0" w:color="auto"/>
              <w:right w:val="single" w:sz="4" w:space="0" w:color="auto"/>
            </w:tcBorders>
            <w:shd w:val="clear" w:color="auto" w:fill="auto"/>
            <w:vAlign w:val="center"/>
          </w:tcPr>
          <w:p w:rsidR="008C0A47">
            <w:pPr>
              <w:jc w:val="center"/>
              <w:rPr>
                <w:rFonts w:ascii="宋体" w:hAnsi="宋体" w:cs="宋体"/>
                <w:b/>
                <w:bCs/>
                <w:kern w:val="0"/>
                <w:szCs w:val="21"/>
              </w:rPr>
            </w:pPr>
            <w:r>
              <w:rPr>
                <w:rFonts w:ascii="宋体" w:hAnsi="宋体" w:cs="宋体" w:hint="eastAsia"/>
                <w:b/>
                <w:bCs/>
                <w:kern w:val="0"/>
                <w:szCs w:val="21"/>
              </w:rPr>
              <w:t>合计</w:t>
            </w:r>
            <w:r>
              <w:rPr>
                <w:rFonts w:ascii="宋体" w:hAnsi="宋体" w:cs="宋体" w:hint="eastAsia"/>
                <w:b/>
                <w:bCs/>
                <w:kern w:val="0"/>
                <w:szCs w:val="21"/>
              </w:rPr>
              <w:t>(</w:t>
            </w:r>
            <w:r>
              <w:rPr>
                <w:rFonts w:ascii="宋体" w:hAnsi="宋体" w:cs="宋体" w:hint="eastAsia"/>
                <w:b/>
                <w:bCs/>
                <w:kern w:val="0"/>
                <w:szCs w:val="21"/>
              </w:rPr>
              <w:t>元</w:t>
            </w:r>
            <w:r>
              <w:rPr>
                <w:rFonts w:ascii="宋体" w:hAnsi="宋体" w:cs="宋体" w:hint="eastAsia"/>
                <w:b/>
                <w:bCs/>
                <w:kern w:val="0"/>
                <w:szCs w:val="21"/>
              </w:rPr>
              <w:t>)</w:t>
            </w:r>
          </w:p>
        </w:tc>
        <w:tc>
          <w:tcPr>
            <w:tcW w:w="1544" w:type="dxa"/>
            <w:tcBorders>
              <w:top w:val="nil"/>
              <w:left w:val="nil"/>
              <w:bottom w:val="single" w:sz="4" w:space="0" w:color="auto"/>
              <w:right w:val="single" w:sz="4" w:space="0" w:color="auto"/>
            </w:tcBorders>
            <w:shd w:val="clear" w:color="auto" w:fill="auto"/>
            <w:vAlign w:val="center"/>
          </w:tcPr>
          <w:p w:rsidR="008C0A47">
            <w:pPr>
              <w:jc w:val="right"/>
              <w:rPr>
                <w:rFonts w:ascii="宋体" w:hAnsi="宋体" w:cs="宋体"/>
                <w:b/>
                <w:bCs/>
                <w:kern w:val="0"/>
                <w:szCs w:val="21"/>
              </w:rPr>
            </w:pPr>
            <w:r>
              <w:rPr>
                <w:rFonts w:ascii="宋体" w:hAnsi="宋体" w:cs="宋体" w:hint="eastAsia"/>
                <w:b/>
                <w:bCs/>
                <w:kern w:val="0"/>
                <w:szCs w:val="21"/>
              </w:rPr>
              <w:t>　</w:t>
            </w:r>
          </w:p>
        </w:tc>
        <w:tc>
          <w:tcPr>
            <w:tcW w:w="2246" w:type="dxa"/>
            <w:tcBorders>
              <w:top w:val="nil"/>
              <w:left w:val="nil"/>
              <w:bottom w:val="single" w:sz="4" w:space="0" w:color="auto"/>
              <w:right w:val="single" w:sz="8" w:space="0" w:color="auto"/>
            </w:tcBorders>
            <w:shd w:val="clear" w:color="auto" w:fill="auto"/>
            <w:vAlign w:val="center"/>
          </w:tcPr>
          <w:p w:rsidR="008C0A47">
            <w:pPr>
              <w:jc w:val="center"/>
              <w:rPr>
                <w:rFonts w:ascii="宋体" w:hAnsi="宋体" w:cs="宋体"/>
                <w:kern w:val="0"/>
                <w:szCs w:val="21"/>
              </w:rPr>
            </w:pPr>
            <w:r>
              <w:rPr>
                <w:rFonts w:ascii="宋体" w:hAnsi="宋体" w:cs="宋体" w:hint="eastAsia"/>
                <w:kern w:val="0"/>
                <w:szCs w:val="21"/>
              </w:rPr>
              <w:t>　以上各项之和</w:t>
            </w:r>
          </w:p>
        </w:tc>
      </w:tr>
    </w:tbl>
    <w:p w:rsidR="008C0A47">
      <w:pPr>
        <w:spacing w:line="400" w:lineRule="exact"/>
        <w:ind w:firstLine="480" w:firstLineChars="200"/>
        <w:jc w:val="center"/>
        <w:rPr>
          <w:rFonts w:asciiTheme="minorEastAsia" w:eastAsiaTheme="minorEastAsia" w:hAnsiTheme="minorEastAsia"/>
          <w:b/>
          <w:szCs w:val="21"/>
        </w:rPr>
      </w:pPr>
    </w:p>
    <w:p w:rsidR="008C0A47">
      <w:pPr>
        <w:spacing w:line="400" w:lineRule="exact"/>
        <w:ind w:firstLine="480" w:firstLineChars="200"/>
        <w:jc w:val="center"/>
        <w:rPr>
          <w:rFonts w:asciiTheme="minorEastAsia" w:eastAsiaTheme="minorEastAsia" w:hAnsiTheme="minorEastAsia"/>
          <w:b/>
          <w:szCs w:val="21"/>
        </w:rPr>
      </w:pPr>
    </w:p>
    <w:p w:rsidR="008C0A47">
      <w:pPr>
        <w:spacing w:line="440" w:lineRule="exact"/>
        <w:ind w:firstLine="480" w:firstLineChars="200"/>
        <w:jc w:val="left"/>
        <w:rPr>
          <w:rFonts w:asciiTheme="majorEastAsia" w:eastAsiaTheme="majorEastAsia" w:hAnsiTheme="majorEastAsia" w:cstheme="majorEastAsia"/>
          <w:szCs w:val="28"/>
        </w:rPr>
      </w:pPr>
      <w:r>
        <w:rPr>
          <w:rFonts w:asciiTheme="majorEastAsia" w:eastAsiaTheme="majorEastAsia" w:hAnsiTheme="majorEastAsia" w:cstheme="majorEastAsia" w:hint="eastAsia"/>
          <w:szCs w:val="28"/>
        </w:rPr>
        <w:t>注：</w:t>
      </w:r>
    </w:p>
    <w:p w:rsidR="008C0A47">
      <w:pPr>
        <w:spacing w:line="440" w:lineRule="exact"/>
        <w:ind w:firstLine="480" w:firstLineChars="200"/>
        <w:jc w:val="left"/>
        <w:rPr>
          <w:rFonts w:asciiTheme="majorEastAsia" w:eastAsiaTheme="majorEastAsia" w:hAnsiTheme="majorEastAsia" w:cstheme="majorEastAsia"/>
          <w:szCs w:val="28"/>
        </w:rPr>
      </w:pPr>
      <w:r>
        <w:rPr>
          <w:rFonts w:asciiTheme="majorEastAsia" w:eastAsiaTheme="majorEastAsia" w:hAnsiTheme="majorEastAsia" w:cstheme="majorEastAsia" w:hint="eastAsia"/>
          <w:szCs w:val="28"/>
        </w:rPr>
        <w:t>1</w:t>
      </w:r>
      <w:r>
        <w:rPr>
          <w:rFonts w:asciiTheme="majorEastAsia" w:eastAsiaTheme="majorEastAsia" w:hAnsiTheme="majorEastAsia" w:cstheme="majorEastAsia" w:hint="eastAsia"/>
          <w:szCs w:val="28"/>
        </w:rPr>
        <w:t>、以上表格为</w:t>
      </w:r>
      <w:r>
        <w:rPr>
          <w:rFonts w:asciiTheme="majorEastAsia" w:eastAsiaTheme="majorEastAsia" w:hAnsiTheme="majorEastAsia" w:cstheme="majorEastAsia"/>
          <w:szCs w:val="28"/>
        </w:rPr>
        <w:t>分项报价表，所有数据应保留</w:t>
      </w:r>
      <w:r>
        <w:rPr>
          <w:rFonts w:asciiTheme="majorEastAsia" w:eastAsiaTheme="majorEastAsia" w:hAnsiTheme="majorEastAsia" w:cstheme="majorEastAsia" w:hint="eastAsia"/>
          <w:szCs w:val="28"/>
        </w:rPr>
        <w:t>2</w:t>
      </w:r>
      <w:r>
        <w:rPr>
          <w:rFonts w:asciiTheme="majorEastAsia" w:eastAsiaTheme="majorEastAsia" w:hAnsiTheme="majorEastAsia" w:cstheme="majorEastAsia" w:hint="eastAsia"/>
          <w:szCs w:val="28"/>
        </w:rPr>
        <w:t>位</w:t>
      </w:r>
      <w:r>
        <w:rPr>
          <w:rFonts w:asciiTheme="majorEastAsia" w:eastAsiaTheme="majorEastAsia" w:hAnsiTheme="majorEastAsia" w:cstheme="majorEastAsia"/>
          <w:szCs w:val="28"/>
        </w:rPr>
        <w:t>小数</w:t>
      </w:r>
      <w:r>
        <w:rPr>
          <w:rFonts w:asciiTheme="majorEastAsia" w:eastAsiaTheme="majorEastAsia" w:hAnsiTheme="majorEastAsia" w:cstheme="majorEastAsia" w:hint="eastAsia"/>
          <w:szCs w:val="28"/>
        </w:rPr>
        <w:t>。</w:t>
      </w:r>
    </w:p>
    <w:p w:rsidR="008C0A47">
      <w:pPr>
        <w:spacing w:line="440" w:lineRule="exact"/>
        <w:ind w:firstLine="480" w:firstLineChars="200"/>
        <w:jc w:val="left"/>
        <w:rPr>
          <w:rFonts w:asciiTheme="majorEastAsia" w:eastAsiaTheme="majorEastAsia" w:hAnsiTheme="majorEastAsia" w:cstheme="majorEastAsia"/>
          <w:szCs w:val="28"/>
        </w:rPr>
      </w:pPr>
      <w:r>
        <w:rPr>
          <w:rFonts w:asciiTheme="majorEastAsia" w:eastAsiaTheme="majorEastAsia" w:hAnsiTheme="majorEastAsia" w:cstheme="majorEastAsia"/>
          <w:szCs w:val="28"/>
        </w:rPr>
        <w:t>2</w:t>
      </w:r>
      <w:r>
        <w:rPr>
          <w:rFonts w:asciiTheme="majorEastAsia" w:eastAsiaTheme="majorEastAsia" w:hAnsiTheme="majorEastAsia" w:cstheme="majorEastAsia" w:hint="eastAsia"/>
          <w:szCs w:val="28"/>
        </w:rPr>
        <w:t>、投标人如果需要对报价或其它内容加以说明，可在备注栏填写。</w:t>
      </w:r>
      <w:r>
        <w:rPr>
          <w:rFonts w:asciiTheme="majorEastAsia" w:eastAsiaTheme="majorEastAsia" w:hAnsiTheme="majorEastAsia" w:cstheme="majorEastAsia" w:hint="eastAsia"/>
          <w:szCs w:val="28"/>
        </w:rPr>
        <w:t xml:space="preserve"> </w:t>
      </w:r>
    </w:p>
    <w:p w:rsidR="008C0A47">
      <w:pPr>
        <w:ind w:firstLine="480" w:firstLineChars="200"/>
        <w:rPr>
          <w:rFonts w:hAnsi="宋体"/>
          <w:b/>
          <w:bCs/>
          <w:sz w:val="24"/>
        </w:rPr>
      </w:pPr>
      <w:r>
        <w:rPr>
          <w:rFonts w:asciiTheme="majorEastAsia" w:eastAsiaTheme="majorEastAsia" w:hAnsiTheme="majorEastAsia" w:cstheme="majorEastAsia"/>
          <w:szCs w:val="28"/>
        </w:rPr>
        <w:t>3</w:t>
      </w:r>
      <w:r>
        <w:rPr>
          <w:rFonts w:asciiTheme="majorEastAsia" w:eastAsiaTheme="majorEastAsia" w:hAnsiTheme="majorEastAsia" w:cstheme="majorEastAsia" w:hint="eastAsia"/>
          <w:szCs w:val="28"/>
        </w:rPr>
        <w:t>、“投标关键信息”中的开标一览表中的“投标总价”为重要的评标因素，且必须与上表《详细分项报价》中的“投标报价”填写数值一致，否则将直接作投标无效处理，请投标人注意。</w:t>
      </w:r>
    </w:p>
    <w:p w:rsidR="008C0A47">
      <w:pPr>
        <w:ind w:firstLine="480" w:firstLineChars="200"/>
        <w:rPr>
          <w:rFonts w:hAnsi="宋体"/>
          <w:b/>
          <w:bCs/>
          <w:sz w:val="24"/>
        </w:rPr>
      </w:pPr>
    </w:p>
    <w:p w:rsidR="008C0A47">
      <w:pPr>
        <w:ind w:firstLine="480" w:firstLineChars="200"/>
        <w:rPr>
          <w:rFonts w:hAnsi="宋体"/>
          <w:b/>
          <w:bCs/>
          <w:sz w:val="24"/>
        </w:rPr>
      </w:pPr>
    </w:p>
    <w:p w:rsidR="008C0A47">
      <w:pPr>
        <w:tabs>
          <w:tab w:val="left" w:pos="720"/>
        </w:tabs>
        <w:jc w:val="center"/>
        <w:rPr>
          <w:b/>
          <w:sz w:val="24"/>
        </w:rPr>
      </w:pPr>
      <w:r>
        <w:rPr>
          <w:rFonts w:hint="eastAsia"/>
          <w:b/>
          <w:sz w:val="24"/>
        </w:rPr>
        <w:t>（二）</w:t>
      </w:r>
      <w:bookmarkStart w:id="28" w:name="_Hlk72073235"/>
      <w:r>
        <w:rPr>
          <w:rFonts w:hint="eastAsia"/>
          <w:b/>
          <w:sz w:val="24"/>
        </w:rPr>
        <w:t>投标人认为需要涉及的其他内容报价清单</w:t>
      </w:r>
      <w:bookmarkEnd w:id="28"/>
    </w:p>
    <w:p w:rsidR="008C0A47"/>
    <w:p w:rsidR="008C0A47">
      <w:pPr>
        <w:pStyle w:val="Heading3"/>
        <w:numPr>
          <w:ilvl w:val="0"/>
          <w:numId w:val="1"/>
        </w:numPr>
        <w:jc w:val="center"/>
      </w:pPr>
      <w:r>
        <w:rPr>
          <w:rFonts w:hint="eastAsia"/>
        </w:rPr>
        <w:t>投标人所获荣誉</w:t>
      </w:r>
    </w:p>
    <w:p w:rsidR="008C0A47">
      <w:pPr>
        <w:pStyle w:val="PlainText"/>
        <w:jc w:val="center"/>
        <w:rPr>
          <w:rStyle w:val="alt-edited1"/>
          <w:color w:val="auto"/>
        </w:rPr>
      </w:pPr>
      <w:r>
        <w:rPr>
          <w:rStyle w:val="alt-edited1"/>
          <w:rFonts w:hint="eastAsia"/>
          <w:color w:val="auto"/>
        </w:rPr>
        <w:t>注</w:t>
      </w:r>
      <w:r>
        <w:rPr>
          <w:rStyle w:val="alt-edited1"/>
          <w:color w:val="auto"/>
        </w:rPr>
        <w:t>：请按照评分</w:t>
      </w:r>
      <w:r>
        <w:rPr>
          <w:rStyle w:val="alt-edited1"/>
          <w:color w:val="auto"/>
        </w:rPr>
        <w:t>表要求</w:t>
      </w:r>
      <w:r>
        <w:rPr>
          <w:rStyle w:val="alt-edited1"/>
          <w:color w:val="auto"/>
        </w:rPr>
        <w:t>提供相关</w:t>
      </w:r>
      <w:r>
        <w:rPr>
          <w:rStyle w:val="alt-edited1"/>
          <w:rFonts w:hint="eastAsia"/>
          <w:color w:val="auto"/>
        </w:rPr>
        <w:t>证明</w:t>
      </w:r>
      <w:r>
        <w:rPr>
          <w:rStyle w:val="alt-edited1"/>
          <w:color w:val="auto"/>
        </w:rPr>
        <w:t>材料作为得分依据。</w:t>
      </w:r>
    </w:p>
    <w:p w:rsidR="008C0A47"/>
    <w:p w:rsidR="008C0A47">
      <w:pPr>
        <w:pStyle w:val="Heading3"/>
        <w:numPr>
          <w:ilvl w:val="0"/>
          <w:numId w:val="1"/>
        </w:numPr>
        <w:jc w:val="center"/>
      </w:pPr>
      <w:r>
        <w:rPr>
          <w:rFonts w:hint="eastAsia"/>
        </w:rPr>
        <w:t>同类项目业绩</w:t>
      </w:r>
    </w:p>
    <w:p w:rsidR="008C0A47">
      <w:pPr>
        <w:pStyle w:val="PlainText"/>
        <w:jc w:val="center"/>
        <w:rPr>
          <w:rStyle w:val="alt-edited1"/>
          <w:color w:val="auto"/>
        </w:rPr>
      </w:pPr>
      <w:r>
        <w:rPr>
          <w:rStyle w:val="alt-edited1"/>
          <w:rFonts w:hint="eastAsia"/>
          <w:color w:val="auto"/>
        </w:rPr>
        <w:t>注</w:t>
      </w:r>
      <w:r>
        <w:rPr>
          <w:rStyle w:val="alt-edited1"/>
          <w:color w:val="auto"/>
        </w:rPr>
        <w:t>：请按照评分</w:t>
      </w:r>
      <w:r>
        <w:rPr>
          <w:rStyle w:val="alt-edited1"/>
          <w:color w:val="auto"/>
        </w:rPr>
        <w:t>表要求</w:t>
      </w:r>
      <w:r>
        <w:rPr>
          <w:rStyle w:val="alt-edited1"/>
          <w:color w:val="auto"/>
        </w:rPr>
        <w:t>提供相关</w:t>
      </w:r>
      <w:r>
        <w:rPr>
          <w:rStyle w:val="alt-edited1"/>
          <w:rFonts w:hint="eastAsia"/>
          <w:color w:val="auto"/>
        </w:rPr>
        <w:t>证明</w:t>
      </w:r>
      <w:r>
        <w:rPr>
          <w:rStyle w:val="alt-edited1"/>
          <w:color w:val="auto"/>
        </w:rPr>
        <w:t>材料作为得分依据。</w:t>
      </w:r>
    </w:p>
    <w:p w:rsidR="008C0A47">
      <w:pPr>
        <w:pStyle w:val="PlainText"/>
        <w:rPr>
          <w:rStyle w:val="alt-edited1"/>
          <w:color w:val="auto"/>
        </w:rPr>
      </w:pPr>
    </w:p>
    <w:p w:rsidR="008C0A47">
      <w:pPr>
        <w:pStyle w:val="Heading3"/>
        <w:jc w:val="center"/>
      </w:pPr>
      <w:r>
        <w:rPr>
          <w:rFonts w:hint="eastAsia"/>
        </w:rPr>
        <w:t>八、履约评价情况</w:t>
      </w:r>
    </w:p>
    <w:p w:rsidR="008C0A47">
      <w:pPr>
        <w:pStyle w:val="PlainText"/>
        <w:jc w:val="center"/>
        <w:rPr>
          <w:rStyle w:val="alt-edited1"/>
          <w:color w:val="auto"/>
        </w:rPr>
      </w:pPr>
      <w:r>
        <w:rPr>
          <w:rStyle w:val="alt-edited1"/>
          <w:rFonts w:hint="eastAsia"/>
          <w:color w:val="auto"/>
        </w:rPr>
        <w:t>注</w:t>
      </w:r>
      <w:r>
        <w:rPr>
          <w:rStyle w:val="alt-edited1"/>
          <w:color w:val="auto"/>
        </w:rPr>
        <w:t>：请按照评分</w:t>
      </w:r>
      <w:r>
        <w:rPr>
          <w:rStyle w:val="alt-edited1"/>
          <w:color w:val="auto"/>
        </w:rPr>
        <w:t>表要求</w:t>
      </w:r>
      <w:r>
        <w:rPr>
          <w:rStyle w:val="alt-edited1"/>
          <w:color w:val="auto"/>
        </w:rPr>
        <w:t>提供相关</w:t>
      </w:r>
      <w:r>
        <w:rPr>
          <w:rStyle w:val="alt-edited1"/>
          <w:rFonts w:hint="eastAsia"/>
          <w:color w:val="auto"/>
        </w:rPr>
        <w:t>证明</w:t>
      </w:r>
      <w:r>
        <w:rPr>
          <w:rStyle w:val="alt-edited1"/>
          <w:color w:val="auto"/>
        </w:rPr>
        <w:t>材料作为得分依据。</w:t>
      </w:r>
    </w:p>
    <w:p w:rsidR="008C0A47">
      <w:pPr>
        <w:pStyle w:val="PlainText"/>
      </w:pPr>
    </w:p>
    <w:p w:rsidR="008C0A47">
      <w:pPr>
        <w:rPr>
          <w:rFonts w:ascii="宋体" w:hAnsi="宋体"/>
        </w:rPr>
      </w:pPr>
    </w:p>
    <w:p w:rsidR="008C0A47">
      <w:pPr>
        <w:jc w:val="center"/>
        <w:rPr>
          <w:rFonts w:ascii="微软雅黑" w:eastAsia="微软雅黑" w:hAnsi="微软雅黑" w:cs="微软雅黑"/>
          <w:b/>
          <w:color w:val="FF0000"/>
          <w:sz w:val="24"/>
        </w:rPr>
      </w:pPr>
      <w:r>
        <w:rPr>
          <w:rFonts w:ascii="微软雅黑" w:eastAsia="微软雅黑" w:hAnsi="微软雅黑" w:cs="微软雅黑" w:hint="eastAsia"/>
          <w:b/>
          <w:color w:val="FF0000"/>
          <w:sz w:val="24"/>
        </w:rPr>
        <w:t>（信息公开部分的内容到此为止！往下为信息不公开部分。）</w:t>
      </w:r>
    </w:p>
    <w:p w:rsidR="008C0A47">
      <w:pPr>
        <w:rPr>
          <w:rFonts w:asciiTheme="majorEastAsia" w:eastAsiaTheme="majorEastAsia" w:hAnsiTheme="majorEastAsia" w:cstheme="majorEastAsia"/>
          <w:b/>
          <w:color w:val="FF0000"/>
          <w:sz w:val="30"/>
          <w:szCs w:val="30"/>
        </w:rPr>
      </w:pPr>
      <w:r>
        <w:rPr>
          <w:rFonts w:asciiTheme="majorEastAsia" w:eastAsiaTheme="majorEastAsia" w:hAnsiTheme="majorEastAsia" w:cstheme="majorEastAsia" w:hint="eastAsia"/>
          <w:b/>
          <w:color w:val="FF0000"/>
          <w:sz w:val="30"/>
          <w:szCs w:val="30"/>
        </w:rPr>
        <w:br w:type="page"/>
      </w:r>
    </w:p>
    <w:p w:rsidR="008C0A47">
      <w:pPr>
        <w:spacing w:line="0" w:lineRule="atLeast"/>
        <w:outlineLvl w:val="1"/>
        <w:rPr>
          <w:rFonts w:ascii="微软雅黑" w:eastAsia="微软雅黑" w:hAnsi="微软雅黑" w:cs="微软雅黑"/>
          <w:b/>
          <w:color w:val="FF0000"/>
          <w:sz w:val="28"/>
          <w:szCs w:val="28"/>
        </w:rPr>
      </w:pPr>
      <w:r>
        <w:rPr>
          <w:rFonts w:ascii="微软雅黑" w:eastAsia="微软雅黑" w:hAnsi="微软雅黑" w:cs="微软雅黑" w:hint="eastAsia"/>
          <w:b/>
          <w:color w:val="FF0000"/>
          <w:sz w:val="28"/>
          <w:szCs w:val="28"/>
        </w:rPr>
        <w:t>投标文件附件（非信息公开部分）：</w:t>
      </w:r>
    </w:p>
    <w:p w:rsidR="008C0A47">
      <w:pPr>
        <w:rPr>
          <w:rFonts w:asciiTheme="majorEastAsia" w:eastAsiaTheme="majorEastAsia" w:hAnsiTheme="majorEastAsia" w:cstheme="majorEastAsia"/>
          <w:b/>
          <w:sz w:val="30"/>
          <w:szCs w:val="30"/>
        </w:rPr>
      </w:pPr>
    </w:p>
    <w:p w:rsidR="008C0A47">
      <w:pPr>
        <w:pStyle w:val="Heading3"/>
        <w:keepNext w:val="0"/>
        <w:keepLines w:val="0"/>
        <w:jc w:val="center"/>
        <w:rPr>
          <w:rFonts w:asciiTheme="majorEastAsia" w:eastAsiaTheme="majorEastAsia" w:hAnsiTheme="majorEastAsia" w:cstheme="majorEastAsia"/>
          <w:szCs w:val="28"/>
        </w:rPr>
      </w:pPr>
      <w:r>
        <w:rPr>
          <w:rFonts w:asciiTheme="majorEastAsia" w:eastAsiaTheme="majorEastAsia" w:hAnsiTheme="majorEastAsia" w:cstheme="majorEastAsia" w:hint="eastAsia"/>
          <w:szCs w:val="28"/>
        </w:rPr>
        <w:t>一、法定代表人（负责人）资格证明书</w:t>
      </w:r>
    </w:p>
    <w:p w:rsidR="008C0A47">
      <w:pPr>
        <w:spacing w:line="4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同志，现任我单位职务，为法定代表人（负责人），特此证明。</w:t>
      </w:r>
    </w:p>
    <w:p w:rsidR="008C0A47">
      <w:pPr>
        <w:spacing w:line="4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说明：</w:t>
      </w:r>
      <w:r>
        <w:rPr>
          <w:rFonts w:asciiTheme="majorEastAsia" w:eastAsiaTheme="majorEastAsia" w:hAnsiTheme="majorEastAsia" w:cstheme="majorEastAsia" w:hint="eastAsia"/>
          <w:szCs w:val="21"/>
        </w:rPr>
        <w:t>1</w:t>
      </w:r>
      <w:r>
        <w:rPr>
          <w:rFonts w:asciiTheme="majorEastAsia" w:eastAsiaTheme="majorEastAsia" w:hAnsiTheme="majorEastAsia" w:cstheme="majorEastAsia" w:hint="eastAsia"/>
          <w:szCs w:val="21"/>
        </w:rPr>
        <w:t>、法定代表人为企业事业单位、国家机关、社会团体的主要负责人。</w:t>
      </w:r>
    </w:p>
    <w:p w:rsidR="008C0A47">
      <w:pPr>
        <w:spacing w:line="48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          2</w:t>
      </w:r>
      <w:r>
        <w:rPr>
          <w:rFonts w:asciiTheme="majorEastAsia" w:eastAsiaTheme="majorEastAsia" w:hAnsiTheme="majorEastAsia" w:cstheme="majorEastAsia" w:hint="eastAsia"/>
          <w:szCs w:val="21"/>
        </w:rPr>
        <w:t>、内容必须填写真实、清楚，涂改无效，不得转让、买卖。</w:t>
      </w:r>
    </w:p>
    <w:p w:rsidR="008C0A47">
      <w:pPr>
        <w:spacing w:line="480" w:lineRule="exact"/>
        <w:rPr>
          <w:rFonts w:asciiTheme="majorEastAsia" w:eastAsiaTheme="majorEastAsia" w:hAnsiTheme="majorEastAsia" w:cstheme="majorEastAsia"/>
          <w:b/>
          <w:szCs w:val="21"/>
        </w:rPr>
      </w:pPr>
    </w:p>
    <w:p w:rsidR="008C0A47">
      <w:pPr>
        <w:spacing w:line="480" w:lineRule="exact"/>
        <w:ind w:firstLine="480" w:firstLineChars="200"/>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附：要求必须提供法定代表人（负责人）身份证（境外人员无法提供身份证的，可提供护照）扫描件（正反两面）。</w:t>
      </w:r>
    </w:p>
    <w:p w:rsidR="008C0A47">
      <w:pPr>
        <w:spacing w:line="480" w:lineRule="exact"/>
        <w:rPr>
          <w:rFonts w:asciiTheme="majorEastAsia" w:eastAsiaTheme="majorEastAsia" w:hAnsiTheme="majorEastAsia" w:cstheme="majorEastAsia"/>
          <w:b/>
          <w:sz w:val="30"/>
          <w:szCs w:val="30"/>
        </w:rPr>
      </w:pPr>
    </w:p>
    <w:p w:rsidR="008C0A47">
      <w:pPr>
        <w:pStyle w:val="Heading3"/>
        <w:keepNext w:val="0"/>
        <w:keepLines w:val="0"/>
        <w:jc w:val="center"/>
        <w:rPr>
          <w:rFonts w:asciiTheme="majorEastAsia" w:eastAsiaTheme="majorEastAsia" w:hAnsiTheme="majorEastAsia" w:cstheme="majorEastAsia"/>
          <w:szCs w:val="28"/>
        </w:rPr>
      </w:pPr>
      <w:r>
        <w:rPr>
          <w:rFonts w:asciiTheme="majorEastAsia" w:eastAsiaTheme="majorEastAsia" w:hAnsiTheme="majorEastAsia" w:cstheme="majorEastAsia" w:hint="eastAsia"/>
          <w:szCs w:val="28"/>
        </w:rPr>
        <w:t>二、投标文件签署授权委托书</w:t>
      </w:r>
    </w:p>
    <w:p w:rsidR="008C0A47">
      <w:pPr>
        <w:spacing w:line="4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本授权委托书声明：我（姓名）系（投标供应商名称）的法定代表人（负责人），现授权委托（姓名）为我单位签署本项目已递交的投标文件的法定代表人的授权委托代理人，代理人全权代表我所签署的本项目已递交的投标文件内容我均承认。</w:t>
      </w:r>
    </w:p>
    <w:p w:rsidR="008C0A47">
      <w:pPr>
        <w:pStyle w:val="NormalIndent"/>
        <w:spacing w:line="48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代理人无转委托权，特此委托。</w:t>
      </w:r>
    </w:p>
    <w:p w:rsidR="008C0A47">
      <w:pPr>
        <w:pStyle w:val="NormalIndent"/>
        <w:spacing w:line="480" w:lineRule="exact"/>
        <w:rPr>
          <w:rFonts w:asciiTheme="majorEastAsia" w:eastAsiaTheme="majorEastAsia" w:hAnsiTheme="majorEastAsia" w:cstheme="majorEastAsia"/>
          <w:szCs w:val="21"/>
        </w:rPr>
      </w:pPr>
    </w:p>
    <w:p w:rsidR="008C0A47">
      <w:pPr>
        <w:spacing w:line="480" w:lineRule="exact"/>
        <w:ind w:firstLine="480" w:firstLineChars="200"/>
        <w:rPr>
          <w:rFonts w:asciiTheme="majorEastAsia" w:eastAsiaTheme="majorEastAsia" w:hAnsiTheme="majorEastAsia" w:cstheme="majorEastAsia"/>
          <w:szCs w:val="21"/>
          <w:u w:val="single"/>
        </w:rPr>
      </w:pPr>
      <w:r>
        <w:rPr>
          <w:rFonts w:asciiTheme="majorEastAsia" w:eastAsiaTheme="majorEastAsia" w:hAnsiTheme="majorEastAsia" w:cstheme="majorEastAsia" w:hint="eastAsia"/>
          <w:szCs w:val="21"/>
        </w:rPr>
        <w:t>代理人：</w:t>
      </w:r>
    </w:p>
    <w:p w:rsidR="008C0A47">
      <w:pPr>
        <w:spacing w:line="4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联系电话：</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手机：</w:t>
      </w:r>
    </w:p>
    <w:p w:rsidR="008C0A47">
      <w:pPr>
        <w:spacing w:line="480" w:lineRule="exact"/>
        <w:ind w:firstLine="480" w:firstLineChars="200"/>
        <w:rPr>
          <w:rFonts w:asciiTheme="majorEastAsia" w:eastAsiaTheme="majorEastAsia" w:hAnsiTheme="majorEastAsia" w:cstheme="majorEastAsia"/>
          <w:szCs w:val="21"/>
          <w:u w:val="single"/>
        </w:rPr>
      </w:pPr>
      <w:r>
        <w:rPr>
          <w:rFonts w:asciiTheme="majorEastAsia" w:eastAsiaTheme="majorEastAsia" w:hAnsiTheme="majorEastAsia" w:cstheme="majorEastAsia" w:hint="eastAsia"/>
          <w:szCs w:val="21"/>
        </w:rPr>
        <w:t>身份证号码：</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职务：</w:t>
      </w:r>
    </w:p>
    <w:p w:rsidR="008C0A47">
      <w:pPr>
        <w:spacing w:line="4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授权委托日期：年月</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日</w:t>
      </w:r>
    </w:p>
    <w:p w:rsidR="008C0A47">
      <w:pPr>
        <w:spacing w:line="480" w:lineRule="exact"/>
        <w:ind w:left="617" w:leftChars="257"/>
        <w:rPr>
          <w:rFonts w:asciiTheme="majorEastAsia" w:eastAsiaTheme="majorEastAsia" w:hAnsiTheme="majorEastAsia" w:cstheme="majorEastAsia"/>
          <w:szCs w:val="21"/>
          <w:u w:val="single"/>
        </w:rPr>
      </w:pPr>
    </w:p>
    <w:p w:rsidR="008C0A47">
      <w:pPr>
        <w:spacing w:line="480" w:lineRule="exact"/>
        <w:ind w:firstLine="480" w:firstLineChars="200"/>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附：要求必须提供代理人身份证（境外人员无法提供身</w:t>
      </w:r>
      <w:r>
        <w:rPr>
          <w:rFonts w:asciiTheme="majorEastAsia" w:eastAsiaTheme="majorEastAsia" w:hAnsiTheme="majorEastAsia" w:cstheme="majorEastAsia" w:hint="eastAsia"/>
          <w:bCs/>
          <w:szCs w:val="21"/>
        </w:rPr>
        <w:t>份证的，可提供护照）扫描件（正反两面）。</w:t>
      </w:r>
    </w:p>
    <w:p w:rsidR="008C0A47">
      <w:pPr>
        <w:spacing w:line="360" w:lineRule="auto"/>
        <w:ind w:left="617" w:leftChars="257"/>
        <w:rPr>
          <w:rFonts w:asciiTheme="majorEastAsia" w:eastAsiaTheme="majorEastAsia" w:hAnsiTheme="majorEastAsia" w:cstheme="majorEastAsia"/>
          <w:szCs w:val="21"/>
          <w:u w:val="single"/>
        </w:rPr>
      </w:pPr>
    </w:p>
    <w:p w:rsidR="008C0A47">
      <w:pPr>
        <w:rPr>
          <w:rFonts w:asciiTheme="majorEastAsia" w:eastAsiaTheme="majorEastAsia" w:hAnsiTheme="majorEastAsia" w:cstheme="majorEastAsia"/>
          <w:szCs w:val="28"/>
        </w:rPr>
      </w:pPr>
      <w:r>
        <w:rPr>
          <w:rFonts w:asciiTheme="majorEastAsia" w:eastAsiaTheme="majorEastAsia" w:hAnsiTheme="majorEastAsia" w:cstheme="majorEastAsia" w:hint="eastAsia"/>
          <w:szCs w:val="28"/>
        </w:rPr>
        <w:br w:type="page"/>
      </w:r>
    </w:p>
    <w:p w:rsidR="008C0A47">
      <w:pPr>
        <w:pStyle w:val="Heading3"/>
        <w:jc w:val="center"/>
        <w:rPr>
          <w:rFonts w:asciiTheme="majorEastAsia" w:eastAsiaTheme="majorEastAsia" w:hAnsiTheme="majorEastAsia" w:cstheme="majorEastAsia"/>
          <w:szCs w:val="28"/>
        </w:rPr>
      </w:pPr>
      <w:r>
        <w:rPr>
          <w:rFonts w:asciiTheme="majorEastAsia" w:eastAsiaTheme="majorEastAsia" w:hAnsiTheme="majorEastAsia" w:cstheme="majorEastAsia" w:hint="eastAsia"/>
          <w:szCs w:val="28"/>
        </w:rPr>
        <w:t>三、服务方案及计划</w:t>
      </w:r>
    </w:p>
    <w:p w:rsidR="008C0A47">
      <w:pPr>
        <w:jc w:val="center"/>
        <w:rPr>
          <w:rStyle w:val="alt-edited1"/>
          <w:color w:val="auto"/>
        </w:rPr>
      </w:pPr>
      <w:r>
        <w:rPr>
          <w:rStyle w:val="alt-edited1"/>
          <w:rFonts w:hint="eastAsia"/>
          <w:color w:val="auto"/>
        </w:rPr>
        <w:t>注</w:t>
      </w:r>
      <w:r>
        <w:rPr>
          <w:rStyle w:val="alt-edited1"/>
          <w:color w:val="auto"/>
        </w:rPr>
        <w:t>：请按照评分</w:t>
      </w:r>
      <w:r>
        <w:rPr>
          <w:rStyle w:val="alt-edited1"/>
          <w:color w:val="auto"/>
        </w:rPr>
        <w:t>表要求</w:t>
      </w:r>
      <w:r>
        <w:rPr>
          <w:rStyle w:val="alt-edited1"/>
          <w:rFonts w:hint="eastAsia"/>
          <w:color w:val="auto"/>
        </w:rPr>
        <w:t>编写</w:t>
      </w:r>
      <w:r>
        <w:rPr>
          <w:rStyle w:val="alt-edited1"/>
          <w:color w:val="auto"/>
        </w:rPr>
        <w:t>。</w:t>
      </w:r>
    </w:p>
    <w:p w:rsidR="008C0A47">
      <w:pPr>
        <w:pStyle w:val="PlainText"/>
        <w:jc w:val="center"/>
        <w:rPr>
          <w:rStyle w:val="alt-edited1"/>
        </w:rPr>
      </w:pPr>
    </w:p>
    <w:p w:rsidR="008C0A47">
      <w:pPr>
        <w:pStyle w:val="Heading3"/>
        <w:jc w:val="center"/>
        <w:rPr>
          <w:rFonts w:asciiTheme="majorEastAsia" w:eastAsiaTheme="majorEastAsia" w:hAnsiTheme="majorEastAsia" w:cstheme="majorEastAsia"/>
          <w:szCs w:val="28"/>
        </w:rPr>
      </w:pPr>
      <w:r>
        <w:rPr>
          <w:rFonts w:asciiTheme="majorEastAsia" w:eastAsiaTheme="majorEastAsia" w:hAnsiTheme="majorEastAsia" w:cstheme="majorEastAsia" w:hint="eastAsia"/>
          <w:szCs w:val="28"/>
        </w:rPr>
        <w:t>四、拟派驻点人员情况</w:t>
      </w:r>
    </w:p>
    <w:p w:rsidR="008C0A47">
      <w:pPr>
        <w:jc w:val="center"/>
        <w:rPr>
          <w:rStyle w:val="alt-edited1"/>
          <w:color w:val="auto"/>
        </w:rPr>
      </w:pPr>
      <w:r>
        <w:rPr>
          <w:rStyle w:val="alt-edited1"/>
          <w:rFonts w:hint="eastAsia"/>
          <w:color w:val="auto"/>
        </w:rPr>
        <w:t>注</w:t>
      </w:r>
      <w:r>
        <w:rPr>
          <w:rStyle w:val="alt-edited1"/>
          <w:color w:val="auto"/>
        </w:rPr>
        <w:t>：请按照评分</w:t>
      </w:r>
      <w:r>
        <w:rPr>
          <w:rStyle w:val="alt-edited1"/>
          <w:color w:val="auto"/>
        </w:rPr>
        <w:t>表要求</w:t>
      </w:r>
      <w:r>
        <w:rPr>
          <w:rStyle w:val="alt-edited1"/>
          <w:color w:val="auto"/>
        </w:rPr>
        <w:t>提供相关</w:t>
      </w:r>
      <w:r>
        <w:rPr>
          <w:rStyle w:val="alt-edited1"/>
          <w:rFonts w:hint="eastAsia"/>
          <w:color w:val="auto"/>
        </w:rPr>
        <w:t>证明</w:t>
      </w:r>
      <w:r>
        <w:rPr>
          <w:rStyle w:val="alt-edited1"/>
          <w:color w:val="auto"/>
        </w:rPr>
        <w:t>材料作为得分依据。</w:t>
      </w:r>
    </w:p>
    <w:p w:rsidR="008C0A47">
      <w:pPr>
        <w:pStyle w:val="PlainText"/>
        <w:jc w:val="center"/>
      </w:pPr>
    </w:p>
    <w:p w:rsidR="008C0A47">
      <w:pPr>
        <w:pStyle w:val="Heading3"/>
        <w:jc w:val="center"/>
        <w:rPr>
          <w:rFonts w:asciiTheme="majorEastAsia" w:eastAsiaTheme="majorEastAsia" w:hAnsiTheme="majorEastAsia" w:cstheme="majorEastAsia"/>
          <w:szCs w:val="28"/>
        </w:rPr>
      </w:pPr>
      <w:r>
        <w:rPr>
          <w:rFonts w:asciiTheme="majorEastAsia" w:eastAsiaTheme="majorEastAsia" w:hAnsiTheme="majorEastAsia" w:cstheme="majorEastAsia" w:hint="eastAsia"/>
          <w:szCs w:val="28"/>
        </w:rPr>
        <w:t>五、</w:t>
      </w:r>
      <w:r>
        <w:rPr>
          <w:rFonts w:cs="宋体" w:hint="eastAsia"/>
          <w:szCs w:val="21"/>
        </w:rPr>
        <w:t>专项法律服务小组人员数量配备情况（不含驻点人员）</w:t>
      </w:r>
    </w:p>
    <w:p w:rsidR="008C0A47">
      <w:pPr>
        <w:jc w:val="center"/>
        <w:rPr>
          <w:rStyle w:val="alt-edited1"/>
          <w:color w:val="auto"/>
        </w:rPr>
      </w:pPr>
      <w:r>
        <w:rPr>
          <w:rStyle w:val="alt-edited1"/>
          <w:rFonts w:hint="eastAsia"/>
          <w:color w:val="auto"/>
        </w:rPr>
        <w:t>注</w:t>
      </w:r>
      <w:r>
        <w:rPr>
          <w:rStyle w:val="alt-edited1"/>
          <w:color w:val="auto"/>
        </w:rPr>
        <w:t>：请按照评分</w:t>
      </w:r>
      <w:r>
        <w:rPr>
          <w:rStyle w:val="alt-edited1"/>
          <w:color w:val="auto"/>
        </w:rPr>
        <w:t>表要求</w:t>
      </w:r>
      <w:r>
        <w:rPr>
          <w:rStyle w:val="alt-edited1"/>
          <w:color w:val="auto"/>
        </w:rPr>
        <w:t>提供相关</w:t>
      </w:r>
      <w:r>
        <w:rPr>
          <w:rStyle w:val="alt-edited1"/>
          <w:rFonts w:hint="eastAsia"/>
          <w:color w:val="auto"/>
        </w:rPr>
        <w:t>证明</w:t>
      </w:r>
      <w:r>
        <w:rPr>
          <w:rStyle w:val="alt-edited1"/>
          <w:color w:val="auto"/>
        </w:rPr>
        <w:t>材料作为得分依据。</w:t>
      </w:r>
    </w:p>
    <w:p w:rsidR="008C0A47">
      <w:pPr>
        <w:pStyle w:val="PlainText"/>
        <w:jc w:val="center"/>
      </w:pPr>
    </w:p>
    <w:p w:rsidR="008C0A47">
      <w:pPr>
        <w:pStyle w:val="Heading3"/>
        <w:jc w:val="center"/>
        <w:rPr>
          <w:rFonts w:asciiTheme="majorEastAsia" w:eastAsiaTheme="majorEastAsia" w:hAnsiTheme="majorEastAsia" w:cstheme="majorEastAsia"/>
          <w:szCs w:val="28"/>
        </w:rPr>
      </w:pPr>
      <w:r>
        <w:rPr>
          <w:rFonts w:asciiTheme="majorEastAsia" w:eastAsiaTheme="majorEastAsia" w:hAnsiTheme="majorEastAsia" w:cstheme="majorEastAsia" w:hint="eastAsia"/>
          <w:szCs w:val="28"/>
        </w:rPr>
        <w:t>六、质量（完成时间、安全、环保）保障措施及方案</w:t>
      </w:r>
    </w:p>
    <w:p w:rsidR="008C0A47">
      <w:pPr>
        <w:jc w:val="center"/>
        <w:rPr>
          <w:rStyle w:val="alt-edited1"/>
          <w:color w:val="auto"/>
        </w:rPr>
      </w:pPr>
      <w:r>
        <w:rPr>
          <w:rStyle w:val="alt-edited1"/>
          <w:rFonts w:hint="eastAsia"/>
          <w:color w:val="auto"/>
        </w:rPr>
        <w:t>注</w:t>
      </w:r>
      <w:r>
        <w:rPr>
          <w:rStyle w:val="alt-edited1"/>
          <w:color w:val="auto"/>
        </w:rPr>
        <w:t>：请按照评分</w:t>
      </w:r>
      <w:r>
        <w:rPr>
          <w:rStyle w:val="alt-edited1"/>
          <w:color w:val="auto"/>
        </w:rPr>
        <w:t>表要求</w:t>
      </w:r>
      <w:r>
        <w:rPr>
          <w:rStyle w:val="alt-edited1"/>
          <w:color w:val="auto"/>
        </w:rPr>
        <w:t>提供相关</w:t>
      </w:r>
      <w:r>
        <w:rPr>
          <w:rStyle w:val="alt-edited1"/>
          <w:rFonts w:hint="eastAsia"/>
          <w:color w:val="auto"/>
        </w:rPr>
        <w:t>证明</w:t>
      </w:r>
      <w:r>
        <w:rPr>
          <w:rStyle w:val="alt-edited1"/>
          <w:color w:val="auto"/>
        </w:rPr>
        <w:t>材料作为得分依据。</w:t>
      </w:r>
    </w:p>
    <w:p w:rsidR="008C0A47">
      <w:pPr>
        <w:pStyle w:val="PlainText"/>
      </w:pPr>
    </w:p>
    <w:p w:rsidR="008C0A47">
      <w:pPr>
        <w:pStyle w:val="Heading3"/>
        <w:keepNext w:val="0"/>
        <w:keepLines w:val="0"/>
        <w:jc w:val="center"/>
        <w:rPr>
          <w:rFonts w:asciiTheme="majorEastAsia" w:eastAsiaTheme="majorEastAsia" w:hAnsiTheme="majorEastAsia" w:cstheme="majorEastAsia"/>
          <w:b w:val="0"/>
          <w:bCs w:val="0"/>
          <w:kern w:val="0"/>
          <w:sz w:val="24"/>
          <w:szCs w:val="20"/>
        </w:rPr>
      </w:pPr>
      <w:r>
        <w:rPr>
          <w:rFonts w:asciiTheme="majorEastAsia" w:eastAsiaTheme="majorEastAsia" w:hAnsiTheme="majorEastAsia" w:cstheme="majorEastAsia" w:hint="eastAsia"/>
          <w:szCs w:val="28"/>
        </w:rPr>
        <w:t>七、其它招标文件要求的内容及投标人认为需要补充的内容（格式自定）</w:t>
      </w:r>
    </w:p>
    <w:p w:rsidR="008C0A47">
      <w:pPr>
        <w:rPr>
          <w:rFonts w:ascii="微软雅黑" w:eastAsia="微软雅黑" w:hAnsi="微软雅黑" w:cs="微软雅黑"/>
          <w:sz w:val="32"/>
          <w:szCs w:val="32"/>
        </w:rPr>
      </w:pPr>
      <w:r>
        <w:rPr>
          <w:rFonts w:ascii="微软雅黑" w:eastAsia="微软雅黑" w:hAnsi="微软雅黑" w:cs="微软雅黑" w:hint="eastAsia"/>
          <w:sz w:val="32"/>
          <w:szCs w:val="32"/>
        </w:rPr>
        <w:br w:type="page"/>
      </w:r>
    </w:p>
    <w:p w:rsidR="008C0A47">
      <w:pPr>
        <w:pStyle w:val="Heading2"/>
        <w:rPr>
          <w:rFonts w:ascii="微软雅黑" w:eastAsia="微软雅黑" w:hAnsi="微软雅黑" w:cs="微软雅黑"/>
          <w:b/>
          <w:bCs/>
          <w:sz w:val="32"/>
          <w:szCs w:val="32"/>
        </w:rPr>
      </w:pPr>
      <w:r>
        <w:rPr>
          <w:rFonts w:ascii="微软雅黑" w:eastAsia="微软雅黑" w:hAnsi="微软雅黑" w:cs="微软雅黑" w:hint="eastAsia"/>
          <w:b/>
          <w:bCs/>
          <w:sz w:val="32"/>
          <w:szCs w:val="32"/>
        </w:rPr>
        <w:t>第四章</w:t>
      </w:r>
      <w:r>
        <w:rPr>
          <w:rFonts w:ascii="微软雅黑" w:eastAsia="微软雅黑" w:hAnsi="微软雅黑" w:cs="微软雅黑" w:hint="eastAsia"/>
          <w:b/>
          <w:bCs/>
          <w:sz w:val="32"/>
          <w:szCs w:val="32"/>
        </w:rPr>
        <w:t xml:space="preserve">  </w:t>
      </w:r>
      <w:r>
        <w:rPr>
          <w:rFonts w:ascii="微软雅黑" w:eastAsia="微软雅黑" w:hAnsi="微软雅黑" w:cs="微软雅黑" w:hint="eastAsia"/>
          <w:b/>
          <w:bCs/>
          <w:sz w:val="32"/>
          <w:szCs w:val="32"/>
        </w:rPr>
        <w:t>合同条款及格式</w:t>
      </w:r>
    </w:p>
    <w:p w:rsidR="008C0A47">
      <w:pPr>
        <w:spacing w:line="39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b/>
          <w:szCs w:val="21"/>
        </w:rPr>
        <w:t>（仅供参考，项目具体要求以用户需求书为准）</w:t>
      </w:r>
    </w:p>
    <w:p w:rsidR="008C0A47">
      <w:pPr>
        <w:spacing w:line="380" w:lineRule="exact"/>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甲方：</w:t>
      </w:r>
      <w:r>
        <w:rPr>
          <w:rFonts w:asciiTheme="majorEastAsia" w:eastAsiaTheme="majorEastAsia" w:hAnsiTheme="majorEastAsia" w:cstheme="majorEastAsia" w:hint="eastAsia"/>
          <w:b/>
          <w:bCs/>
          <w:szCs w:val="21"/>
        </w:rPr>
        <w:t xml:space="preserve">   </w:t>
      </w:r>
    </w:p>
    <w:p w:rsidR="008C0A47">
      <w:pPr>
        <w:spacing w:line="380" w:lineRule="exact"/>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乙方：</w:t>
      </w:r>
      <w:r>
        <w:rPr>
          <w:rFonts w:asciiTheme="majorEastAsia" w:eastAsiaTheme="majorEastAsia" w:hAnsiTheme="majorEastAsia" w:cstheme="majorEastAsia" w:hint="eastAsia"/>
          <w:b/>
          <w:bCs/>
          <w:szCs w:val="21"/>
        </w:rPr>
        <w:t xml:space="preserve">                                          </w:t>
      </w:r>
    </w:p>
    <w:p w:rsidR="008C0A47">
      <w:pPr>
        <w:spacing w:line="380" w:lineRule="exact"/>
        <w:rPr>
          <w:rFonts w:asciiTheme="majorEastAsia" w:eastAsiaTheme="majorEastAsia" w:hAnsiTheme="majorEastAsia" w:cstheme="majorEastAsia"/>
          <w:szCs w:val="21"/>
        </w:rPr>
      </w:pPr>
    </w:p>
    <w:p w:rsidR="008C0A47">
      <w:pPr>
        <w:spacing w:line="3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根据深圳市国际招标有限公司号招标项目的投标结果，由单位为中标方。按照《中华人民共和国民法典》和《深圳经济特区政府采购条例》，经深圳市（以下简称甲方）和单位（以下简称乙方）协商，就甲方委托乙方承担</w:t>
      </w:r>
      <w:r>
        <w:rPr>
          <w:rFonts w:asciiTheme="majorEastAsia" w:eastAsiaTheme="majorEastAsia" w:hAnsiTheme="majorEastAsia" w:cstheme="majorEastAsia" w:hint="eastAsia"/>
          <w:b/>
          <w:bCs/>
          <w:snapToGrid w:val="0"/>
          <w:kern w:val="0"/>
          <w:szCs w:val="21"/>
          <w:u w:val="single"/>
          <w:lang w:val="zh-CN"/>
        </w:rPr>
        <w:t xml:space="preserve">                      </w:t>
      </w:r>
      <w:r>
        <w:rPr>
          <w:rFonts w:asciiTheme="majorEastAsia" w:eastAsiaTheme="majorEastAsia" w:hAnsiTheme="majorEastAsia" w:cstheme="majorEastAsia" w:hint="eastAsia"/>
          <w:b/>
          <w:bCs/>
          <w:snapToGrid w:val="0"/>
          <w:kern w:val="0"/>
          <w:szCs w:val="21"/>
          <w:u w:val="single"/>
          <w:lang w:val="zh-CN"/>
        </w:rPr>
        <w:t>服务项目</w:t>
      </w:r>
      <w:r>
        <w:rPr>
          <w:rFonts w:asciiTheme="majorEastAsia" w:eastAsiaTheme="majorEastAsia" w:hAnsiTheme="majorEastAsia" w:cstheme="majorEastAsia" w:hint="eastAsia"/>
          <w:szCs w:val="21"/>
        </w:rPr>
        <w:t>，达成以下合同条款：</w:t>
      </w:r>
    </w:p>
    <w:p w:rsidR="008C0A47">
      <w:pPr>
        <w:spacing w:line="380" w:lineRule="exact"/>
        <w:ind w:firstLine="480" w:firstLineChars="200"/>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第一条　项目概况</w:t>
      </w:r>
    </w:p>
    <w:p w:rsidR="008C0A47">
      <w:pPr>
        <w:spacing w:line="3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项目名称：</w:t>
      </w:r>
    </w:p>
    <w:p w:rsidR="008C0A47">
      <w:pPr>
        <w:spacing w:line="3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项目内容：</w:t>
      </w:r>
    </w:p>
    <w:p w:rsidR="008C0A47">
      <w:pPr>
        <w:spacing w:line="3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服务时间：</w:t>
      </w:r>
    </w:p>
    <w:p w:rsidR="008C0A47">
      <w:pPr>
        <w:spacing w:line="3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合同价款：合同总价为元，</w:t>
      </w:r>
      <w:r>
        <w:rPr>
          <w:rFonts w:asciiTheme="majorEastAsia" w:eastAsiaTheme="majorEastAsia" w:hAnsiTheme="majorEastAsia" w:cstheme="majorEastAsia" w:hint="eastAsia"/>
          <w:szCs w:val="21"/>
        </w:rPr>
        <w:t>含一切</w:t>
      </w:r>
      <w:r>
        <w:rPr>
          <w:rFonts w:asciiTheme="majorEastAsia" w:eastAsiaTheme="majorEastAsia" w:hAnsiTheme="majorEastAsia" w:cstheme="majorEastAsia" w:hint="eastAsia"/>
          <w:szCs w:val="21"/>
        </w:rPr>
        <w:t>税、费。</w:t>
      </w:r>
      <w:r>
        <w:rPr>
          <w:rFonts w:asciiTheme="majorEastAsia" w:eastAsiaTheme="majorEastAsia" w:hAnsiTheme="majorEastAsia" w:cstheme="majorEastAsia" w:hint="eastAsia"/>
        </w:rPr>
        <w:t>本合同总价包括</w:t>
      </w:r>
      <w:r>
        <w:rPr>
          <w:rFonts w:asciiTheme="majorEastAsia" w:eastAsiaTheme="majorEastAsia" w:hAnsiTheme="majorEastAsia" w:cstheme="majorEastAsia" w:hint="eastAsia"/>
          <w:szCs w:val="21"/>
        </w:rPr>
        <w:t>乙方为实施本项目荷载试验所需的设备仪器费、车辆租赁费、</w:t>
      </w:r>
      <w:r>
        <w:rPr>
          <w:rFonts w:asciiTheme="majorEastAsia" w:eastAsiaTheme="majorEastAsia" w:hAnsiTheme="majorEastAsia" w:cstheme="majorEastAsia" w:hint="eastAsia"/>
        </w:rPr>
        <w:t>服务和技术费用等，为固定不变价格，且不随通货膨胀的影响而波动。合同总价包括</w:t>
      </w:r>
      <w:r>
        <w:rPr>
          <w:rFonts w:asciiTheme="majorEastAsia" w:eastAsiaTheme="majorEastAsia" w:hAnsiTheme="majorEastAsia" w:cstheme="majorEastAsia" w:hint="eastAsia"/>
          <w:szCs w:val="21"/>
        </w:rPr>
        <w:t>乙方</w:t>
      </w:r>
      <w:r>
        <w:rPr>
          <w:rFonts w:asciiTheme="majorEastAsia" w:eastAsiaTheme="majorEastAsia" w:hAnsiTheme="majorEastAsia" w:cstheme="majorEastAsia" w:hint="eastAsia"/>
        </w:rPr>
        <w:t>履行本合同义务所发生的一切费用和支出和以各种方式寄送技术资料到甲方办公室所发生的费用。如发生本合同规定的不可抗力，合同总价可经双方友好协商予以调整。</w:t>
      </w:r>
    </w:p>
    <w:p w:rsidR="008C0A47">
      <w:pPr>
        <w:pStyle w:val="NormalIndent"/>
        <w:spacing w:line="38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支付方式：分期支付。</w:t>
      </w:r>
    </w:p>
    <w:p w:rsidR="008C0A47">
      <w:pPr>
        <w:spacing w:line="380" w:lineRule="exact"/>
        <w:ind w:firstLine="480" w:firstLineChars="200"/>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第二条</w:t>
      </w:r>
      <w:r>
        <w:rPr>
          <w:rFonts w:asciiTheme="majorEastAsia" w:eastAsiaTheme="majorEastAsia" w:hAnsiTheme="majorEastAsia" w:cstheme="majorEastAsia" w:hint="eastAsia"/>
          <w:b/>
          <w:bCs/>
          <w:szCs w:val="21"/>
        </w:rPr>
        <w:t xml:space="preserve">  </w:t>
      </w:r>
      <w:r>
        <w:rPr>
          <w:rFonts w:asciiTheme="majorEastAsia" w:eastAsiaTheme="majorEastAsia" w:hAnsiTheme="majorEastAsia" w:cstheme="majorEastAsia" w:hint="eastAsia"/>
          <w:b/>
          <w:bCs/>
          <w:szCs w:val="21"/>
        </w:rPr>
        <w:t>服务范围</w:t>
      </w:r>
    </w:p>
    <w:p w:rsidR="008C0A47">
      <w:pPr>
        <w:spacing w:line="3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w:t>
      </w:r>
      <w:r>
        <w:rPr>
          <w:rFonts w:asciiTheme="majorEastAsia" w:eastAsiaTheme="majorEastAsia" w:hAnsiTheme="majorEastAsia" w:cstheme="majorEastAsia" w:hint="eastAsia"/>
          <w:szCs w:val="21"/>
        </w:rPr>
        <w:t>、</w:t>
      </w:r>
    </w:p>
    <w:p w:rsidR="008C0A47">
      <w:pPr>
        <w:spacing w:line="3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w:t>
      </w:r>
      <w:r>
        <w:rPr>
          <w:rFonts w:asciiTheme="majorEastAsia" w:eastAsiaTheme="majorEastAsia" w:hAnsiTheme="majorEastAsia" w:cstheme="majorEastAsia" w:hint="eastAsia"/>
          <w:szCs w:val="21"/>
        </w:rPr>
        <w:t>、</w:t>
      </w:r>
    </w:p>
    <w:p w:rsidR="008C0A47">
      <w:pPr>
        <w:spacing w:line="3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w:t>
      </w:r>
      <w:r>
        <w:rPr>
          <w:rFonts w:asciiTheme="majorEastAsia" w:eastAsiaTheme="majorEastAsia" w:hAnsiTheme="majorEastAsia" w:cstheme="majorEastAsia" w:hint="eastAsia"/>
          <w:szCs w:val="21"/>
        </w:rPr>
        <w:t>、</w:t>
      </w:r>
    </w:p>
    <w:p w:rsidR="008C0A47">
      <w:pPr>
        <w:spacing w:line="3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4</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其他合同未明示的相关工作。</w:t>
      </w:r>
    </w:p>
    <w:p w:rsidR="008C0A47">
      <w:pPr>
        <w:spacing w:line="380" w:lineRule="exact"/>
        <w:ind w:firstLine="480" w:firstLineChars="200"/>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第三条</w:t>
      </w:r>
      <w:r>
        <w:rPr>
          <w:rFonts w:asciiTheme="majorEastAsia" w:eastAsiaTheme="majorEastAsia" w:hAnsiTheme="majorEastAsia" w:cstheme="majorEastAsia" w:hint="eastAsia"/>
          <w:b/>
          <w:bCs/>
          <w:szCs w:val="21"/>
        </w:rPr>
        <w:t xml:space="preserve">  </w:t>
      </w:r>
      <w:r>
        <w:rPr>
          <w:rFonts w:asciiTheme="majorEastAsia" w:eastAsiaTheme="majorEastAsia" w:hAnsiTheme="majorEastAsia" w:cstheme="majorEastAsia" w:hint="eastAsia"/>
          <w:b/>
          <w:bCs/>
          <w:szCs w:val="21"/>
        </w:rPr>
        <w:t>时间要求及阶段成果</w:t>
      </w:r>
    </w:p>
    <w:p w:rsidR="008C0A47">
      <w:pPr>
        <w:spacing w:line="3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w:t>
      </w:r>
      <w:r>
        <w:rPr>
          <w:rFonts w:asciiTheme="majorEastAsia" w:eastAsiaTheme="majorEastAsia" w:hAnsiTheme="majorEastAsia" w:cstheme="majorEastAsia" w:hint="eastAsia"/>
          <w:szCs w:val="21"/>
        </w:rPr>
        <w:t>、合同签订天内完成项目实施的准备工作，包括工作大纲和</w:t>
      </w:r>
      <w:r>
        <w:rPr>
          <w:rFonts w:asciiTheme="majorEastAsia" w:eastAsiaTheme="majorEastAsia" w:hAnsiTheme="majorEastAsia" w:cstheme="majorEastAsia" w:hint="eastAsia"/>
          <w:szCs w:val="21"/>
        </w:rPr>
        <w:t>试验细则的编制；</w:t>
      </w:r>
    </w:p>
    <w:p w:rsidR="008C0A47">
      <w:pPr>
        <w:spacing w:line="3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w:t>
      </w:r>
      <w:r>
        <w:rPr>
          <w:rFonts w:asciiTheme="majorEastAsia" w:eastAsiaTheme="majorEastAsia" w:hAnsiTheme="majorEastAsia" w:cstheme="majorEastAsia" w:hint="eastAsia"/>
          <w:szCs w:val="21"/>
        </w:rPr>
        <w:t>、</w:t>
      </w:r>
    </w:p>
    <w:p w:rsidR="008C0A47">
      <w:pPr>
        <w:spacing w:line="3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w:t>
      </w:r>
      <w:r>
        <w:rPr>
          <w:rFonts w:asciiTheme="majorEastAsia" w:eastAsiaTheme="majorEastAsia" w:hAnsiTheme="majorEastAsia" w:cstheme="majorEastAsia" w:hint="eastAsia"/>
          <w:szCs w:val="21"/>
        </w:rPr>
        <w:t>、</w:t>
      </w:r>
    </w:p>
    <w:p w:rsidR="008C0A47">
      <w:pPr>
        <w:spacing w:line="3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4</w:t>
      </w:r>
      <w:r>
        <w:rPr>
          <w:rFonts w:asciiTheme="majorEastAsia" w:eastAsiaTheme="majorEastAsia" w:hAnsiTheme="majorEastAsia" w:cstheme="majorEastAsia" w:hint="eastAsia"/>
          <w:szCs w:val="21"/>
        </w:rPr>
        <w:t>、</w:t>
      </w:r>
    </w:p>
    <w:p w:rsidR="008C0A47">
      <w:pPr>
        <w:spacing w:line="380" w:lineRule="exact"/>
        <w:ind w:firstLine="480" w:firstLineChars="200"/>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第四条</w:t>
      </w:r>
      <w:r>
        <w:rPr>
          <w:rFonts w:asciiTheme="majorEastAsia" w:eastAsiaTheme="majorEastAsia" w:hAnsiTheme="majorEastAsia" w:cstheme="majorEastAsia" w:hint="eastAsia"/>
          <w:b/>
          <w:bCs/>
          <w:szCs w:val="21"/>
        </w:rPr>
        <w:t xml:space="preserve">  </w:t>
      </w:r>
      <w:r>
        <w:rPr>
          <w:rFonts w:asciiTheme="majorEastAsia" w:eastAsiaTheme="majorEastAsia" w:hAnsiTheme="majorEastAsia" w:cstheme="majorEastAsia" w:hint="eastAsia"/>
          <w:b/>
          <w:bCs/>
          <w:szCs w:val="21"/>
        </w:rPr>
        <w:t>咨询服务资料归属</w:t>
      </w:r>
    </w:p>
    <w:p w:rsidR="008C0A47">
      <w:pPr>
        <w:spacing w:line="380" w:lineRule="exact"/>
        <w:ind w:firstLine="480" w:firstLineChars="200"/>
        <w:rPr>
          <w:rFonts w:asciiTheme="majorEastAsia" w:eastAsiaTheme="majorEastAsia" w:hAnsiTheme="majorEastAsia" w:cstheme="majorEastAsia"/>
        </w:rPr>
      </w:pPr>
      <w:r>
        <w:rPr>
          <w:rFonts w:asciiTheme="majorEastAsia" w:eastAsiaTheme="majorEastAsia" w:hAnsiTheme="majorEastAsia" w:cstheme="majorEastAsia" w:hint="eastAsia"/>
        </w:rPr>
        <w:t>1</w:t>
      </w:r>
      <w:r>
        <w:rPr>
          <w:rFonts w:asciiTheme="majorEastAsia" w:eastAsiaTheme="majorEastAsia" w:hAnsiTheme="majorEastAsia" w:cstheme="majorEastAsia" w:hint="eastAsia"/>
        </w:rPr>
        <w:t>、所有提交给甲方的咨询服务文件及相关的资料的最后文本，包括为履行技术咨询服务范围所编制的图纸、计划和证明资料等，都属于甲方的财产，</w:t>
      </w:r>
      <w:r>
        <w:rPr>
          <w:rFonts w:asciiTheme="majorEastAsia" w:eastAsiaTheme="majorEastAsia" w:hAnsiTheme="majorEastAsia" w:cstheme="majorEastAsia" w:hint="eastAsia"/>
          <w:szCs w:val="21"/>
        </w:rPr>
        <w:t>乙</w:t>
      </w:r>
      <w:r>
        <w:rPr>
          <w:rFonts w:asciiTheme="majorEastAsia" w:eastAsiaTheme="majorEastAsia" w:hAnsiTheme="majorEastAsia" w:cstheme="majorEastAsia" w:hint="eastAsia"/>
        </w:rPr>
        <w:t>方在提交给甲方之前应将上述资料进行整理归类和编制索引。</w:t>
      </w:r>
    </w:p>
    <w:p w:rsidR="008C0A47">
      <w:pPr>
        <w:spacing w:line="380" w:lineRule="exact"/>
        <w:ind w:firstLine="480" w:firstLineChars="200"/>
        <w:rPr>
          <w:rFonts w:asciiTheme="majorEastAsia" w:eastAsiaTheme="majorEastAsia" w:hAnsiTheme="majorEastAsia" w:cstheme="majorEastAsia"/>
        </w:rPr>
      </w:pPr>
      <w:r>
        <w:rPr>
          <w:rFonts w:asciiTheme="majorEastAsia" w:eastAsiaTheme="majorEastAsia" w:hAnsiTheme="majorEastAsia" w:cstheme="majorEastAsia" w:hint="eastAsia"/>
        </w:rPr>
        <w:t>2</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szCs w:val="21"/>
        </w:rPr>
        <w:t>乙</w:t>
      </w:r>
      <w:r>
        <w:rPr>
          <w:rFonts w:asciiTheme="majorEastAsia" w:eastAsiaTheme="majorEastAsia" w:hAnsiTheme="majorEastAsia" w:cstheme="majorEastAsia" w:hint="eastAsia"/>
        </w:rPr>
        <w:t>方未经甲方的书面同意，不得将上述资料用于与本咨询服务项目之外的任何项目。</w:t>
      </w:r>
    </w:p>
    <w:p w:rsidR="008C0A47">
      <w:pPr>
        <w:spacing w:line="380" w:lineRule="exact"/>
        <w:ind w:firstLine="480" w:firstLineChars="200"/>
        <w:rPr>
          <w:rFonts w:asciiTheme="majorEastAsia" w:eastAsiaTheme="majorEastAsia" w:hAnsiTheme="majorEastAsia" w:cstheme="majorEastAsia"/>
        </w:rPr>
      </w:pPr>
      <w:r>
        <w:rPr>
          <w:rFonts w:asciiTheme="majorEastAsia" w:eastAsiaTheme="majorEastAsia" w:hAnsiTheme="majorEastAsia" w:cstheme="majorEastAsia" w:hint="eastAsia"/>
        </w:rPr>
        <w:t>3</w:t>
      </w:r>
      <w:r>
        <w:rPr>
          <w:rFonts w:asciiTheme="majorEastAsia" w:eastAsiaTheme="majorEastAsia" w:hAnsiTheme="majorEastAsia" w:cstheme="majorEastAsia" w:hint="eastAsia"/>
        </w:rPr>
        <w:t>、合同履行完毕，未经甲方的书面同意，</w:t>
      </w:r>
      <w:r>
        <w:rPr>
          <w:rFonts w:asciiTheme="majorEastAsia" w:eastAsiaTheme="majorEastAsia" w:hAnsiTheme="majorEastAsia" w:cstheme="majorEastAsia" w:hint="eastAsia"/>
          <w:szCs w:val="21"/>
        </w:rPr>
        <w:t>乙</w:t>
      </w:r>
      <w:r>
        <w:rPr>
          <w:rFonts w:asciiTheme="majorEastAsia" w:eastAsiaTheme="majorEastAsia" w:hAnsiTheme="majorEastAsia" w:cstheme="majorEastAsia" w:hint="eastAsia"/>
        </w:rPr>
        <w:t>方不得保存在履行合同过程中所获得或接</w:t>
      </w:r>
      <w:r>
        <w:rPr>
          <w:rFonts w:asciiTheme="majorEastAsia" w:eastAsiaTheme="majorEastAsia" w:hAnsiTheme="majorEastAsia" w:cstheme="majorEastAsia" w:hint="eastAsia"/>
        </w:rPr>
        <w:t>触到的任何</w:t>
      </w:r>
      <w:r>
        <w:rPr>
          <w:rFonts w:asciiTheme="majorEastAsia" w:eastAsiaTheme="majorEastAsia" w:hAnsiTheme="majorEastAsia" w:cstheme="majorEastAsia" w:hint="eastAsia"/>
          <w:szCs w:val="21"/>
        </w:rPr>
        <w:t>内部数据资料。</w:t>
      </w:r>
    </w:p>
    <w:p w:rsidR="008C0A47">
      <w:pPr>
        <w:spacing w:line="380" w:lineRule="exact"/>
        <w:ind w:firstLine="480" w:firstLineChars="200"/>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第五条</w:t>
      </w:r>
      <w:r>
        <w:rPr>
          <w:rFonts w:asciiTheme="majorEastAsia" w:eastAsiaTheme="majorEastAsia" w:hAnsiTheme="majorEastAsia" w:cstheme="majorEastAsia" w:hint="eastAsia"/>
          <w:b/>
          <w:bCs/>
          <w:szCs w:val="21"/>
        </w:rPr>
        <w:t xml:space="preserve">  </w:t>
      </w:r>
      <w:r>
        <w:rPr>
          <w:rFonts w:asciiTheme="majorEastAsia" w:eastAsiaTheme="majorEastAsia" w:hAnsiTheme="majorEastAsia" w:cstheme="majorEastAsia" w:hint="eastAsia"/>
          <w:b/>
          <w:bCs/>
          <w:szCs w:val="21"/>
        </w:rPr>
        <w:t>甲方的义务</w:t>
      </w:r>
    </w:p>
    <w:p w:rsidR="008C0A47">
      <w:pPr>
        <w:spacing w:line="3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w:t>
      </w:r>
      <w:r>
        <w:rPr>
          <w:rFonts w:asciiTheme="majorEastAsia" w:eastAsiaTheme="majorEastAsia" w:hAnsiTheme="majorEastAsia" w:cstheme="majorEastAsia" w:hint="eastAsia"/>
          <w:szCs w:val="21"/>
        </w:rPr>
        <w:t>、负责与本咨询服务项目有关的第三方的协调，提供开展咨询服务工作的外部条件。</w:t>
      </w:r>
    </w:p>
    <w:p w:rsidR="008C0A47">
      <w:pPr>
        <w:spacing w:line="3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w:t>
      </w:r>
      <w:r>
        <w:rPr>
          <w:rFonts w:asciiTheme="majorEastAsia" w:eastAsiaTheme="majorEastAsia" w:hAnsiTheme="majorEastAsia" w:cstheme="majorEastAsia" w:hint="eastAsia"/>
          <w:szCs w:val="21"/>
        </w:rPr>
        <w:t>、向乙方提供与本项目咨询服务工作有关的资料。</w:t>
      </w:r>
    </w:p>
    <w:p w:rsidR="008C0A47">
      <w:pPr>
        <w:spacing w:line="3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w:t>
      </w:r>
      <w:r>
        <w:rPr>
          <w:rFonts w:asciiTheme="majorEastAsia" w:eastAsiaTheme="majorEastAsia" w:hAnsiTheme="majorEastAsia" w:cstheme="majorEastAsia" w:hint="eastAsia"/>
          <w:szCs w:val="21"/>
        </w:rPr>
        <w:t>、负责组织有关专家对项目试验成果评估报告的评审。</w:t>
      </w:r>
    </w:p>
    <w:p w:rsidR="008C0A47">
      <w:pPr>
        <w:spacing w:line="380" w:lineRule="exact"/>
        <w:ind w:firstLine="480" w:firstLineChars="200"/>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第六条　乙方的义务</w:t>
      </w:r>
    </w:p>
    <w:p w:rsidR="008C0A47">
      <w:pPr>
        <w:spacing w:line="3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１、应</w:t>
      </w:r>
      <w:r>
        <w:rPr>
          <w:rFonts w:asciiTheme="majorEastAsia" w:eastAsiaTheme="majorEastAsia" w:hAnsiTheme="majorEastAsia" w:cstheme="majorEastAsia" w:hint="eastAsia"/>
          <w:szCs w:val="21"/>
        </w:rPr>
        <w:t>按照号</w:t>
      </w:r>
      <w:r>
        <w:rPr>
          <w:rFonts w:asciiTheme="majorEastAsia" w:eastAsiaTheme="majorEastAsia" w:hAnsiTheme="majorEastAsia" w:cstheme="majorEastAsia" w:hint="eastAsia"/>
          <w:szCs w:val="21"/>
        </w:rPr>
        <w:t>招标文件、乙方投标文件要求按期完成本项目咨询服务工作。</w:t>
      </w:r>
    </w:p>
    <w:p w:rsidR="008C0A47">
      <w:pPr>
        <w:spacing w:line="3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w:t>
      </w:r>
      <w:r>
        <w:rPr>
          <w:rFonts w:asciiTheme="majorEastAsia" w:eastAsiaTheme="majorEastAsia" w:hAnsiTheme="majorEastAsia" w:cstheme="majorEastAsia" w:hint="eastAsia"/>
          <w:szCs w:val="21"/>
        </w:rPr>
        <w:t>、负责组织项目的实施，保证项目进度和成桥荷载试验工作质量，并满足交通部交工验收相关标准。</w:t>
      </w:r>
    </w:p>
    <w:p w:rsidR="008C0A47">
      <w:pPr>
        <w:spacing w:line="3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rPr>
        <w:t>向甲方提交检测资料等各套，一套电子版文件。</w:t>
      </w:r>
    </w:p>
    <w:p w:rsidR="008C0A47">
      <w:pPr>
        <w:spacing w:line="3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4</w:t>
      </w:r>
      <w:r>
        <w:rPr>
          <w:rFonts w:asciiTheme="majorEastAsia" w:eastAsiaTheme="majorEastAsia" w:hAnsiTheme="majorEastAsia" w:cstheme="majorEastAsia" w:hint="eastAsia"/>
          <w:szCs w:val="21"/>
        </w:rPr>
        <w:t>、在履行合同期间或合同规定期限内，不得泄露与本合同规定业务活动有关的保密资料。</w:t>
      </w:r>
    </w:p>
    <w:p w:rsidR="008C0A47">
      <w:pPr>
        <w:spacing w:line="380" w:lineRule="exact"/>
        <w:ind w:firstLine="480" w:firstLineChars="200"/>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第七条</w:t>
      </w:r>
      <w:r>
        <w:rPr>
          <w:rFonts w:asciiTheme="majorEastAsia" w:eastAsiaTheme="majorEastAsia" w:hAnsiTheme="majorEastAsia" w:cstheme="majorEastAsia" w:hint="eastAsia"/>
          <w:b/>
          <w:bCs/>
          <w:szCs w:val="21"/>
        </w:rPr>
        <w:t xml:space="preserve">  </w:t>
      </w:r>
      <w:r>
        <w:rPr>
          <w:rFonts w:asciiTheme="majorEastAsia" w:eastAsiaTheme="majorEastAsia" w:hAnsiTheme="majorEastAsia" w:cstheme="majorEastAsia" w:hint="eastAsia"/>
          <w:b/>
          <w:bCs/>
          <w:szCs w:val="21"/>
        </w:rPr>
        <w:t>甲方的权利</w:t>
      </w:r>
    </w:p>
    <w:p w:rsidR="008C0A47">
      <w:pPr>
        <w:spacing w:line="3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w:t>
      </w:r>
      <w:r>
        <w:rPr>
          <w:rFonts w:asciiTheme="majorEastAsia" w:eastAsiaTheme="majorEastAsia" w:hAnsiTheme="majorEastAsia" w:cstheme="majorEastAsia" w:hint="eastAsia"/>
          <w:szCs w:val="21"/>
        </w:rPr>
        <w:t>、有权向乙方询问工作进展情况及相关的内容。</w:t>
      </w:r>
    </w:p>
    <w:p w:rsidR="008C0A47">
      <w:pPr>
        <w:spacing w:line="3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w:t>
      </w:r>
      <w:r>
        <w:rPr>
          <w:rFonts w:asciiTheme="majorEastAsia" w:eastAsiaTheme="majorEastAsia" w:hAnsiTheme="majorEastAsia" w:cstheme="majorEastAsia" w:hint="eastAsia"/>
          <w:szCs w:val="21"/>
        </w:rPr>
        <w:t>、有权阐述对具体问题的意见和建议。</w:t>
      </w:r>
    </w:p>
    <w:p w:rsidR="008C0A47">
      <w:pPr>
        <w:spacing w:line="3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w:t>
      </w:r>
      <w:r>
        <w:rPr>
          <w:rFonts w:asciiTheme="majorEastAsia" w:eastAsiaTheme="majorEastAsia" w:hAnsiTheme="majorEastAsia" w:cstheme="majorEastAsia" w:hint="eastAsia"/>
          <w:szCs w:val="21"/>
        </w:rPr>
        <w:t>、当甲方认定乙方人员不按合同履行其职责，或与第三人串通给甲方造成经济损失的，甲方有权要求更换人员，直至终止合同并要求乙方承担相应的赔偿责任。</w:t>
      </w:r>
    </w:p>
    <w:p w:rsidR="008C0A47">
      <w:pPr>
        <w:spacing w:line="380" w:lineRule="exact"/>
        <w:ind w:firstLine="480" w:firstLineChars="200"/>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第八条</w:t>
      </w:r>
      <w:r>
        <w:rPr>
          <w:rFonts w:asciiTheme="majorEastAsia" w:eastAsiaTheme="majorEastAsia" w:hAnsiTheme="majorEastAsia" w:cstheme="majorEastAsia" w:hint="eastAsia"/>
          <w:b/>
          <w:bCs/>
          <w:szCs w:val="21"/>
        </w:rPr>
        <w:t xml:space="preserve">  </w:t>
      </w:r>
      <w:r>
        <w:rPr>
          <w:rFonts w:asciiTheme="majorEastAsia" w:eastAsiaTheme="majorEastAsia" w:hAnsiTheme="majorEastAsia" w:cstheme="majorEastAsia" w:hint="eastAsia"/>
          <w:b/>
          <w:bCs/>
          <w:szCs w:val="21"/>
        </w:rPr>
        <w:t>乙方的权利</w:t>
      </w:r>
    </w:p>
    <w:p w:rsidR="008C0A47">
      <w:pPr>
        <w:spacing w:line="3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w:t>
      </w:r>
      <w:r>
        <w:rPr>
          <w:rFonts w:asciiTheme="majorEastAsia" w:eastAsiaTheme="majorEastAsia" w:hAnsiTheme="majorEastAsia" w:cstheme="majorEastAsia" w:hint="eastAsia"/>
          <w:szCs w:val="21"/>
        </w:rPr>
        <w:t>、乙方在本项目服务过程中，如甲方提供的资料不明确时可向甲方提出书面报告。</w:t>
      </w:r>
    </w:p>
    <w:p w:rsidR="008C0A47">
      <w:pPr>
        <w:spacing w:line="3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w:t>
      </w:r>
      <w:r>
        <w:rPr>
          <w:rFonts w:asciiTheme="majorEastAsia" w:eastAsiaTheme="majorEastAsia" w:hAnsiTheme="majorEastAsia" w:cstheme="majorEastAsia" w:hint="eastAsia"/>
          <w:szCs w:val="21"/>
        </w:rPr>
        <w:t>、乙方在本项目服务过程中，有权对第三方提出与本咨询服务业务有关的问题进行核对或查问。</w:t>
      </w:r>
    </w:p>
    <w:p w:rsidR="008C0A47">
      <w:pPr>
        <w:spacing w:line="3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w:t>
      </w:r>
      <w:r>
        <w:rPr>
          <w:rFonts w:asciiTheme="majorEastAsia" w:eastAsiaTheme="majorEastAsia" w:hAnsiTheme="majorEastAsia" w:cstheme="majorEastAsia" w:hint="eastAsia"/>
          <w:szCs w:val="21"/>
        </w:rPr>
        <w:t>、乙方在本项目服务过程中，有到项目现场勘察的权利。</w:t>
      </w:r>
    </w:p>
    <w:p w:rsidR="008C0A47">
      <w:pPr>
        <w:spacing w:line="380" w:lineRule="exact"/>
        <w:ind w:firstLine="480" w:firstLineChars="200"/>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第九条</w:t>
      </w:r>
      <w:r>
        <w:rPr>
          <w:rFonts w:asciiTheme="majorEastAsia" w:eastAsiaTheme="majorEastAsia" w:hAnsiTheme="majorEastAsia" w:cstheme="majorEastAsia" w:hint="eastAsia"/>
          <w:b/>
          <w:bCs/>
          <w:szCs w:val="21"/>
        </w:rPr>
        <w:t xml:space="preserve">  </w:t>
      </w:r>
      <w:r>
        <w:rPr>
          <w:rFonts w:asciiTheme="majorEastAsia" w:eastAsiaTheme="majorEastAsia" w:hAnsiTheme="majorEastAsia" w:cstheme="majorEastAsia" w:hint="eastAsia"/>
          <w:b/>
          <w:bCs/>
          <w:szCs w:val="21"/>
        </w:rPr>
        <w:t>甲方的责任</w:t>
      </w:r>
    </w:p>
    <w:p w:rsidR="008C0A47">
      <w:pPr>
        <w:spacing w:line="3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w:t>
      </w:r>
      <w:r>
        <w:rPr>
          <w:rFonts w:asciiTheme="majorEastAsia" w:eastAsiaTheme="majorEastAsia" w:hAnsiTheme="majorEastAsia" w:cstheme="majorEastAsia" w:hint="eastAsia"/>
          <w:szCs w:val="21"/>
        </w:rPr>
        <w:t>、应当履行本合同约定</w:t>
      </w:r>
      <w:r>
        <w:rPr>
          <w:rFonts w:asciiTheme="majorEastAsia" w:eastAsiaTheme="majorEastAsia" w:hAnsiTheme="majorEastAsia" w:cstheme="majorEastAsia" w:hint="eastAsia"/>
          <w:szCs w:val="21"/>
        </w:rPr>
        <w:t>的义务，如有违反则应当承担违约责任，赔偿给乙方造成的损失。</w:t>
      </w:r>
    </w:p>
    <w:p w:rsidR="008C0A47">
      <w:pPr>
        <w:spacing w:line="3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w:t>
      </w:r>
      <w:r>
        <w:rPr>
          <w:rFonts w:asciiTheme="majorEastAsia" w:eastAsiaTheme="majorEastAsia" w:hAnsiTheme="majorEastAsia" w:cstheme="majorEastAsia" w:hint="eastAsia"/>
          <w:szCs w:val="21"/>
        </w:rPr>
        <w:t>、甲方向乙方提出赔偿要求不能成立时，则应补偿由于该赔偿或其他要求所导致乙方的各种费用的支出。</w:t>
      </w:r>
    </w:p>
    <w:p w:rsidR="008C0A47">
      <w:pPr>
        <w:spacing w:line="380" w:lineRule="exact"/>
        <w:ind w:firstLine="480" w:firstLineChars="200"/>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第十条</w:t>
      </w:r>
      <w:r>
        <w:rPr>
          <w:rFonts w:asciiTheme="majorEastAsia" w:eastAsiaTheme="majorEastAsia" w:hAnsiTheme="majorEastAsia" w:cstheme="majorEastAsia" w:hint="eastAsia"/>
          <w:b/>
          <w:bCs/>
          <w:szCs w:val="21"/>
        </w:rPr>
        <w:t xml:space="preserve">  </w:t>
      </w:r>
      <w:r>
        <w:rPr>
          <w:rFonts w:asciiTheme="majorEastAsia" w:eastAsiaTheme="majorEastAsia" w:hAnsiTheme="majorEastAsia" w:cstheme="majorEastAsia" w:hint="eastAsia"/>
          <w:b/>
          <w:bCs/>
          <w:szCs w:val="21"/>
        </w:rPr>
        <w:t>乙方的责任</w:t>
      </w:r>
    </w:p>
    <w:p w:rsidR="008C0A47">
      <w:pPr>
        <w:spacing w:line="3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w:t>
      </w:r>
      <w:r>
        <w:rPr>
          <w:rFonts w:asciiTheme="majorEastAsia" w:eastAsiaTheme="majorEastAsia" w:hAnsiTheme="majorEastAsia" w:cstheme="majorEastAsia" w:hint="eastAsia"/>
          <w:szCs w:val="21"/>
        </w:rPr>
        <w:t>、乙方的责任期即本合同有效期。如因非乙方的责任造成进度的推迟或延误而超过约定的日期，双方应进一步约定相应延长合同有效期。</w:t>
      </w:r>
    </w:p>
    <w:p w:rsidR="008C0A47">
      <w:pPr>
        <w:spacing w:line="3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w:t>
      </w:r>
      <w:r>
        <w:rPr>
          <w:rFonts w:asciiTheme="majorEastAsia" w:eastAsiaTheme="majorEastAsia" w:hAnsiTheme="majorEastAsia" w:cstheme="majorEastAsia" w:hint="eastAsia"/>
          <w:szCs w:val="21"/>
        </w:rPr>
        <w:t>、乙方的责任期内，应当履行本合同中约定的义务，因乙方的单方过失造成的经济损失，应当向甲方进行赔偿。</w:t>
      </w:r>
    </w:p>
    <w:p w:rsidR="008C0A47">
      <w:pPr>
        <w:spacing w:line="3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w:t>
      </w:r>
      <w:r>
        <w:rPr>
          <w:rFonts w:asciiTheme="majorEastAsia" w:eastAsiaTheme="majorEastAsia" w:hAnsiTheme="majorEastAsia" w:cstheme="majorEastAsia" w:hint="eastAsia"/>
          <w:szCs w:val="21"/>
        </w:rPr>
        <w:t>、乙方对甲方或第三方所提出的问题不能及时核对或答复，导致合同不能全部或部分履行，乙方应承担责任。</w:t>
      </w:r>
    </w:p>
    <w:p w:rsidR="008C0A47">
      <w:pPr>
        <w:spacing w:line="3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4</w:t>
      </w:r>
      <w:r>
        <w:rPr>
          <w:rFonts w:asciiTheme="majorEastAsia" w:eastAsiaTheme="majorEastAsia" w:hAnsiTheme="majorEastAsia" w:cstheme="majorEastAsia" w:hint="eastAsia"/>
          <w:szCs w:val="21"/>
        </w:rPr>
        <w:t>、乙方</w:t>
      </w:r>
      <w:r>
        <w:rPr>
          <w:rFonts w:asciiTheme="majorEastAsia" w:eastAsiaTheme="majorEastAsia" w:hAnsiTheme="majorEastAsia" w:cstheme="majorEastAsia" w:hint="eastAsia"/>
          <w:szCs w:val="21"/>
        </w:rPr>
        <w:t>向甲方提出赔偿要求不能成立时，则应补偿由于该赔偿或其他要求所导致甲方的各种费用的支出。</w:t>
      </w:r>
    </w:p>
    <w:p w:rsidR="008C0A47">
      <w:pPr>
        <w:spacing w:line="380" w:lineRule="exact"/>
        <w:ind w:firstLine="480" w:firstLineChars="200"/>
        <w:rPr>
          <w:rFonts w:asciiTheme="minorEastAsia" w:hAnsiTheme="minorEastAsia"/>
          <w:b/>
          <w:szCs w:val="21"/>
        </w:rPr>
      </w:pPr>
      <w:r>
        <w:rPr>
          <w:rFonts w:asciiTheme="majorEastAsia" w:eastAsiaTheme="majorEastAsia" w:hAnsiTheme="majorEastAsia" w:cstheme="majorEastAsia" w:hint="eastAsia"/>
          <w:b/>
          <w:bCs/>
          <w:szCs w:val="21"/>
        </w:rPr>
        <w:t>第十一条</w:t>
      </w:r>
      <w:r>
        <w:rPr>
          <w:rFonts w:asciiTheme="majorEastAsia" w:eastAsiaTheme="majorEastAsia" w:hAnsiTheme="majorEastAsia" w:cstheme="majorEastAsia" w:hint="eastAsia"/>
          <w:b/>
          <w:bCs/>
          <w:szCs w:val="21"/>
        </w:rPr>
        <w:t xml:space="preserve">  </w:t>
      </w:r>
      <w:r>
        <w:rPr>
          <w:rFonts w:asciiTheme="minorEastAsia" w:hAnsiTheme="minorEastAsia" w:hint="eastAsia"/>
          <w:b/>
          <w:szCs w:val="21"/>
        </w:rPr>
        <w:t>履约保证金</w:t>
      </w:r>
    </w:p>
    <w:p w:rsidR="008C0A47">
      <w:pPr>
        <w:spacing w:line="380" w:lineRule="exact"/>
        <w:ind w:firstLine="480" w:firstLineChars="20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、乙方应在签订本合同之日，向甲方或甲方指定的机构提交履约保证金</w:t>
      </w:r>
      <w:r>
        <w:rPr>
          <w:rFonts w:asciiTheme="minorEastAsia" w:hAnsiTheme="minorEastAsia" w:hint="eastAsia"/>
          <w:szCs w:val="21"/>
        </w:rPr>
        <w:t>_________</w:t>
      </w:r>
      <w:r>
        <w:rPr>
          <w:rFonts w:asciiTheme="minorEastAsia" w:hAnsiTheme="minorEastAsia" w:hint="eastAsia"/>
          <w:szCs w:val="21"/>
        </w:rPr>
        <w:t>元。</w:t>
      </w:r>
    </w:p>
    <w:p w:rsidR="008C0A47">
      <w:pPr>
        <w:spacing w:line="380" w:lineRule="exact"/>
        <w:ind w:firstLine="480" w:firstLineChars="20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、如乙方未能履行合同规定的义务，甲方有权从履约保证金中取得补偿。</w:t>
      </w:r>
    </w:p>
    <w:p w:rsidR="008C0A47">
      <w:pPr>
        <w:spacing w:line="380" w:lineRule="exact"/>
        <w:ind w:firstLine="480" w:firstLineChars="20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、甲方在乙方履行完毕本合同项下全部义务后</w:t>
      </w:r>
      <w:r>
        <w:rPr>
          <w:rFonts w:asciiTheme="minorEastAsia" w:hAnsiTheme="minorEastAsia" w:hint="eastAsia"/>
          <w:szCs w:val="21"/>
        </w:rPr>
        <w:t>______</w:t>
      </w:r>
      <w:r>
        <w:rPr>
          <w:rFonts w:asciiTheme="minorEastAsia" w:hAnsiTheme="minorEastAsia" w:hint="eastAsia"/>
          <w:szCs w:val="21"/>
        </w:rPr>
        <w:t>天内无息退还乙方。</w:t>
      </w:r>
    </w:p>
    <w:p w:rsidR="008C0A47">
      <w:pPr>
        <w:spacing w:line="380" w:lineRule="exact"/>
        <w:ind w:firstLine="480" w:firstLineChars="200"/>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第十二条</w:t>
      </w:r>
      <w:r>
        <w:rPr>
          <w:rFonts w:asciiTheme="majorEastAsia" w:eastAsiaTheme="majorEastAsia" w:hAnsiTheme="majorEastAsia" w:cstheme="majorEastAsia" w:hint="eastAsia"/>
          <w:b/>
          <w:bCs/>
          <w:szCs w:val="21"/>
        </w:rPr>
        <w:t xml:space="preserve">  </w:t>
      </w:r>
      <w:r>
        <w:rPr>
          <w:rFonts w:asciiTheme="majorEastAsia" w:eastAsiaTheme="majorEastAsia" w:hAnsiTheme="majorEastAsia" w:cstheme="majorEastAsia" w:hint="eastAsia"/>
          <w:b/>
          <w:bCs/>
          <w:szCs w:val="21"/>
        </w:rPr>
        <w:t>人员要求</w:t>
      </w:r>
    </w:p>
    <w:p w:rsidR="008C0A47">
      <w:pPr>
        <w:spacing w:line="3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w:t>
      </w:r>
      <w:r>
        <w:rPr>
          <w:rFonts w:asciiTheme="majorEastAsia" w:eastAsiaTheme="majorEastAsia" w:hAnsiTheme="majorEastAsia" w:cstheme="majorEastAsia" w:hint="eastAsia"/>
          <w:szCs w:val="21"/>
        </w:rPr>
        <w:t>、参加本项目试验的人员必须具有国家和有关部门规定的相应资质。</w:t>
      </w:r>
    </w:p>
    <w:p w:rsidR="008C0A47">
      <w:pPr>
        <w:spacing w:line="3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参加本项目的试验人员的配置必须与投标文件中的服务承诺书和试验服务组织实施方案一致。</w:t>
      </w:r>
    </w:p>
    <w:p w:rsidR="008C0A47">
      <w:pPr>
        <w:spacing w:line="3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w:t>
      </w:r>
      <w:r>
        <w:rPr>
          <w:rFonts w:asciiTheme="majorEastAsia" w:eastAsiaTheme="majorEastAsia" w:hAnsiTheme="majorEastAsia" w:cstheme="majorEastAsia" w:hint="eastAsia"/>
          <w:szCs w:val="21"/>
        </w:rPr>
        <w:t>、必须以直属试验人员参与本项目服务，不得使用挂靠队伍。</w:t>
      </w:r>
    </w:p>
    <w:p w:rsidR="008C0A47">
      <w:pPr>
        <w:spacing w:line="380" w:lineRule="exact"/>
        <w:ind w:firstLine="480" w:firstLineChars="200"/>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第十三条</w:t>
      </w:r>
      <w:r>
        <w:rPr>
          <w:rFonts w:asciiTheme="majorEastAsia" w:eastAsiaTheme="majorEastAsia" w:hAnsiTheme="majorEastAsia" w:cstheme="majorEastAsia" w:hint="eastAsia"/>
          <w:b/>
          <w:bCs/>
          <w:szCs w:val="21"/>
        </w:rPr>
        <w:t xml:space="preserve">  </w:t>
      </w:r>
      <w:r>
        <w:rPr>
          <w:rFonts w:asciiTheme="majorEastAsia" w:eastAsiaTheme="majorEastAsia" w:hAnsiTheme="majorEastAsia" w:cstheme="majorEastAsia" w:hint="eastAsia"/>
          <w:b/>
          <w:bCs/>
          <w:szCs w:val="21"/>
        </w:rPr>
        <w:t>乙方咨询服务工具要求</w:t>
      </w:r>
    </w:p>
    <w:p w:rsidR="008C0A47">
      <w:pPr>
        <w:spacing w:line="3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w:t>
      </w:r>
      <w:r>
        <w:rPr>
          <w:rFonts w:asciiTheme="majorEastAsia" w:eastAsiaTheme="majorEastAsia" w:hAnsiTheme="majorEastAsia" w:cstheme="majorEastAsia" w:hint="eastAsia"/>
          <w:szCs w:val="21"/>
        </w:rPr>
        <w:t>、乙方应配备中标项目所需的足够数量的仪器、仪表以及工具等设备。用户不需向乙方提供施工工具和仪器、仪表。</w:t>
      </w:r>
    </w:p>
    <w:p w:rsidR="008C0A47">
      <w:pPr>
        <w:spacing w:line="3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w:t>
      </w:r>
      <w:r>
        <w:rPr>
          <w:rFonts w:asciiTheme="majorEastAsia" w:eastAsiaTheme="majorEastAsia" w:hAnsiTheme="majorEastAsia" w:cstheme="majorEastAsia" w:hint="eastAsia"/>
          <w:szCs w:val="21"/>
        </w:rPr>
        <w:t>、乙方在提供服务过程中应自备车辆。</w:t>
      </w:r>
    </w:p>
    <w:p w:rsidR="008C0A47">
      <w:pPr>
        <w:spacing w:line="380" w:lineRule="exact"/>
        <w:ind w:firstLine="480" w:firstLineChars="200"/>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第十四条</w:t>
      </w:r>
      <w:r>
        <w:rPr>
          <w:rFonts w:asciiTheme="majorEastAsia" w:eastAsiaTheme="majorEastAsia" w:hAnsiTheme="majorEastAsia" w:cstheme="majorEastAsia" w:hint="eastAsia"/>
          <w:b/>
          <w:bCs/>
          <w:szCs w:val="21"/>
        </w:rPr>
        <w:t xml:space="preserve">  </w:t>
      </w:r>
      <w:r>
        <w:rPr>
          <w:rFonts w:asciiTheme="majorEastAsia" w:eastAsiaTheme="majorEastAsia" w:hAnsiTheme="majorEastAsia" w:cstheme="majorEastAsia" w:hint="eastAsia"/>
          <w:b/>
          <w:bCs/>
          <w:szCs w:val="21"/>
        </w:rPr>
        <w:t>保密要求</w:t>
      </w:r>
    </w:p>
    <w:p w:rsidR="008C0A47">
      <w:pPr>
        <w:spacing w:line="3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w:t>
      </w:r>
      <w:r>
        <w:rPr>
          <w:rFonts w:asciiTheme="majorEastAsia" w:eastAsiaTheme="majorEastAsia" w:hAnsiTheme="majorEastAsia" w:cstheme="majorEastAsia" w:hint="eastAsia"/>
          <w:szCs w:val="21"/>
        </w:rPr>
        <w:t>、由甲方收集的、开发的、整理的、复制的、研究的和准备的与本合同项下工作有关的所有资料在提供给乙方时，均被视为保密的，不得泄漏给除甲方或其指定的代表之外的任何人、企业或公司，不管本合同因何种原因终止，本条款一直约束乙方。</w:t>
      </w:r>
    </w:p>
    <w:p w:rsidR="008C0A47">
      <w:pPr>
        <w:spacing w:line="3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w:t>
      </w:r>
      <w:r>
        <w:rPr>
          <w:rFonts w:asciiTheme="majorEastAsia" w:eastAsiaTheme="majorEastAsia" w:hAnsiTheme="majorEastAsia" w:cstheme="majorEastAsia" w:hint="eastAsia"/>
          <w:szCs w:val="21"/>
        </w:rPr>
        <w:t>、乙方在履行合同过程中所获得或接触到的任何内部数据资料，未经甲方同意，不得向第三方透露。</w:t>
      </w:r>
    </w:p>
    <w:p w:rsidR="008C0A47">
      <w:pPr>
        <w:spacing w:line="3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w:t>
      </w:r>
      <w:r>
        <w:rPr>
          <w:rFonts w:asciiTheme="majorEastAsia" w:eastAsiaTheme="majorEastAsia" w:hAnsiTheme="majorEastAsia" w:cstheme="majorEastAsia" w:hint="eastAsia"/>
          <w:szCs w:val="21"/>
        </w:rPr>
        <w:t>、乙方实施项目的一切程序都应符合国家安全、保密的有关规定和标准。</w:t>
      </w:r>
    </w:p>
    <w:p w:rsidR="008C0A47">
      <w:pPr>
        <w:spacing w:line="3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4</w:t>
      </w:r>
      <w:r>
        <w:rPr>
          <w:rFonts w:asciiTheme="majorEastAsia" w:eastAsiaTheme="majorEastAsia" w:hAnsiTheme="majorEastAsia" w:cstheme="majorEastAsia" w:hint="eastAsia"/>
          <w:szCs w:val="21"/>
        </w:rPr>
        <w:t>、乙方参加项目的有关人员均需同甲方签订保密协议。</w:t>
      </w:r>
    </w:p>
    <w:p w:rsidR="008C0A47">
      <w:pPr>
        <w:spacing w:line="380" w:lineRule="exact"/>
        <w:ind w:firstLine="480" w:firstLineChars="200"/>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第十五条</w:t>
      </w:r>
      <w:r>
        <w:rPr>
          <w:rFonts w:asciiTheme="majorEastAsia" w:eastAsiaTheme="majorEastAsia" w:hAnsiTheme="majorEastAsia" w:cstheme="majorEastAsia" w:hint="eastAsia"/>
          <w:b/>
          <w:bCs/>
          <w:szCs w:val="21"/>
        </w:rPr>
        <w:t xml:space="preserve">  </w:t>
      </w:r>
      <w:r>
        <w:rPr>
          <w:rFonts w:asciiTheme="majorEastAsia" w:eastAsiaTheme="majorEastAsia" w:hAnsiTheme="majorEastAsia" w:cstheme="majorEastAsia" w:hint="eastAsia"/>
          <w:b/>
          <w:bCs/>
          <w:szCs w:val="21"/>
        </w:rPr>
        <w:t>验收</w:t>
      </w:r>
      <w:r>
        <w:rPr>
          <w:rFonts w:asciiTheme="majorEastAsia" w:eastAsiaTheme="majorEastAsia" w:hAnsiTheme="majorEastAsia" w:cstheme="majorEastAsia" w:hint="eastAsia"/>
          <w:b/>
          <w:bCs/>
          <w:szCs w:val="21"/>
        </w:rPr>
        <w:t xml:space="preserve">     </w:t>
      </w:r>
    </w:p>
    <w:p w:rsidR="008C0A47">
      <w:pPr>
        <w:spacing w:line="3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w:t>
      </w:r>
      <w:r>
        <w:rPr>
          <w:rFonts w:asciiTheme="majorEastAsia" w:eastAsiaTheme="majorEastAsia" w:hAnsiTheme="majorEastAsia" w:cstheme="majorEastAsia" w:hint="eastAsia"/>
          <w:szCs w:val="21"/>
        </w:rPr>
        <w:t>、下列文件的验收分为</w:t>
      </w:r>
      <w:r>
        <w:rPr>
          <w:rFonts w:asciiTheme="majorEastAsia" w:eastAsiaTheme="majorEastAsia" w:hAnsiTheme="majorEastAsia" w:cstheme="majorEastAsia" w:hint="eastAsia"/>
          <w:szCs w:val="21"/>
          <w:u w:val="single"/>
        </w:rPr>
        <w:t xml:space="preserve">          </w:t>
      </w:r>
      <w:r>
        <w:rPr>
          <w:rFonts w:asciiTheme="majorEastAsia" w:eastAsiaTheme="majorEastAsia" w:hAnsiTheme="majorEastAsia" w:cstheme="majorEastAsia" w:hint="eastAsia"/>
          <w:szCs w:val="21"/>
          <w:u w:val="single"/>
        </w:rPr>
        <w:t>三</w:t>
      </w:r>
      <w:r>
        <w:rPr>
          <w:rFonts w:asciiTheme="majorEastAsia" w:eastAsiaTheme="majorEastAsia" w:hAnsiTheme="majorEastAsia" w:cstheme="majorEastAsia" w:hint="eastAsia"/>
          <w:szCs w:val="21"/>
        </w:rPr>
        <w:t>个阶段</w:t>
      </w:r>
      <w:r>
        <w:rPr>
          <w:rFonts w:asciiTheme="majorEastAsia" w:eastAsiaTheme="majorEastAsia" w:hAnsiTheme="majorEastAsia" w:cstheme="majorEastAsia" w:hint="eastAsia"/>
          <w:szCs w:val="21"/>
        </w:rPr>
        <w:t>:</w:t>
      </w:r>
    </w:p>
    <w:p w:rsidR="008C0A47">
      <w:pPr>
        <w:spacing w:line="3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w:t>
      </w:r>
      <w:r>
        <w:rPr>
          <w:rFonts w:asciiTheme="majorEastAsia" w:eastAsiaTheme="majorEastAsia" w:hAnsiTheme="majorEastAsia" w:cstheme="majorEastAsia" w:hint="eastAsia"/>
          <w:szCs w:val="21"/>
        </w:rPr>
        <w:t>、其余文件和工作由用户组织有关技术人员根据国家和行业有关规范、规程、标准和用户需求直接验收。</w:t>
      </w:r>
    </w:p>
    <w:p w:rsidR="008C0A47">
      <w:pPr>
        <w:spacing w:line="3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w:t>
      </w:r>
      <w:r>
        <w:rPr>
          <w:rFonts w:asciiTheme="majorEastAsia" w:eastAsiaTheme="majorEastAsia" w:hAnsiTheme="majorEastAsia" w:cstheme="majorEastAsia" w:hint="eastAsia"/>
          <w:szCs w:val="21"/>
        </w:rPr>
        <w:t>、验收依据为号招标文件、乙方投标文件，国家和行业有关规范、规程和标准。</w:t>
      </w:r>
    </w:p>
    <w:p w:rsidR="008C0A47">
      <w:pPr>
        <w:spacing w:line="380" w:lineRule="exact"/>
        <w:ind w:firstLine="480" w:firstLineChars="200"/>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第十六条</w:t>
      </w:r>
      <w:r>
        <w:rPr>
          <w:rFonts w:asciiTheme="majorEastAsia" w:eastAsiaTheme="majorEastAsia" w:hAnsiTheme="majorEastAsia" w:cstheme="majorEastAsia" w:hint="eastAsia"/>
          <w:b/>
          <w:bCs/>
          <w:szCs w:val="21"/>
        </w:rPr>
        <w:t xml:space="preserve">  </w:t>
      </w:r>
      <w:r>
        <w:rPr>
          <w:rFonts w:asciiTheme="majorEastAsia" w:eastAsiaTheme="majorEastAsia" w:hAnsiTheme="majorEastAsia" w:cstheme="majorEastAsia" w:hint="eastAsia"/>
          <w:b/>
          <w:bCs/>
          <w:szCs w:val="21"/>
        </w:rPr>
        <w:t>付款方式</w:t>
      </w:r>
    </w:p>
    <w:p w:rsidR="008C0A47">
      <w:pPr>
        <w:spacing w:line="3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w:t>
      </w:r>
      <w:r>
        <w:rPr>
          <w:rFonts w:asciiTheme="majorEastAsia" w:eastAsiaTheme="majorEastAsia" w:hAnsiTheme="majorEastAsia" w:cstheme="majorEastAsia" w:hint="eastAsia"/>
          <w:szCs w:val="21"/>
        </w:rPr>
        <w:t>、合同签订后天内，甲方向乙方支付合同总价</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的款项。</w:t>
      </w:r>
    </w:p>
    <w:p w:rsidR="008C0A47">
      <w:pPr>
        <w:spacing w:line="3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w:t>
      </w:r>
      <w:r>
        <w:rPr>
          <w:rFonts w:asciiTheme="majorEastAsia" w:eastAsiaTheme="majorEastAsia" w:hAnsiTheme="majorEastAsia" w:cstheme="majorEastAsia" w:hint="eastAsia"/>
          <w:szCs w:val="21"/>
        </w:rPr>
        <w:t>、检测完成并提交评估报告后，甲方向乙方支付合同总价</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的款项。</w:t>
      </w:r>
    </w:p>
    <w:p w:rsidR="008C0A47">
      <w:pPr>
        <w:spacing w:line="3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w:t>
      </w:r>
      <w:r>
        <w:rPr>
          <w:rFonts w:asciiTheme="majorEastAsia" w:eastAsiaTheme="majorEastAsia" w:hAnsiTheme="majorEastAsia" w:cstheme="majorEastAsia" w:hint="eastAsia"/>
          <w:szCs w:val="21"/>
        </w:rPr>
        <w:t>、报告通过专家评审后，甲方向乙方支付合同总价</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的款项。</w:t>
      </w:r>
    </w:p>
    <w:p w:rsidR="008C0A47">
      <w:pPr>
        <w:spacing w:line="380" w:lineRule="exact"/>
        <w:ind w:firstLine="480" w:firstLineChars="200"/>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第十七条</w:t>
      </w:r>
      <w:r>
        <w:rPr>
          <w:rFonts w:asciiTheme="majorEastAsia" w:eastAsiaTheme="majorEastAsia" w:hAnsiTheme="majorEastAsia" w:cstheme="majorEastAsia" w:hint="eastAsia"/>
          <w:b/>
          <w:bCs/>
          <w:szCs w:val="21"/>
        </w:rPr>
        <w:t xml:space="preserve">  </w:t>
      </w:r>
      <w:r>
        <w:rPr>
          <w:rFonts w:asciiTheme="majorEastAsia" w:eastAsiaTheme="majorEastAsia" w:hAnsiTheme="majorEastAsia" w:cstheme="majorEastAsia" w:hint="eastAsia"/>
          <w:b/>
          <w:bCs/>
          <w:szCs w:val="21"/>
        </w:rPr>
        <w:t>争议解决办法</w:t>
      </w:r>
    </w:p>
    <w:p w:rsidR="008C0A47">
      <w:pPr>
        <w:spacing w:line="3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执行本合同发生的争议，由甲乙双方协商解决。</w:t>
      </w:r>
    </w:p>
    <w:p w:rsidR="008C0A47">
      <w:pPr>
        <w:spacing w:line="380" w:lineRule="exact"/>
        <w:ind w:firstLine="480" w:firstLineChars="200"/>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第十八条</w:t>
      </w:r>
      <w:r>
        <w:rPr>
          <w:rFonts w:asciiTheme="majorEastAsia" w:eastAsiaTheme="majorEastAsia" w:hAnsiTheme="majorEastAsia" w:cstheme="majorEastAsia" w:hint="eastAsia"/>
          <w:b/>
          <w:bCs/>
          <w:szCs w:val="21"/>
        </w:rPr>
        <w:t xml:space="preserve">  </w:t>
      </w:r>
      <w:r>
        <w:rPr>
          <w:rFonts w:asciiTheme="majorEastAsia" w:eastAsiaTheme="majorEastAsia" w:hAnsiTheme="majorEastAsia" w:cstheme="majorEastAsia" w:hint="eastAsia"/>
          <w:b/>
          <w:bCs/>
          <w:szCs w:val="21"/>
        </w:rPr>
        <w:t>风险责任</w:t>
      </w:r>
    </w:p>
    <w:p w:rsidR="008C0A47">
      <w:pPr>
        <w:spacing w:line="3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１、乙方应完全地</w:t>
      </w:r>
      <w:r>
        <w:rPr>
          <w:rFonts w:asciiTheme="majorEastAsia" w:eastAsiaTheme="majorEastAsia" w:hAnsiTheme="majorEastAsia" w:cstheme="majorEastAsia" w:hint="eastAsia"/>
          <w:szCs w:val="21"/>
        </w:rPr>
        <w:t>按照号</w:t>
      </w:r>
      <w:r>
        <w:rPr>
          <w:rFonts w:asciiTheme="majorEastAsia" w:eastAsiaTheme="majorEastAsia" w:hAnsiTheme="majorEastAsia" w:cstheme="majorEastAsia" w:hint="eastAsia"/>
          <w:szCs w:val="21"/>
        </w:rPr>
        <w:t>招标文件的要求和乙方投标文件的承诺完成本项目，出于自身财务、技术、人力等原因导致项目失败的，应承担全部责任。</w:t>
      </w:r>
    </w:p>
    <w:p w:rsidR="008C0A47">
      <w:pPr>
        <w:spacing w:line="3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w:t>
      </w:r>
      <w:r>
        <w:rPr>
          <w:rFonts w:asciiTheme="majorEastAsia" w:eastAsiaTheme="majorEastAsia" w:hAnsiTheme="majorEastAsia" w:cstheme="majorEastAsia" w:hint="eastAsia"/>
          <w:szCs w:val="21"/>
        </w:rPr>
        <w:t>、乙方在实施荷载试验过程中应对自身的安全生产负责，若由乙方原因发生的各种事</w:t>
      </w:r>
      <w:r>
        <w:rPr>
          <w:rFonts w:asciiTheme="majorEastAsia" w:eastAsiaTheme="majorEastAsia" w:hAnsiTheme="majorEastAsia" w:cstheme="majorEastAsia" w:hint="eastAsia"/>
          <w:szCs w:val="21"/>
        </w:rPr>
        <w:t>故甲方不承担任何责任。</w:t>
      </w:r>
    </w:p>
    <w:p w:rsidR="008C0A47">
      <w:pPr>
        <w:spacing w:line="380" w:lineRule="exact"/>
        <w:ind w:firstLine="480" w:firstLineChars="200"/>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第十九条</w:t>
      </w:r>
      <w:r>
        <w:rPr>
          <w:rFonts w:asciiTheme="majorEastAsia" w:eastAsiaTheme="majorEastAsia" w:hAnsiTheme="majorEastAsia" w:cstheme="majorEastAsia" w:hint="eastAsia"/>
          <w:b/>
          <w:bCs/>
          <w:szCs w:val="21"/>
        </w:rPr>
        <w:t xml:space="preserve">  </w:t>
      </w:r>
      <w:r>
        <w:rPr>
          <w:rFonts w:asciiTheme="majorEastAsia" w:eastAsiaTheme="majorEastAsia" w:hAnsiTheme="majorEastAsia" w:cstheme="majorEastAsia" w:hint="eastAsia"/>
          <w:b/>
          <w:bCs/>
          <w:szCs w:val="21"/>
        </w:rPr>
        <w:t>违约责任</w:t>
      </w:r>
    </w:p>
    <w:p w:rsidR="008C0A47">
      <w:pPr>
        <w:pStyle w:val="BodyTextIndent"/>
        <w:spacing w:line="38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１、因乙方原因，未能按规定时间完成有关工作的，每延误一天，甲方可在支付合同余款中扣除合同价款千分之一。</w:t>
      </w:r>
    </w:p>
    <w:p w:rsidR="008C0A47">
      <w:pPr>
        <w:spacing w:line="3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w:t>
      </w:r>
      <w:r>
        <w:rPr>
          <w:rFonts w:asciiTheme="majorEastAsia" w:eastAsiaTheme="majorEastAsia" w:hAnsiTheme="majorEastAsia" w:cstheme="majorEastAsia" w:hint="eastAsia"/>
          <w:szCs w:val="21"/>
        </w:rPr>
        <w:t>、由于乙方原因造成试验成果质量低劣，不能满足大纲要求时，应继续完善试验工作，其费用由乙方承担。</w:t>
      </w:r>
    </w:p>
    <w:p w:rsidR="008C0A47">
      <w:pPr>
        <w:spacing w:line="3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w:t>
      </w:r>
      <w:r>
        <w:rPr>
          <w:rFonts w:asciiTheme="majorEastAsia" w:eastAsiaTheme="majorEastAsia" w:hAnsiTheme="majorEastAsia" w:cstheme="majorEastAsia" w:hint="eastAsia"/>
          <w:szCs w:val="21"/>
        </w:rPr>
        <w:t>、如乙方提供的咨询服务文件不符合质量要求，必须在甲方提</w:t>
      </w:r>
      <w:r>
        <w:rPr>
          <w:rFonts w:asciiTheme="majorEastAsia" w:eastAsiaTheme="majorEastAsia" w:hAnsiTheme="majorEastAsia" w:cstheme="majorEastAsia" w:hint="eastAsia"/>
          <w:szCs w:val="21"/>
        </w:rPr>
        <w:t>出要求后</w:t>
      </w:r>
      <w:r>
        <w:rPr>
          <w:rFonts w:asciiTheme="majorEastAsia" w:eastAsiaTheme="majorEastAsia" w:hAnsiTheme="majorEastAsia" w:cstheme="majorEastAsia" w:hint="eastAsia"/>
          <w:szCs w:val="21"/>
        </w:rPr>
        <w:t>7</w:t>
      </w:r>
      <w:r>
        <w:rPr>
          <w:rFonts w:asciiTheme="majorEastAsia" w:eastAsiaTheme="majorEastAsia" w:hAnsiTheme="majorEastAsia" w:cstheme="majorEastAsia" w:hint="eastAsia"/>
          <w:szCs w:val="21"/>
        </w:rPr>
        <w:t>天内无条件修改，其费用由乙方承担。</w:t>
      </w:r>
    </w:p>
    <w:p w:rsidR="008C0A47">
      <w:pPr>
        <w:spacing w:line="3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4</w:t>
      </w:r>
      <w:r>
        <w:rPr>
          <w:rFonts w:asciiTheme="majorEastAsia" w:eastAsiaTheme="majorEastAsia" w:hAnsiTheme="majorEastAsia" w:cstheme="majorEastAsia" w:hint="eastAsia"/>
          <w:szCs w:val="21"/>
        </w:rPr>
        <w:t>、若甲方发现乙方派出的试验服务人员或提供的试验仪器设备不符合合同要求，乙方应在</w:t>
      </w:r>
      <w:r>
        <w:rPr>
          <w:rFonts w:asciiTheme="majorEastAsia" w:eastAsiaTheme="majorEastAsia" w:hAnsiTheme="majorEastAsia" w:cstheme="majorEastAsia" w:hint="eastAsia"/>
          <w:szCs w:val="21"/>
        </w:rPr>
        <w:t>3</w:t>
      </w:r>
      <w:r>
        <w:rPr>
          <w:rFonts w:asciiTheme="majorEastAsia" w:eastAsiaTheme="majorEastAsia" w:hAnsiTheme="majorEastAsia" w:cstheme="majorEastAsia" w:hint="eastAsia"/>
          <w:szCs w:val="21"/>
        </w:rPr>
        <w:t>天之内按要求派出人员或提供满足投标文件承诺的仪器设备，否则甲方有权终止合同，并保留追究乙方责任及要求赔偿损失的权利。</w:t>
      </w:r>
    </w:p>
    <w:p w:rsidR="008C0A47">
      <w:pPr>
        <w:spacing w:line="380" w:lineRule="exact"/>
        <w:ind w:firstLine="480" w:firstLineChars="200"/>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第二十条</w:t>
      </w:r>
      <w:r>
        <w:rPr>
          <w:rFonts w:asciiTheme="majorEastAsia" w:eastAsiaTheme="majorEastAsia" w:hAnsiTheme="majorEastAsia" w:cstheme="majorEastAsia" w:hint="eastAsia"/>
          <w:b/>
          <w:bCs/>
          <w:szCs w:val="21"/>
        </w:rPr>
        <w:t xml:space="preserve">  </w:t>
      </w:r>
      <w:r>
        <w:rPr>
          <w:rFonts w:asciiTheme="majorEastAsia" w:eastAsiaTheme="majorEastAsia" w:hAnsiTheme="majorEastAsia" w:cstheme="majorEastAsia" w:hint="eastAsia"/>
          <w:b/>
          <w:bCs/>
          <w:szCs w:val="21"/>
        </w:rPr>
        <w:t>其他</w:t>
      </w:r>
    </w:p>
    <w:p w:rsidR="008C0A47">
      <w:pPr>
        <w:spacing w:line="3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w:t>
      </w:r>
      <w:r>
        <w:rPr>
          <w:rFonts w:asciiTheme="majorEastAsia" w:eastAsiaTheme="majorEastAsia" w:hAnsiTheme="majorEastAsia" w:cstheme="majorEastAsia" w:hint="eastAsia"/>
          <w:szCs w:val="21"/>
        </w:rPr>
        <w:t>、本合同与号招标文件、乙方投标文件如有抵触之处，以本合同条款为准。</w:t>
      </w:r>
    </w:p>
    <w:p w:rsidR="008C0A47">
      <w:pPr>
        <w:spacing w:line="3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w:t>
      </w:r>
      <w:r>
        <w:rPr>
          <w:rFonts w:asciiTheme="majorEastAsia" w:eastAsiaTheme="majorEastAsia" w:hAnsiTheme="majorEastAsia" w:cstheme="majorEastAsia" w:hint="eastAsia"/>
          <w:szCs w:val="21"/>
        </w:rPr>
        <w:t>、下列文件均为本合同的组成部分：</w:t>
      </w:r>
    </w:p>
    <w:p w:rsidR="008C0A47">
      <w:pPr>
        <w:spacing w:line="3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1</w:t>
      </w:r>
      <w:r>
        <w:rPr>
          <w:rFonts w:asciiTheme="majorEastAsia" w:eastAsiaTheme="majorEastAsia" w:hAnsiTheme="majorEastAsia" w:cstheme="majorEastAsia" w:hint="eastAsia"/>
          <w:szCs w:val="21"/>
        </w:rPr>
        <w:t>）号招标文件、答疑及补充通知；</w:t>
      </w:r>
    </w:p>
    <w:p w:rsidR="008C0A47">
      <w:pPr>
        <w:spacing w:line="3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2</w:t>
      </w:r>
      <w:r>
        <w:rPr>
          <w:rFonts w:asciiTheme="majorEastAsia" w:eastAsiaTheme="majorEastAsia" w:hAnsiTheme="majorEastAsia" w:cstheme="majorEastAsia" w:hint="eastAsia"/>
          <w:szCs w:val="21"/>
        </w:rPr>
        <w:t>）投标文件；</w:t>
      </w:r>
    </w:p>
    <w:p w:rsidR="008C0A47">
      <w:pPr>
        <w:spacing w:line="3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3</w:t>
      </w:r>
      <w:r>
        <w:rPr>
          <w:rFonts w:asciiTheme="majorEastAsia" w:eastAsiaTheme="majorEastAsia" w:hAnsiTheme="majorEastAsia" w:cstheme="majorEastAsia" w:hint="eastAsia"/>
          <w:szCs w:val="21"/>
        </w:rPr>
        <w:t>）本合同执行中共同签署的补充与修正文件。</w:t>
      </w:r>
    </w:p>
    <w:p w:rsidR="008C0A47">
      <w:pPr>
        <w:spacing w:line="3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本合同一式份，甲、乙方双方各执份，具有同等法律效力。本合同自双方法人代表签字（盖章）认可之日起生效。</w:t>
      </w:r>
    </w:p>
    <w:p w:rsidR="008C0A47">
      <w:pPr>
        <w:spacing w:line="3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本合同未尽事宜，双方友好协商，达成解决方案，经双方签字后，可作为本合同的有效附件。</w:t>
      </w:r>
    </w:p>
    <w:p w:rsidR="008C0A47">
      <w:pPr>
        <w:spacing w:line="380" w:lineRule="exact"/>
        <w:ind w:firstLine="480" w:firstLineChars="200"/>
        <w:rPr>
          <w:rFonts w:asciiTheme="majorEastAsia" w:eastAsiaTheme="majorEastAsia" w:hAnsiTheme="majorEastAsia" w:cstheme="majorEastAsia"/>
          <w:szCs w:val="21"/>
        </w:rPr>
      </w:pPr>
    </w:p>
    <w:p w:rsidR="008C0A47">
      <w:pPr>
        <w:spacing w:line="380" w:lineRule="exact"/>
        <w:ind w:firstLine="480" w:firstLineChars="200"/>
        <w:rPr>
          <w:rFonts w:asciiTheme="majorEastAsia" w:eastAsiaTheme="majorEastAsia" w:hAnsiTheme="majorEastAsia" w:cstheme="majorEastAsia"/>
          <w:szCs w:val="21"/>
          <w:u w:val="single"/>
        </w:rPr>
      </w:pPr>
      <w:r>
        <w:rPr>
          <w:rFonts w:asciiTheme="majorEastAsia" w:eastAsiaTheme="majorEastAsia" w:hAnsiTheme="majorEastAsia" w:cstheme="majorEastAsia" w:hint="eastAsia"/>
          <w:szCs w:val="21"/>
        </w:rPr>
        <w:t>甲方：</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乙方：</w:t>
      </w:r>
    </w:p>
    <w:p w:rsidR="008C0A47">
      <w:pPr>
        <w:spacing w:line="380" w:lineRule="exact"/>
        <w:ind w:firstLine="2160" w:firstLineChars="9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（签章）</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（签章）</w:t>
      </w:r>
    </w:p>
    <w:p w:rsidR="008C0A47">
      <w:pPr>
        <w:spacing w:line="3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地址：</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地址：</w:t>
      </w:r>
      <w:r>
        <w:rPr>
          <w:rFonts w:asciiTheme="majorEastAsia" w:eastAsiaTheme="majorEastAsia" w:hAnsiTheme="majorEastAsia" w:cstheme="majorEastAsia" w:hint="eastAsia"/>
          <w:szCs w:val="21"/>
        </w:rPr>
        <w:t xml:space="preserve"> </w:t>
      </w:r>
    </w:p>
    <w:p w:rsidR="008C0A47">
      <w:pPr>
        <w:spacing w:line="3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法定代表人：（签章）</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法定代表人：（签章）</w:t>
      </w:r>
    </w:p>
    <w:p w:rsidR="008C0A47">
      <w:pPr>
        <w:spacing w:line="3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开户行：</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开户行：</w:t>
      </w:r>
    </w:p>
    <w:p w:rsidR="008C0A47">
      <w:pPr>
        <w:spacing w:line="3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人民币</w:t>
      </w:r>
      <w:r>
        <w:rPr>
          <w:rFonts w:asciiTheme="majorEastAsia" w:eastAsiaTheme="majorEastAsia" w:hAnsiTheme="majorEastAsia" w:cstheme="majorEastAsia" w:hint="eastAsia"/>
          <w:szCs w:val="21"/>
        </w:rPr>
        <w:t>帐号</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人民币</w:t>
      </w:r>
      <w:r>
        <w:rPr>
          <w:rFonts w:asciiTheme="majorEastAsia" w:eastAsiaTheme="majorEastAsia" w:hAnsiTheme="majorEastAsia" w:cstheme="majorEastAsia" w:hint="eastAsia"/>
          <w:szCs w:val="21"/>
        </w:rPr>
        <w:t>帐号</w:t>
      </w:r>
      <w:r>
        <w:rPr>
          <w:rFonts w:asciiTheme="majorEastAsia" w:eastAsiaTheme="majorEastAsia" w:hAnsiTheme="majorEastAsia" w:cstheme="majorEastAsia" w:hint="eastAsia"/>
          <w:szCs w:val="21"/>
        </w:rPr>
        <w:t>：</w:t>
      </w:r>
    </w:p>
    <w:p w:rsidR="008C0A47">
      <w:pPr>
        <w:spacing w:line="3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联系人：</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联系人：</w:t>
      </w:r>
    </w:p>
    <w:p w:rsidR="008C0A47">
      <w:pPr>
        <w:spacing w:line="3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电话：</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电话：</w:t>
      </w:r>
    </w:p>
    <w:p w:rsidR="008C0A47">
      <w:pPr>
        <w:spacing w:line="38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日期：</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日期：</w:t>
      </w:r>
    </w:p>
    <w:p w:rsidR="008C0A47">
      <w:pPr>
        <w:spacing w:line="0" w:lineRule="atLeas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br w:type="page"/>
      </w:r>
    </w:p>
    <w:p w:rsidR="008C0A47">
      <w:pPr>
        <w:pStyle w:val="Heading2"/>
        <w:rPr>
          <w:rFonts w:ascii="微软雅黑" w:eastAsia="微软雅黑" w:hAnsi="微软雅黑" w:cs="微软雅黑"/>
          <w:b/>
          <w:bCs/>
          <w:sz w:val="32"/>
          <w:szCs w:val="32"/>
        </w:rPr>
      </w:pPr>
      <w:r>
        <w:rPr>
          <w:rFonts w:ascii="微软雅黑" w:eastAsia="微软雅黑" w:hAnsi="微软雅黑" w:cs="微软雅黑" w:hint="eastAsia"/>
          <w:b/>
          <w:bCs/>
          <w:sz w:val="32"/>
          <w:szCs w:val="32"/>
        </w:rPr>
        <w:t>第五章</w:t>
      </w:r>
      <w:r>
        <w:rPr>
          <w:rFonts w:ascii="微软雅黑" w:eastAsia="微软雅黑" w:hAnsi="微软雅黑" w:cs="微软雅黑" w:hint="eastAsia"/>
          <w:b/>
          <w:bCs/>
          <w:sz w:val="32"/>
          <w:szCs w:val="32"/>
        </w:rPr>
        <w:t xml:space="preserve">  </w:t>
      </w:r>
      <w:r>
        <w:rPr>
          <w:rFonts w:ascii="微软雅黑" w:eastAsia="微软雅黑" w:hAnsi="微软雅黑" w:cs="微软雅黑" w:hint="eastAsia"/>
          <w:b/>
          <w:bCs/>
          <w:sz w:val="32"/>
          <w:szCs w:val="32"/>
        </w:rPr>
        <w:t>招标代理服务费</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w:t>
      </w:r>
      <w:r>
        <w:rPr>
          <w:rFonts w:asciiTheme="majorEastAsia" w:eastAsiaTheme="majorEastAsia" w:hAnsiTheme="majorEastAsia" w:cstheme="majorEastAsia" w:hint="eastAsia"/>
          <w:szCs w:val="21"/>
        </w:rPr>
        <w:t>、中标方在领取中标通知书时向采购代理机构缴纳招标代理服务费。</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w:t>
      </w:r>
      <w:r>
        <w:rPr>
          <w:rFonts w:asciiTheme="majorEastAsia" w:eastAsiaTheme="majorEastAsia" w:hAnsiTheme="majorEastAsia" w:cstheme="majorEastAsia" w:hint="eastAsia"/>
          <w:szCs w:val="21"/>
        </w:rPr>
        <w:t>、招标代理服务费以现金、支票或银行汇票形式交付。</w:t>
      </w:r>
    </w:p>
    <w:p w:rsidR="008C0A47">
      <w:pPr>
        <w:spacing w:line="440" w:lineRule="exact"/>
        <w:ind w:firstLine="470" w:firstLineChars="196"/>
        <w:rPr>
          <w:rFonts w:asciiTheme="majorEastAsia" w:eastAsiaTheme="majorEastAsia" w:hAnsiTheme="majorEastAsia" w:cstheme="majorEastAsia"/>
          <w:b/>
          <w:bCs/>
          <w:szCs w:val="21"/>
        </w:rPr>
      </w:pPr>
      <w:r>
        <w:rPr>
          <w:rFonts w:asciiTheme="majorEastAsia" w:eastAsiaTheme="majorEastAsia" w:hAnsiTheme="majorEastAsia" w:cstheme="majorEastAsia" w:hint="eastAsia"/>
          <w:szCs w:val="21"/>
        </w:rPr>
        <w:t>3</w:t>
      </w:r>
      <w:r>
        <w:rPr>
          <w:rFonts w:asciiTheme="majorEastAsia" w:eastAsiaTheme="majorEastAsia" w:hAnsiTheme="majorEastAsia" w:cstheme="majorEastAsia" w:hint="eastAsia"/>
          <w:szCs w:val="21"/>
        </w:rPr>
        <w:t>、收费标准如下：</w:t>
      </w:r>
    </w:p>
    <w:p w:rsidR="008C0A47">
      <w:pPr>
        <w:spacing w:line="440" w:lineRule="exact"/>
        <w:ind w:right="-57" w:firstLine="480" w:firstLineChars="200"/>
        <w:rPr>
          <w:rFonts w:asciiTheme="majorEastAsia" w:eastAsiaTheme="majorEastAsia" w:hAnsiTheme="majorEastAsia" w:cstheme="majorEastAsia"/>
          <w:snapToGrid w:val="0"/>
          <w:kern w:val="0"/>
          <w:szCs w:val="21"/>
        </w:rPr>
      </w:pPr>
      <w:r>
        <w:rPr>
          <w:rFonts w:asciiTheme="majorEastAsia" w:eastAsiaTheme="majorEastAsia" w:hAnsiTheme="majorEastAsia" w:cstheme="majorEastAsia" w:hint="eastAsia"/>
          <w:snapToGrid w:val="0"/>
          <w:kern w:val="0"/>
          <w:szCs w:val="21"/>
        </w:rPr>
        <w:t>■</w:t>
      </w:r>
      <w:r>
        <w:rPr>
          <w:rFonts w:asciiTheme="majorEastAsia" w:eastAsiaTheme="majorEastAsia" w:hAnsiTheme="majorEastAsia" w:cstheme="majorEastAsia" w:hint="eastAsia"/>
          <w:snapToGrid w:val="0"/>
          <w:kern w:val="0"/>
          <w:szCs w:val="21"/>
        </w:rPr>
        <w:t xml:space="preserve"> </w:t>
      </w:r>
      <w:r>
        <w:rPr>
          <w:rFonts w:asciiTheme="majorEastAsia" w:eastAsiaTheme="majorEastAsia" w:hAnsiTheme="majorEastAsia" w:cstheme="majorEastAsia" w:hint="eastAsia"/>
          <w:snapToGrid w:val="0"/>
          <w:kern w:val="0"/>
          <w:szCs w:val="21"/>
        </w:rPr>
        <w:t>定率收取：</w:t>
      </w:r>
    </w:p>
    <w:p w:rsidR="008C0A47">
      <w:pPr>
        <w:spacing w:line="440" w:lineRule="exact"/>
        <w:ind w:right="-57"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采购代理机构向中标方收取招标代理服务费，收费按差额定率累进法计算收取（经计算低于人民币</w:t>
      </w:r>
      <w:r>
        <w:rPr>
          <w:rFonts w:asciiTheme="majorEastAsia" w:eastAsiaTheme="majorEastAsia" w:hAnsiTheme="majorEastAsia" w:cstheme="majorEastAsia" w:hint="eastAsia"/>
          <w:szCs w:val="21"/>
        </w:rPr>
        <w:t>6</w:t>
      </w:r>
      <w:r>
        <w:rPr>
          <w:rFonts w:asciiTheme="majorEastAsia" w:eastAsiaTheme="majorEastAsia" w:hAnsiTheme="majorEastAsia" w:cstheme="majorEastAsia" w:hint="eastAsia"/>
          <w:szCs w:val="21"/>
        </w:rPr>
        <w:t>000</w:t>
      </w:r>
      <w:r>
        <w:rPr>
          <w:rFonts w:asciiTheme="majorEastAsia" w:eastAsiaTheme="majorEastAsia" w:hAnsiTheme="majorEastAsia" w:cstheme="majorEastAsia" w:hint="eastAsia"/>
          <w:szCs w:val="21"/>
        </w:rPr>
        <w:t>元的，按</w:t>
      </w:r>
      <w:r>
        <w:rPr>
          <w:rFonts w:asciiTheme="majorEastAsia" w:eastAsiaTheme="majorEastAsia" w:hAnsiTheme="majorEastAsia" w:cstheme="majorEastAsia" w:hint="eastAsia"/>
          <w:szCs w:val="21"/>
        </w:rPr>
        <w:t>6</w:t>
      </w:r>
      <w:r>
        <w:rPr>
          <w:rFonts w:asciiTheme="majorEastAsia" w:eastAsiaTheme="majorEastAsia" w:hAnsiTheme="majorEastAsia" w:cstheme="majorEastAsia" w:hint="eastAsia"/>
          <w:szCs w:val="21"/>
        </w:rPr>
        <w:t>000</w:t>
      </w:r>
      <w:r>
        <w:rPr>
          <w:rFonts w:asciiTheme="majorEastAsia" w:eastAsiaTheme="majorEastAsia" w:hAnsiTheme="majorEastAsia" w:cstheme="majorEastAsia" w:hint="eastAsia"/>
          <w:szCs w:val="21"/>
        </w:rPr>
        <w:t>元计取），收费标准如下表所列：</w:t>
      </w:r>
    </w:p>
    <w:tbl>
      <w:tblPr>
        <w:tblStyle w:val="TableNormal"/>
        <w:tblW w:w="833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092"/>
        <w:gridCol w:w="2005"/>
        <w:gridCol w:w="2145"/>
        <w:gridCol w:w="2090"/>
      </w:tblGrid>
      <w:tr>
        <w:tblPrEx>
          <w:tblW w:w="833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Ex>
        <w:trPr>
          <w:trHeight w:val="454"/>
          <w:jc w:val="center"/>
        </w:trPr>
        <w:tc>
          <w:tcPr>
            <w:tcW w:w="2092" w:type="dxa"/>
            <w:tcBorders>
              <w:top w:val="single" w:sz="8" w:space="0" w:color="auto"/>
              <w:left w:val="single" w:sz="8" w:space="0" w:color="auto"/>
              <w:bottom w:val="single" w:sz="4" w:space="0" w:color="auto"/>
              <w:right w:val="single" w:sz="4" w:space="0" w:color="auto"/>
            </w:tcBorders>
            <w:vAlign w:val="center"/>
          </w:tcPr>
          <w:p w:rsidR="008C0A47">
            <w:pPr>
              <w:spacing w:line="340" w:lineRule="exact"/>
              <w:jc w:val="center"/>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中标金额</w:t>
            </w:r>
          </w:p>
        </w:tc>
        <w:tc>
          <w:tcPr>
            <w:tcW w:w="2005" w:type="dxa"/>
            <w:tcBorders>
              <w:top w:val="single" w:sz="8" w:space="0" w:color="auto"/>
              <w:left w:val="single" w:sz="4" w:space="0" w:color="auto"/>
              <w:bottom w:val="single" w:sz="4" w:space="0" w:color="auto"/>
              <w:right w:val="single" w:sz="8" w:space="0" w:color="auto"/>
            </w:tcBorders>
            <w:vAlign w:val="center"/>
          </w:tcPr>
          <w:p w:rsidR="008C0A47">
            <w:pPr>
              <w:spacing w:line="340" w:lineRule="exact"/>
              <w:jc w:val="center"/>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货物招标收费费率</w:t>
            </w:r>
          </w:p>
        </w:tc>
        <w:tc>
          <w:tcPr>
            <w:tcW w:w="2145" w:type="dxa"/>
            <w:tcBorders>
              <w:top w:val="single" w:sz="8" w:space="0" w:color="auto"/>
              <w:left w:val="single" w:sz="4" w:space="0" w:color="auto"/>
              <w:bottom w:val="single" w:sz="4" w:space="0" w:color="auto"/>
              <w:right w:val="single" w:sz="8" w:space="0" w:color="auto"/>
            </w:tcBorders>
            <w:vAlign w:val="center"/>
          </w:tcPr>
          <w:p w:rsidR="008C0A47">
            <w:pPr>
              <w:spacing w:line="340" w:lineRule="exact"/>
              <w:jc w:val="center"/>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工程招标收费费率</w:t>
            </w:r>
          </w:p>
        </w:tc>
        <w:tc>
          <w:tcPr>
            <w:tcW w:w="2090" w:type="dxa"/>
            <w:tcBorders>
              <w:top w:val="single" w:sz="8" w:space="0" w:color="auto"/>
              <w:left w:val="single" w:sz="4" w:space="0" w:color="auto"/>
              <w:bottom w:val="single" w:sz="4" w:space="0" w:color="auto"/>
              <w:right w:val="single" w:sz="8" w:space="0" w:color="auto"/>
            </w:tcBorders>
            <w:vAlign w:val="center"/>
          </w:tcPr>
          <w:p w:rsidR="008C0A47">
            <w:pPr>
              <w:spacing w:line="340" w:lineRule="exact"/>
              <w:jc w:val="center"/>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服务招标收费费率</w:t>
            </w:r>
          </w:p>
        </w:tc>
      </w:tr>
      <w:tr>
        <w:tblPrEx>
          <w:tblW w:w="8332" w:type="dxa"/>
          <w:jc w:val="center"/>
          <w:tblLayout w:type="fixed"/>
          <w:tblLook w:val="04A0"/>
        </w:tblPrEx>
        <w:trPr>
          <w:trHeight w:val="454"/>
          <w:jc w:val="center"/>
        </w:trPr>
        <w:tc>
          <w:tcPr>
            <w:tcW w:w="2092" w:type="dxa"/>
            <w:tcBorders>
              <w:top w:val="single" w:sz="4" w:space="0" w:color="auto"/>
              <w:left w:val="single" w:sz="8" w:space="0" w:color="auto"/>
              <w:bottom w:val="single" w:sz="4" w:space="0" w:color="auto"/>
              <w:right w:val="single" w:sz="4" w:space="0" w:color="auto"/>
            </w:tcBorders>
            <w:vAlign w:val="center"/>
          </w:tcPr>
          <w:p w:rsidR="008C0A47">
            <w:pPr>
              <w:spacing w:line="34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100</w:t>
            </w:r>
            <w:r>
              <w:rPr>
                <w:rFonts w:asciiTheme="majorEastAsia" w:eastAsiaTheme="majorEastAsia" w:hAnsiTheme="majorEastAsia" w:cstheme="majorEastAsia" w:hint="eastAsia"/>
                <w:szCs w:val="21"/>
              </w:rPr>
              <w:t>万元以下</w:t>
            </w:r>
          </w:p>
        </w:tc>
        <w:tc>
          <w:tcPr>
            <w:tcW w:w="2005" w:type="dxa"/>
            <w:tcBorders>
              <w:top w:val="single" w:sz="4" w:space="0" w:color="auto"/>
              <w:left w:val="single" w:sz="4" w:space="0" w:color="auto"/>
              <w:bottom w:val="single" w:sz="4" w:space="0" w:color="auto"/>
              <w:right w:val="single" w:sz="8" w:space="0" w:color="auto"/>
            </w:tcBorders>
            <w:vAlign w:val="center"/>
          </w:tcPr>
          <w:p w:rsidR="008C0A47">
            <w:pPr>
              <w:spacing w:line="34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1.5%</w:t>
            </w:r>
          </w:p>
        </w:tc>
        <w:tc>
          <w:tcPr>
            <w:tcW w:w="2145" w:type="dxa"/>
            <w:tcBorders>
              <w:top w:val="single" w:sz="4" w:space="0" w:color="auto"/>
              <w:left w:val="single" w:sz="4" w:space="0" w:color="auto"/>
              <w:bottom w:val="single" w:sz="4" w:space="0" w:color="auto"/>
              <w:right w:val="single" w:sz="8" w:space="0" w:color="auto"/>
            </w:tcBorders>
            <w:vAlign w:val="center"/>
          </w:tcPr>
          <w:p w:rsidR="008C0A47">
            <w:pPr>
              <w:spacing w:line="34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1.0%</w:t>
            </w:r>
          </w:p>
        </w:tc>
        <w:tc>
          <w:tcPr>
            <w:tcW w:w="2090" w:type="dxa"/>
            <w:tcBorders>
              <w:top w:val="single" w:sz="4" w:space="0" w:color="auto"/>
              <w:left w:val="single" w:sz="4" w:space="0" w:color="auto"/>
              <w:bottom w:val="single" w:sz="4" w:space="0" w:color="auto"/>
              <w:right w:val="single" w:sz="8" w:space="0" w:color="auto"/>
            </w:tcBorders>
            <w:vAlign w:val="center"/>
          </w:tcPr>
          <w:p w:rsidR="008C0A47">
            <w:pPr>
              <w:spacing w:line="34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1.5%</w:t>
            </w:r>
          </w:p>
        </w:tc>
      </w:tr>
      <w:tr>
        <w:tblPrEx>
          <w:tblW w:w="8332" w:type="dxa"/>
          <w:jc w:val="center"/>
          <w:tblLayout w:type="fixed"/>
          <w:tblLook w:val="04A0"/>
        </w:tblPrEx>
        <w:trPr>
          <w:trHeight w:val="454"/>
          <w:jc w:val="center"/>
        </w:trPr>
        <w:tc>
          <w:tcPr>
            <w:tcW w:w="2092" w:type="dxa"/>
            <w:tcBorders>
              <w:top w:val="single" w:sz="4" w:space="0" w:color="auto"/>
              <w:left w:val="single" w:sz="8" w:space="0" w:color="auto"/>
              <w:bottom w:val="single" w:sz="4" w:space="0" w:color="auto"/>
              <w:right w:val="single" w:sz="4" w:space="0" w:color="auto"/>
            </w:tcBorders>
            <w:vAlign w:val="center"/>
          </w:tcPr>
          <w:p w:rsidR="008C0A47">
            <w:pPr>
              <w:spacing w:line="34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100</w:t>
            </w:r>
            <w:r>
              <w:rPr>
                <w:rFonts w:asciiTheme="majorEastAsia" w:eastAsiaTheme="majorEastAsia" w:hAnsiTheme="majorEastAsia" w:cstheme="majorEastAsia" w:hint="eastAsia"/>
                <w:szCs w:val="21"/>
              </w:rPr>
              <w:t>万元（含）</w:t>
            </w:r>
            <w:r>
              <w:rPr>
                <w:rFonts w:asciiTheme="majorEastAsia" w:eastAsiaTheme="majorEastAsia" w:hAnsiTheme="majorEastAsia" w:cstheme="majorEastAsia" w:hint="eastAsia"/>
                <w:szCs w:val="21"/>
              </w:rPr>
              <w:t>-500</w:t>
            </w:r>
            <w:r>
              <w:rPr>
                <w:rFonts w:asciiTheme="majorEastAsia" w:eastAsiaTheme="majorEastAsia" w:hAnsiTheme="majorEastAsia" w:cstheme="majorEastAsia" w:hint="eastAsia"/>
                <w:szCs w:val="21"/>
              </w:rPr>
              <w:t>万元</w:t>
            </w:r>
          </w:p>
        </w:tc>
        <w:tc>
          <w:tcPr>
            <w:tcW w:w="2005" w:type="dxa"/>
            <w:tcBorders>
              <w:top w:val="single" w:sz="4" w:space="0" w:color="auto"/>
              <w:left w:val="single" w:sz="4" w:space="0" w:color="auto"/>
              <w:bottom w:val="single" w:sz="4" w:space="0" w:color="auto"/>
              <w:right w:val="single" w:sz="8" w:space="0" w:color="auto"/>
            </w:tcBorders>
            <w:vAlign w:val="center"/>
          </w:tcPr>
          <w:p w:rsidR="008C0A47">
            <w:pPr>
              <w:spacing w:line="34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1.1%</w:t>
            </w:r>
          </w:p>
        </w:tc>
        <w:tc>
          <w:tcPr>
            <w:tcW w:w="2145" w:type="dxa"/>
            <w:tcBorders>
              <w:top w:val="single" w:sz="4" w:space="0" w:color="auto"/>
              <w:left w:val="single" w:sz="4" w:space="0" w:color="auto"/>
              <w:bottom w:val="single" w:sz="4" w:space="0" w:color="auto"/>
              <w:right w:val="single" w:sz="8" w:space="0" w:color="auto"/>
            </w:tcBorders>
            <w:vAlign w:val="center"/>
          </w:tcPr>
          <w:p w:rsidR="008C0A47">
            <w:pPr>
              <w:spacing w:line="34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0.7%</w:t>
            </w:r>
          </w:p>
        </w:tc>
        <w:tc>
          <w:tcPr>
            <w:tcW w:w="2090" w:type="dxa"/>
            <w:tcBorders>
              <w:top w:val="single" w:sz="4" w:space="0" w:color="auto"/>
              <w:left w:val="single" w:sz="4" w:space="0" w:color="auto"/>
              <w:bottom w:val="single" w:sz="4" w:space="0" w:color="auto"/>
              <w:right w:val="single" w:sz="8" w:space="0" w:color="auto"/>
            </w:tcBorders>
            <w:vAlign w:val="center"/>
          </w:tcPr>
          <w:p w:rsidR="008C0A47">
            <w:pPr>
              <w:spacing w:line="34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0.8%</w:t>
            </w:r>
          </w:p>
        </w:tc>
      </w:tr>
      <w:tr>
        <w:tblPrEx>
          <w:tblW w:w="8332" w:type="dxa"/>
          <w:jc w:val="center"/>
          <w:tblLayout w:type="fixed"/>
          <w:tblLook w:val="04A0"/>
        </w:tblPrEx>
        <w:trPr>
          <w:trHeight w:val="454"/>
          <w:jc w:val="center"/>
        </w:trPr>
        <w:tc>
          <w:tcPr>
            <w:tcW w:w="2092" w:type="dxa"/>
            <w:tcBorders>
              <w:top w:val="single" w:sz="4" w:space="0" w:color="auto"/>
              <w:left w:val="single" w:sz="8" w:space="0" w:color="auto"/>
              <w:bottom w:val="single" w:sz="4" w:space="0" w:color="auto"/>
              <w:right w:val="single" w:sz="4" w:space="0" w:color="auto"/>
            </w:tcBorders>
            <w:vAlign w:val="center"/>
          </w:tcPr>
          <w:p w:rsidR="008C0A47">
            <w:pPr>
              <w:spacing w:line="34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500</w:t>
            </w:r>
            <w:r>
              <w:rPr>
                <w:rFonts w:asciiTheme="majorEastAsia" w:eastAsiaTheme="majorEastAsia" w:hAnsiTheme="majorEastAsia" w:cstheme="majorEastAsia" w:hint="eastAsia"/>
                <w:szCs w:val="21"/>
              </w:rPr>
              <w:t>万元（含）</w:t>
            </w:r>
            <w:r>
              <w:rPr>
                <w:rFonts w:asciiTheme="majorEastAsia" w:eastAsiaTheme="majorEastAsia" w:hAnsiTheme="majorEastAsia" w:cstheme="majorEastAsia" w:hint="eastAsia"/>
                <w:szCs w:val="21"/>
              </w:rPr>
              <w:t>-1000</w:t>
            </w:r>
            <w:r>
              <w:rPr>
                <w:rFonts w:asciiTheme="majorEastAsia" w:eastAsiaTheme="majorEastAsia" w:hAnsiTheme="majorEastAsia" w:cstheme="majorEastAsia" w:hint="eastAsia"/>
                <w:szCs w:val="21"/>
              </w:rPr>
              <w:t>万元</w:t>
            </w:r>
          </w:p>
        </w:tc>
        <w:tc>
          <w:tcPr>
            <w:tcW w:w="2005" w:type="dxa"/>
            <w:tcBorders>
              <w:top w:val="single" w:sz="4" w:space="0" w:color="auto"/>
              <w:left w:val="single" w:sz="4" w:space="0" w:color="auto"/>
              <w:bottom w:val="single" w:sz="4" w:space="0" w:color="auto"/>
              <w:right w:val="single" w:sz="8" w:space="0" w:color="auto"/>
            </w:tcBorders>
            <w:vAlign w:val="center"/>
          </w:tcPr>
          <w:p w:rsidR="008C0A47">
            <w:pPr>
              <w:spacing w:line="34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0.8%</w:t>
            </w:r>
          </w:p>
        </w:tc>
        <w:tc>
          <w:tcPr>
            <w:tcW w:w="2145" w:type="dxa"/>
            <w:tcBorders>
              <w:top w:val="single" w:sz="4" w:space="0" w:color="auto"/>
              <w:left w:val="single" w:sz="4" w:space="0" w:color="auto"/>
              <w:bottom w:val="single" w:sz="4" w:space="0" w:color="auto"/>
              <w:right w:val="single" w:sz="8" w:space="0" w:color="auto"/>
            </w:tcBorders>
            <w:vAlign w:val="center"/>
          </w:tcPr>
          <w:p w:rsidR="008C0A47">
            <w:pPr>
              <w:spacing w:line="34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0.55%</w:t>
            </w:r>
          </w:p>
        </w:tc>
        <w:tc>
          <w:tcPr>
            <w:tcW w:w="2090" w:type="dxa"/>
            <w:tcBorders>
              <w:top w:val="single" w:sz="4" w:space="0" w:color="auto"/>
              <w:left w:val="single" w:sz="4" w:space="0" w:color="auto"/>
              <w:bottom w:val="single" w:sz="4" w:space="0" w:color="auto"/>
              <w:right w:val="single" w:sz="8" w:space="0" w:color="auto"/>
            </w:tcBorders>
            <w:vAlign w:val="center"/>
          </w:tcPr>
          <w:p w:rsidR="008C0A47">
            <w:pPr>
              <w:spacing w:line="34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0.45%</w:t>
            </w:r>
          </w:p>
        </w:tc>
      </w:tr>
      <w:tr>
        <w:tblPrEx>
          <w:tblW w:w="8332" w:type="dxa"/>
          <w:jc w:val="center"/>
          <w:tblLayout w:type="fixed"/>
          <w:tblLook w:val="04A0"/>
        </w:tblPrEx>
        <w:trPr>
          <w:trHeight w:val="454"/>
          <w:jc w:val="center"/>
        </w:trPr>
        <w:tc>
          <w:tcPr>
            <w:tcW w:w="2092" w:type="dxa"/>
            <w:tcBorders>
              <w:top w:val="single" w:sz="4" w:space="0" w:color="auto"/>
              <w:left w:val="single" w:sz="8" w:space="0" w:color="auto"/>
              <w:bottom w:val="single" w:sz="4" w:space="0" w:color="auto"/>
              <w:right w:val="single" w:sz="4" w:space="0" w:color="auto"/>
            </w:tcBorders>
            <w:vAlign w:val="center"/>
          </w:tcPr>
          <w:p w:rsidR="008C0A47">
            <w:pPr>
              <w:spacing w:line="34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1000</w:t>
            </w:r>
            <w:r>
              <w:rPr>
                <w:rFonts w:asciiTheme="majorEastAsia" w:eastAsiaTheme="majorEastAsia" w:hAnsiTheme="majorEastAsia" w:cstheme="majorEastAsia" w:hint="eastAsia"/>
                <w:szCs w:val="21"/>
              </w:rPr>
              <w:t>万元（含）</w:t>
            </w:r>
            <w:r>
              <w:rPr>
                <w:rFonts w:asciiTheme="majorEastAsia" w:eastAsiaTheme="majorEastAsia" w:hAnsiTheme="majorEastAsia" w:cstheme="majorEastAsia" w:hint="eastAsia"/>
                <w:szCs w:val="21"/>
              </w:rPr>
              <w:t>-5000</w:t>
            </w:r>
            <w:r>
              <w:rPr>
                <w:rFonts w:asciiTheme="majorEastAsia" w:eastAsiaTheme="majorEastAsia" w:hAnsiTheme="majorEastAsia" w:cstheme="majorEastAsia" w:hint="eastAsia"/>
                <w:szCs w:val="21"/>
              </w:rPr>
              <w:t>万元</w:t>
            </w:r>
          </w:p>
        </w:tc>
        <w:tc>
          <w:tcPr>
            <w:tcW w:w="2005" w:type="dxa"/>
            <w:tcBorders>
              <w:top w:val="single" w:sz="4" w:space="0" w:color="auto"/>
              <w:left w:val="single" w:sz="4" w:space="0" w:color="auto"/>
              <w:bottom w:val="single" w:sz="4" w:space="0" w:color="auto"/>
              <w:right w:val="single" w:sz="8" w:space="0" w:color="auto"/>
            </w:tcBorders>
            <w:vAlign w:val="center"/>
          </w:tcPr>
          <w:p w:rsidR="008C0A47">
            <w:pPr>
              <w:spacing w:line="34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0.5%</w:t>
            </w:r>
          </w:p>
        </w:tc>
        <w:tc>
          <w:tcPr>
            <w:tcW w:w="2145" w:type="dxa"/>
            <w:tcBorders>
              <w:top w:val="single" w:sz="4" w:space="0" w:color="auto"/>
              <w:left w:val="single" w:sz="4" w:space="0" w:color="auto"/>
              <w:bottom w:val="single" w:sz="4" w:space="0" w:color="auto"/>
              <w:right w:val="single" w:sz="8" w:space="0" w:color="auto"/>
            </w:tcBorders>
            <w:vAlign w:val="center"/>
          </w:tcPr>
          <w:p w:rsidR="008C0A47">
            <w:pPr>
              <w:spacing w:line="34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0.35%</w:t>
            </w:r>
          </w:p>
        </w:tc>
        <w:tc>
          <w:tcPr>
            <w:tcW w:w="2090" w:type="dxa"/>
            <w:tcBorders>
              <w:top w:val="single" w:sz="4" w:space="0" w:color="auto"/>
              <w:left w:val="single" w:sz="4" w:space="0" w:color="auto"/>
              <w:bottom w:val="single" w:sz="4" w:space="0" w:color="auto"/>
              <w:right w:val="single" w:sz="8" w:space="0" w:color="auto"/>
            </w:tcBorders>
            <w:vAlign w:val="center"/>
          </w:tcPr>
          <w:p w:rsidR="008C0A47">
            <w:pPr>
              <w:spacing w:line="34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0.25%</w:t>
            </w:r>
          </w:p>
        </w:tc>
      </w:tr>
      <w:tr>
        <w:tblPrEx>
          <w:tblW w:w="8332" w:type="dxa"/>
          <w:jc w:val="center"/>
          <w:tblLayout w:type="fixed"/>
          <w:tblLook w:val="04A0"/>
        </w:tblPrEx>
        <w:trPr>
          <w:trHeight w:val="454"/>
          <w:jc w:val="center"/>
        </w:trPr>
        <w:tc>
          <w:tcPr>
            <w:tcW w:w="2092" w:type="dxa"/>
            <w:tcBorders>
              <w:top w:val="single" w:sz="4" w:space="0" w:color="auto"/>
              <w:left w:val="single" w:sz="8" w:space="0" w:color="auto"/>
              <w:bottom w:val="single" w:sz="4" w:space="0" w:color="auto"/>
              <w:right w:val="single" w:sz="4" w:space="0" w:color="auto"/>
            </w:tcBorders>
            <w:vAlign w:val="center"/>
          </w:tcPr>
          <w:p w:rsidR="008C0A47">
            <w:pPr>
              <w:spacing w:line="34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5000</w:t>
            </w:r>
            <w:r>
              <w:rPr>
                <w:rFonts w:asciiTheme="majorEastAsia" w:eastAsiaTheme="majorEastAsia" w:hAnsiTheme="majorEastAsia" w:cstheme="majorEastAsia" w:hint="eastAsia"/>
                <w:szCs w:val="21"/>
              </w:rPr>
              <w:t>万元（含）</w:t>
            </w:r>
            <w:r>
              <w:rPr>
                <w:rFonts w:asciiTheme="majorEastAsia" w:eastAsiaTheme="majorEastAsia" w:hAnsiTheme="majorEastAsia" w:cstheme="majorEastAsia" w:hint="eastAsia"/>
                <w:szCs w:val="21"/>
              </w:rPr>
              <w:t>-1</w:t>
            </w:r>
            <w:r>
              <w:rPr>
                <w:rFonts w:asciiTheme="majorEastAsia" w:eastAsiaTheme="majorEastAsia" w:hAnsiTheme="majorEastAsia" w:cstheme="majorEastAsia" w:hint="eastAsia"/>
                <w:szCs w:val="21"/>
              </w:rPr>
              <w:t>亿元</w:t>
            </w:r>
          </w:p>
        </w:tc>
        <w:tc>
          <w:tcPr>
            <w:tcW w:w="2005" w:type="dxa"/>
            <w:tcBorders>
              <w:top w:val="single" w:sz="4" w:space="0" w:color="auto"/>
              <w:left w:val="single" w:sz="4" w:space="0" w:color="auto"/>
              <w:bottom w:val="single" w:sz="4" w:space="0" w:color="auto"/>
              <w:right w:val="single" w:sz="8" w:space="0" w:color="auto"/>
            </w:tcBorders>
            <w:vAlign w:val="center"/>
          </w:tcPr>
          <w:p w:rsidR="008C0A47">
            <w:pPr>
              <w:spacing w:line="34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0.25%</w:t>
            </w:r>
          </w:p>
        </w:tc>
        <w:tc>
          <w:tcPr>
            <w:tcW w:w="2145" w:type="dxa"/>
            <w:tcBorders>
              <w:top w:val="single" w:sz="4" w:space="0" w:color="auto"/>
              <w:left w:val="single" w:sz="4" w:space="0" w:color="auto"/>
              <w:bottom w:val="single" w:sz="4" w:space="0" w:color="auto"/>
              <w:right w:val="single" w:sz="8" w:space="0" w:color="auto"/>
            </w:tcBorders>
            <w:vAlign w:val="center"/>
          </w:tcPr>
          <w:p w:rsidR="008C0A47">
            <w:pPr>
              <w:spacing w:line="34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0.2%</w:t>
            </w:r>
          </w:p>
        </w:tc>
        <w:tc>
          <w:tcPr>
            <w:tcW w:w="2090" w:type="dxa"/>
            <w:tcBorders>
              <w:top w:val="single" w:sz="4" w:space="0" w:color="auto"/>
              <w:left w:val="single" w:sz="4" w:space="0" w:color="auto"/>
              <w:bottom w:val="single" w:sz="4" w:space="0" w:color="auto"/>
              <w:right w:val="single" w:sz="8" w:space="0" w:color="auto"/>
            </w:tcBorders>
            <w:vAlign w:val="center"/>
          </w:tcPr>
          <w:p w:rsidR="008C0A47">
            <w:pPr>
              <w:spacing w:line="34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0.1%</w:t>
            </w:r>
          </w:p>
        </w:tc>
      </w:tr>
    </w:tbl>
    <w:p w:rsidR="008C0A47">
      <w:pPr>
        <w:spacing w:line="440" w:lineRule="exact"/>
        <w:ind w:right="-57" w:firstLine="480" w:firstLineChars="200"/>
        <w:rPr>
          <w:rFonts w:asciiTheme="majorEastAsia" w:eastAsiaTheme="majorEastAsia" w:hAnsiTheme="majorEastAsia" w:cstheme="majorEastAsia"/>
          <w:snapToGrid w:val="0"/>
          <w:kern w:val="0"/>
          <w:szCs w:val="21"/>
        </w:rPr>
      </w:pPr>
      <w:r>
        <w:rPr>
          <w:rFonts w:asciiTheme="majorEastAsia" w:eastAsiaTheme="majorEastAsia" w:hAnsiTheme="majorEastAsia" w:cstheme="majorEastAsia" w:hint="eastAsia"/>
          <w:snapToGrid w:val="0"/>
          <w:kern w:val="0"/>
          <w:szCs w:val="21"/>
        </w:rPr>
        <w:t>□</w:t>
      </w:r>
      <w:r>
        <w:rPr>
          <w:rFonts w:asciiTheme="majorEastAsia" w:eastAsiaTheme="majorEastAsia" w:hAnsiTheme="majorEastAsia" w:cstheme="majorEastAsia" w:hint="eastAsia"/>
          <w:snapToGrid w:val="0"/>
          <w:kern w:val="0"/>
          <w:szCs w:val="21"/>
        </w:rPr>
        <w:t xml:space="preserve"> </w:t>
      </w:r>
      <w:r>
        <w:rPr>
          <w:rFonts w:asciiTheme="majorEastAsia" w:eastAsiaTheme="majorEastAsia" w:hAnsiTheme="majorEastAsia" w:cstheme="majorEastAsia" w:hint="eastAsia"/>
          <w:snapToGrid w:val="0"/>
          <w:kern w:val="0"/>
          <w:szCs w:val="21"/>
        </w:rPr>
        <w:t>定额收取：</w:t>
      </w:r>
    </w:p>
    <w:p w:rsidR="008C0A47">
      <w:pPr>
        <w:spacing w:line="440" w:lineRule="exact"/>
        <w:ind w:right="-57" w:firstLine="480" w:firstLineChars="200"/>
        <w:rPr>
          <w:rFonts w:asciiTheme="majorEastAsia" w:eastAsiaTheme="majorEastAsia" w:hAnsiTheme="majorEastAsia" w:cstheme="majorEastAsia"/>
          <w:snapToGrid w:val="0"/>
          <w:kern w:val="0"/>
          <w:szCs w:val="21"/>
        </w:rPr>
      </w:pPr>
      <w:r>
        <w:rPr>
          <w:rFonts w:asciiTheme="majorEastAsia" w:eastAsiaTheme="majorEastAsia" w:hAnsiTheme="majorEastAsia" w:cstheme="majorEastAsia" w:hint="eastAsia"/>
          <w:snapToGrid w:val="0"/>
          <w:kern w:val="0"/>
          <w:szCs w:val="21"/>
        </w:rPr>
        <w:t>本项目按定额收取招标代理服务费，收费金额为人民币元。</w:t>
      </w:r>
    </w:p>
    <w:p w:rsidR="008C0A47">
      <w:pPr>
        <w:spacing w:line="440" w:lineRule="exact"/>
        <w:ind w:right="-57" w:firstLine="480" w:firstLineChars="200"/>
        <w:rPr>
          <w:rFonts w:asciiTheme="majorEastAsia" w:eastAsiaTheme="majorEastAsia" w:hAnsiTheme="majorEastAsia" w:cstheme="majorEastAsia"/>
          <w:snapToGrid w:val="0"/>
          <w:kern w:val="0"/>
          <w:szCs w:val="21"/>
        </w:rPr>
      </w:pPr>
      <w:r>
        <w:rPr>
          <w:rFonts w:asciiTheme="majorEastAsia" w:eastAsiaTheme="majorEastAsia" w:hAnsiTheme="majorEastAsia" w:cstheme="majorEastAsia" w:hint="eastAsia"/>
          <w:snapToGrid w:val="0"/>
          <w:kern w:val="0"/>
          <w:szCs w:val="21"/>
        </w:rPr>
        <w:br w:type="page"/>
      </w:r>
    </w:p>
    <w:p w:rsidR="008C0A47">
      <w:pPr>
        <w:pStyle w:val="Heading1"/>
        <w:keepNext w:val="0"/>
        <w:keepLines w:val="0"/>
        <w:rPr>
          <w:rFonts w:ascii="微软雅黑" w:eastAsia="微软雅黑" w:hAnsi="微软雅黑" w:cs="微软雅黑"/>
          <w:b/>
          <w:bCs w:val="0"/>
        </w:rPr>
      </w:pPr>
      <w:r>
        <w:rPr>
          <w:rFonts w:ascii="微软雅黑" w:eastAsia="微软雅黑" w:hAnsi="微软雅黑" w:cs="微软雅黑" w:hint="eastAsia"/>
          <w:b/>
          <w:bCs w:val="0"/>
        </w:rPr>
        <w:t>第二册</w:t>
      </w:r>
      <w:r>
        <w:rPr>
          <w:rFonts w:ascii="微软雅黑" w:eastAsia="微软雅黑" w:hAnsi="微软雅黑" w:cs="微软雅黑" w:hint="eastAsia"/>
          <w:b/>
          <w:bCs w:val="0"/>
        </w:rPr>
        <w:t xml:space="preserve">  </w:t>
      </w:r>
      <w:r>
        <w:rPr>
          <w:rFonts w:ascii="微软雅黑" w:eastAsia="微软雅黑" w:hAnsi="微软雅黑" w:cs="微软雅黑" w:hint="eastAsia"/>
          <w:b/>
          <w:bCs w:val="0"/>
        </w:rPr>
        <w:t>通用条款（公开招标）</w:t>
      </w:r>
    </w:p>
    <w:p w:rsidR="008C0A47">
      <w:pPr>
        <w:pStyle w:val="Heading2"/>
        <w:numPr>
          <w:ilvl w:val="0"/>
          <w:numId w:val="2"/>
        </w:numPr>
        <w:spacing w:before="120" w:after="120" w:line="440" w:lineRule="exact"/>
        <w:ind w:left="482" w:hanging="482"/>
        <w:rPr>
          <w:rFonts w:ascii="微软雅黑" w:eastAsia="微软雅黑" w:hAnsi="微软雅黑" w:cs="微软雅黑"/>
          <w:b/>
          <w:bCs/>
          <w:szCs w:val="24"/>
        </w:rPr>
      </w:pPr>
      <w:r>
        <w:rPr>
          <w:rFonts w:ascii="微软雅黑" w:eastAsia="微软雅黑" w:hAnsi="微软雅黑" w:cs="微软雅黑" w:hint="eastAsia"/>
          <w:b/>
          <w:bCs/>
          <w:szCs w:val="24"/>
        </w:rPr>
        <w:t xml:space="preserve">  </w:t>
      </w:r>
      <w:r>
        <w:rPr>
          <w:rFonts w:ascii="微软雅黑" w:eastAsia="微软雅黑" w:hAnsi="微软雅黑" w:cs="微软雅黑" w:hint="eastAsia"/>
          <w:b/>
          <w:bCs/>
          <w:szCs w:val="24"/>
        </w:rPr>
        <w:t>总则</w:t>
      </w:r>
    </w:p>
    <w:p w:rsidR="008C0A47">
      <w:pPr>
        <w:spacing w:line="440" w:lineRule="exact"/>
        <w:ind w:firstLine="480" w:firstLineChars="200"/>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 xml:space="preserve">1. </w:t>
      </w:r>
      <w:r>
        <w:rPr>
          <w:rFonts w:asciiTheme="majorEastAsia" w:eastAsiaTheme="majorEastAsia" w:hAnsiTheme="majorEastAsia" w:cstheme="majorEastAsia" w:hint="eastAsia"/>
          <w:b/>
          <w:szCs w:val="21"/>
        </w:rPr>
        <w:t>通用条款说明</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1.1</w:t>
      </w:r>
      <w:r>
        <w:rPr>
          <w:rFonts w:asciiTheme="majorEastAsia" w:eastAsiaTheme="majorEastAsia" w:hAnsiTheme="majorEastAsia" w:cstheme="majorEastAsia" w:hint="eastAsia"/>
          <w:szCs w:val="21"/>
        </w:rPr>
        <w:t>采购代理机构发出招标文件通用条款版本，列出深圳市政府采购项目进行招标采购所适用的通用条款内容。如有需要，采购代理机构可以对通用条款增加附录或补充内容。</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1.2</w:t>
      </w:r>
      <w:r>
        <w:rPr>
          <w:rFonts w:asciiTheme="majorEastAsia" w:eastAsiaTheme="majorEastAsia" w:hAnsiTheme="majorEastAsia" w:cstheme="majorEastAsia" w:hint="eastAsia"/>
          <w:szCs w:val="21"/>
        </w:rPr>
        <w:t>招标文件分为第一册“专用条款”和第二册“通用条款”。</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1.3</w:t>
      </w:r>
      <w:r>
        <w:rPr>
          <w:rFonts w:asciiTheme="majorEastAsia" w:eastAsiaTheme="majorEastAsia" w:hAnsiTheme="majorEastAsia" w:cstheme="majorEastAsia" w:hint="eastAsia"/>
          <w:szCs w:val="21"/>
        </w:rPr>
        <w:t>“专用条款”是对本次采购项目的具体要求，包含投标人资格要求、用户需求书、投标文件格式、附件等内容。</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1.4</w:t>
      </w:r>
      <w:r>
        <w:rPr>
          <w:rFonts w:asciiTheme="majorEastAsia" w:eastAsiaTheme="majorEastAsia" w:hAnsiTheme="majorEastAsia" w:cstheme="majorEastAsia" w:hint="eastAsia"/>
          <w:szCs w:val="21"/>
        </w:rPr>
        <w:t>“通用条款”是适用于政府采购项目的基础性条款，具有普遍性和通用性。</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1.5 </w:t>
      </w:r>
      <w:r>
        <w:rPr>
          <w:rFonts w:asciiTheme="majorEastAsia" w:eastAsiaTheme="majorEastAsia" w:hAnsiTheme="majorEastAsia" w:cstheme="majorEastAsia" w:hint="eastAsia"/>
          <w:szCs w:val="21"/>
        </w:rPr>
        <w:t>“专用条款”和“通用条款”表述不一致或有冲突时，以“专用条款”为准。</w:t>
      </w:r>
    </w:p>
    <w:p w:rsidR="008C0A47">
      <w:pPr>
        <w:spacing w:line="440" w:lineRule="exact"/>
        <w:ind w:firstLine="480" w:firstLineChars="200"/>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2</w:t>
      </w:r>
      <w:r>
        <w:rPr>
          <w:rFonts w:asciiTheme="majorEastAsia" w:eastAsiaTheme="majorEastAsia" w:hAnsiTheme="majorEastAsia" w:cstheme="majorEastAsia" w:hint="eastAsia"/>
          <w:b/>
          <w:szCs w:val="21"/>
        </w:rPr>
        <w:t>．招标说明</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本项目按照《深圳经济特</w:t>
      </w:r>
      <w:r>
        <w:rPr>
          <w:rFonts w:asciiTheme="majorEastAsia" w:eastAsiaTheme="majorEastAsia" w:hAnsiTheme="majorEastAsia" w:cstheme="majorEastAsia" w:hint="eastAsia"/>
          <w:szCs w:val="21"/>
        </w:rPr>
        <w:t>区政府采购条例》、《深圳经济特区政府采购条例实施细则》等规定，并参考有关法规，通过招标方式确定中标供应商。</w:t>
      </w:r>
    </w:p>
    <w:p w:rsidR="008C0A47">
      <w:pPr>
        <w:spacing w:line="440" w:lineRule="exact"/>
        <w:ind w:firstLine="480" w:firstLineChars="200"/>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3</w:t>
      </w:r>
      <w:r>
        <w:rPr>
          <w:rFonts w:asciiTheme="majorEastAsia" w:eastAsiaTheme="majorEastAsia" w:hAnsiTheme="majorEastAsia" w:cstheme="majorEastAsia" w:hint="eastAsia"/>
          <w:b/>
          <w:szCs w:val="21"/>
        </w:rPr>
        <w:t>．定义</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招标文件中下列术语应解释为：</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3.1</w:t>
      </w:r>
      <w:r>
        <w:rPr>
          <w:rFonts w:asciiTheme="majorEastAsia" w:eastAsiaTheme="majorEastAsia" w:hAnsiTheme="majorEastAsia" w:cstheme="majorEastAsia" w:hint="eastAsia"/>
          <w:szCs w:val="21"/>
        </w:rPr>
        <w:t>“采购代理机构”是指接受采购人委托，组织本次采购招标的社会采购代理机构；</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3.2</w:t>
      </w:r>
      <w:r>
        <w:rPr>
          <w:rFonts w:asciiTheme="majorEastAsia" w:eastAsiaTheme="majorEastAsia" w:hAnsiTheme="majorEastAsia" w:cstheme="majorEastAsia" w:hint="eastAsia"/>
          <w:szCs w:val="21"/>
        </w:rPr>
        <w:t>“采购人”或“招标人”：指利用财政性资金依法进行政府采购的国家机关、事业单位、团体组织；</w:t>
      </w:r>
      <w:r>
        <w:rPr>
          <w:rFonts w:asciiTheme="majorEastAsia" w:eastAsiaTheme="majorEastAsia" w:hAnsiTheme="majorEastAsia" w:cstheme="majorEastAsia" w:hint="eastAsia"/>
          <w:szCs w:val="21"/>
        </w:rPr>
        <w:t xml:space="preserve"> </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3.3</w:t>
      </w:r>
      <w:r>
        <w:rPr>
          <w:rFonts w:asciiTheme="majorEastAsia" w:eastAsiaTheme="majorEastAsia" w:hAnsiTheme="majorEastAsia" w:cstheme="majorEastAsia" w:hint="eastAsia"/>
          <w:szCs w:val="21"/>
        </w:rPr>
        <w:t>“投标人”或“投标方”，</w:t>
      </w:r>
      <w:r>
        <w:rPr>
          <w:rFonts w:asciiTheme="majorEastAsia" w:eastAsiaTheme="majorEastAsia" w:hAnsiTheme="majorEastAsia" w:cstheme="majorEastAsia" w:hint="eastAsia"/>
          <w:szCs w:val="21"/>
        </w:rPr>
        <w:t>即供应</w:t>
      </w:r>
      <w:r>
        <w:rPr>
          <w:rFonts w:asciiTheme="majorEastAsia" w:eastAsiaTheme="majorEastAsia" w:hAnsiTheme="majorEastAsia" w:cstheme="majorEastAsia" w:hint="eastAsia"/>
          <w:szCs w:val="21"/>
        </w:rPr>
        <w:t>商，指参加投标竞争并愿意按照招标文件要求向采购人提供货物、工程或者服务的依法成立的法人、其他组织或者自然人；</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3.4</w:t>
      </w:r>
      <w:r>
        <w:rPr>
          <w:rFonts w:asciiTheme="majorEastAsia" w:eastAsiaTheme="majorEastAsia" w:hAnsiTheme="majorEastAsia" w:cstheme="majorEastAsia" w:hint="eastAsia"/>
          <w:szCs w:val="21"/>
        </w:rPr>
        <w:t>“评审委员会”和“谈判小组”是依据</w:t>
      </w:r>
      <w:r>
        <w:rPr>
          <w:rFonts w:asciiTheme="majorEastAsia" w:eastAsiaTheme="majorEastAsia" w:hAnsiTheme="majorEastAsia" w:cstheme="majorEastAsia" w:hint="eastAsia"/>
          <w:szCs w:val="21"/>
        </w:rPr>
        <w:t>《深圳经济特区政府采购条例》、《深圳经济特区政府采购条例实施细则》等有关规定组建的专门负责本次招标其评标（谈判）工作的临时性机构；</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3.5</w:t>
      </w:r>
      <w:r>
        <w:rPr>
          <w:rFonts w:asciiTheme="majorEastAsia" w:eastAsiaTheme="majorEastAsia" w:hAnsiTheme="majorEastAsia" w:cstheme="majorEastAsia" w:hint="eastAsia"/>
          <w:szCs w:val="21"/>
        </w:rPr>
        <w:t>“日期”指公历日；</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3.6</w:t>
      </w:r>
      <w:r>
        <w:rPr>
          <w:rFonts w:asciiTheme="majorEastAsia" w:eastAsiaTheme="majorEastAsia" w:hAnsiTheme="majorEastAsia" w:cstheme="majorEastAsia" w:hint="eastAsia"/>
          <w:szCs w:val="21"/>
        </w:rPr>
        <w:t>“合同”指由本次招标所产生的合同或合约文件；</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3.7</w:t>
      </w:r>
      <w:r>
        <w:rPr>
          <w:rFonts w:asciiTheme="majorEastAsia" w:eastAsiaTheme="majorEastAsia" w:hAnsiTheme="majorEastAsia" w:cstheme="majorEastAsia" w:hint="eastAsia"/>
          <w:szCs w:val="21"/>
        </w:rPr>
        <w:t>“电子投标文件”指利用</w:t>
      </w:r>
      <w:r>
        <w:rPr>
          <w:rFonts w:ascii="宋体" w:hAnsi="宋体" w:hint="eastAsia"/>
          <w:szCs w:val="21"/>
        </w:rPr>
        <w:t>利用</w:t>
      </w:r>
      <w:r>
        <w:rPr>
          <w:rFonts w:ascii="宋体" w:hAnsi="宋体" w:hint="eastAsia"/>
        </w:rPr>
        <w:t>深圳智慧采购平台投标文件制作专用软件（以下简称：投标文件制作软件）制作并</w:t>
      </w:r>
      <w:r>
        <w:rPr>
          <w:rFonts w:ascii="宋体" w:hAnsi="宋体" w:hint="eastAsia"/>
          <w:szCs w:val="21"/>
        </w:rPr>
        <w:t>加密的投标文件</w:t>
      </w:r>
      <w:r>
        <w:rPr>
          <w:rFonts w:ascii="宋体" w:hAnsi="宋体" w:hint="eastAsia"/>
          <w:szCs w:val="21"/>
        </w:rPr>
        <w:t>,</w:t>
      </w:r>
      <w:r>
        <w:rPr>
          <w:rFonts w:ascii="宋体" w:hAnsi="宋体" w:hint="eastAsia"/>
          <w:szCs w:val="21"/>
        </w:rPr>
        <w:t>适用于网上投标；（投标文件制作软件可从</w:t>
      </w:r>
      <w:r>
        <w:rPr>
          <w:rFonts w:hint="eastAsia"/>
        </w:rPr>
        <w:t>“</w:t>
      </w:r>
      <w:r>
        <w:rPr>
          <w:rFonts w:ascii="宋体" w:hAnsi="宋体" w:hint="eastAsia"/>
        </w:rPr>
        <w:t>下载地址：</w:t>
      </w:r>
      <w:r>
        <w:t>http://zfcg.szggzy.com/</w:t>
      </w:r>
      <w:r>
        <w:rPr>
          <w:rFonts w:ascii="宋体" w:hAnsi="宋体" w:hint="eastAsia"/>
        </w:rPr>
        <w:t>TPBidder/DownLoad/</w:t>
      </w:r>
      <w:r>
        <w:rPr>
          <w:rFonts w:ascii="宋体" w:hAnsi="宋体" w:hint="eastAsia"/>
        </w:rPr>
        <w:t>深圳市智慧采购平台投标文件制作专用软件</w:t>
      </w:r>
      <w:r>
        <w:rPr>
          <w:rFonts w:ascii="宋体" w:hAnsi="宋体" w:hint="eastAsia"/>
        </w:rPr>
        <w:t>.zip</w:t>
      </w:r>
      <w:r>
        <w:rPr>
          <w:rFonts w:hint="eastAsia"/>
        </w:rPr>
        <w:t>”</w:t>
      </w:r>
      <w:r>
        <w:rPr>
          <w:rFonts w:ascii="宋体" w:hAnsi="宋体" w:hint="eastAsia"/>
          <w:szCs w:val="21"/>
        </w:rPr>
        <w:t>下</w:t>
      </w:r>
      <w:r>
        <w:rPr>
          <w:rFonts w:ascii="宋体" w:hAnsi="宋体" w:hint="eastAsia"/>
          <w:szCs w:val="21"/>
        </w:rPr>
        <w:t>载）</w:t>
      </w:r>
      <w:r>
        <w:rPr>
          <w:rFonts w:asciiTheme="majorEastAsia" w:eastAsiaTheme="majorEastAsia" w:hAnsiTheme="majorEastAsia" w:cstheme="majorEastAsia" w:hint="eastAsia"/>
          <w:szCs w:val="21"/>
        </w:rPr>
        <w:t>；</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3.8</w:t>
      </w:r>
      <w:r>
        <w:rPr>
          <w:rFonts w:asciiTheme="majorEastAsia" w:eastAsiaTheme="majorEastAsia" w:hAnsiTheme="majorEastAsia" w:cstheme="majorEastAsia" w:hint="eastAsia"/>
          <w:szCs w:val="21"/>
        </w:rPr>
        <w:t>“网上投标”指通过</w:t>
      </w:r>
      <w:r>
        <w:rPr>
          <w:rFonts w:ascii="宋体" w:hAnsi="宋体" w:hint="eastAsia"/>
        </w:rPr>
        <w:t>深圳智慧采购平台</w:t>
      </w:r>
      <w:r>
        <w:rPr>
          <w:rFonts w:asciiTheme="majorEastAsia" w:eastAsiaTheme="majorEastAsia" w:hAnsiTheme="majorEastAsia" w:cstheme="majorEastAsia" w:hint="eastAsia"/>
          <w:szCs w:val="21"/>
        </w:rPr>
        <w:t>网站上传电子投标文件；</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3.9</w:t>
      </w:r>
      <w:r>
        <w:rPr>
          <w:rFonts w:asciiTheme="majorEastAsia" w:eastAsiaTheme="majorEastAsia" w:hAnsiTheme="majorEastAsia" w:cstheme="majorEastAsia" w:hint="eastAsia"/>
          <w:szCs w:val="21"/>
        </w:rPr>
        <w:t>招标文件中的标题或</w:t>
      </w:r>
      <w:r>
        <w:rPr>
          <w:rFonts w:asciiTheme="majorEastAsia" w:eastAsiaTheme="majorEastAsia" w:hAnsiTheme="majorEastAsia" w:cstheme="majorEastAsia" w:hint="eastAsia"/>
          <w:szCs w:val="21"/>
        </w:rPr>
        <w:t>题名仅</w:t>
      </w:r>
      <w:r>
        <w:rPr>
          <w:rFonts w:asciiTheme="majorEastAsia" w:eastAsiaTheme="majorEastAsia" w:hAnsiTheme="majorEastAsia" w:cstheme="majorEastAsia" w:hint="eastAsia"/>
          <w:szCs w:val="21"/>
        </w:rPr>
        <w:t>起引导作用，而不应视为对招标文件内容的理解和解释。</w:t>
      </w:r>
    </w:p>
    <w:p w:rsidR="008C0A47">
      <w:pPr>
        <w:spacing w:line="440" w:lineRule="exact"/>
        <w:ind w:firstLine="480" w:firstLineChars="200"/>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 xml:space="preserve">4. </w:t>
      </w:r>
      <w:r>
        <w:rPr>
          <w:rFonts w:asciiTheme="majorEastAsia" w:eastAsiaTheme="majorEastAsia" w:hAnsiTheme="majorEastAsia" w:cstheme="majorEastAsia" w:hint="eastAsia"/>
          <w:b/>
          <w:szCs w:val="21"/>
        </w:rPr>
        <w:t>政府采购供应商责任</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4.1</w:t>
      </w:r>
      <w:r>
        <w:rPr>
          <w:rFonts w:asciiTheme="majorEastAsia" w:eastAsiaTheme="majorEastAsia" w:hAnsiTheme="majorEastAsia" w:cstheme="majorEastAsia" w:hint="eastAsia"/>
          <w:szCs w:val="21"/>
        </w:rPr>
        <w:t>欢迎诚信、有实力和有社会责任心的供应商参与政府采购事业。</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4.2</w:t>
      </w:r>
      <w:r>
        <w:rPr>
          <w:rFonts w:asciiTheme="majorEastAsia" w:eastAsiaTheme="majorEastAsia" w:hAnsiTheme="majorEastAsia" w:cstheme="majorEastAsia" w:hint="eastAsia"/>
          <w:szCs w:val="21"/>
        </w:rPr>
        <w:t>投标人应当遵循公平竞争的原则，不得恶意串通，不得妨碍其他投标人的竞争行为，不得损害采购人或者其他投标人的合法权益。如违反上述要求，经核实后，供应商的投标无效。</w:t>
      </w:r>
    </w:p>
    <w:p w:rsidR="008C0A47">
      <w:pPr>
        <w:spacing w:line="440" w:lineRule="exact"/>
        <w:ind w:firstLine="480" w:firstLineChars="200"/>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5</w:t>
      </w:r>
      <w:r>
        <w:rPr>
          <w:rFonts w:asciiTheme="majorEastAsia" w:eastAsiaTheme="majorEastAsia" w:hAnsiTheme="majorEastAsia" w:cstheme="majorEastAsia" w:hint="eastAsia"/>
          <w:b/>
          <w:szCs w:val="21"/>
        </w:rPr>
        <w:t>．投标人参加政府采购的条件</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5.1</w:t>
      </w:r>
      <w:r>
        <w:rPr>
          <w:rFonts w:asciiTheme="majorEastAsia" w:eastAsiaTheme="majorEastAsia" w:hAnsiTheme="majorEastAsia" w:cstheme="majorEastAsia" w:hint="eastAsia"/>
          <w:szCs w:val="21"/>
        </w:rPr>
        <w:t>投标人应在投标前到进行注册。《</w:t>
      </w:r>
      <w:r>
        <w:rPr>
          <w:rFonts w:hint="eastAsia"/>
        </w:rPr>
        <w:fldChar w:fldCharType="begin"/>
      </w:r>
      <w:r>
        <w:instrText xml:space="preserve"> HYPERLINK "http://www.szzfcg.cn/viewer.do?id=2455258" \t "documentViewer2455258" </w:instrText>
      </w:r>
      <w:r>
        <w:rPr>
          <w:rFonts w:hint="eastAsia"/>
        </w:rPr>
        <w:fldChar w:fldCharType="separate"/>
      </w:r>
      <w:r>
        <w:rPr>
          <w:rFonts w:asciiTheme="majorEastAsia" w:eastAsiaTheme="majorEastAsia" w:hAnsiTheme="majorEastAsia" w:cstheme="majorEastAsia" w:hint="eastAsia"/>
          <w:szCs w:val="21"/>
        </w:rPr>
        <w:t>供应商注册及电子密钥新申请指引</w:t>
      </w:r>
      <w:r>
        <w:rPr>
          <w:rFonts w:asciiTheme="majorEastAsia" w:eastAsiaTheme="majorEastAsia" w:hAnsiTheme="majorEastAsia" w:cstheme="majorEastAsia" w:hint="eastAsia"/>
          <w:szCs w:val="21"/>
        </w:rPr>
        <w:fldChar w:fldCharType="end"/>
      </w:r>
      <w:r>
        <w:rPr>
          <w:rFonts w:asciiTheme="majorEastAsia" w:eastAsiaTheme="majorEastAsia" w:hAnsiTheme="majorEastAsia" w:cstheme="majorEastAsia" w:hint="eastAsia"/>
          <w:szCs w:val="21"/>
        </w:rPr>
        <w:t>》详见深圳公共资源交易网（</w:t>
      </w:r>
      <w:r>
        <w:rPr>
          <w:rFonts w:asciiTheme="majorEastAsia" w:eastAsiaTheme="majorEastAsia" w:hAnsiTheme="majorEastAsia" w:cstheme="majorEastAsia" w:hint="eastAsia"/>
          <w:szCs w:val="21"/>
        </w:rPr>
        <w:t>http://www.szggzy.com/</w:t>
      </w:r>
      <w:r>
        <w:rPr>
          <w:rFonts w:asciiTheme="majorEastAsia" w:eastAsiaTheme="majorEastAsia" w:hAnsiTheme="majorEastAsia" w:cstheme="majorEastAsia" w:hint="eastAsia"/>
          <w:szCs w:val="21"/>
        </w:rPr>
        <w:t>）。</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5.2</w:t>
      </w:r>
      <w:r>
        <w:rPr>
          <w:rFonts w:asciiTheme="majorEastAsia" w:eastAsiaTheme="majorEastAsia" w:hAnsiTheme="majorEastAsia" w:cstheme="majorEastAsia" w:hint="eastAsia"/>
          <w:szCs w:val="21"/>
        </w:rPr>
        <w:t>投标人的资格要求</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参加本项目的投标人应具备的资格条件详见本项目招标公告中</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“投标人资格要求”的内容。</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5.3</w:t>
      </w:r>
      <w:r>
        <w:rPr>
          <w:rFonts w:asciiTheme="majorEastAsia" w:eastAsiaTheme="majorEastAsia" w:hAnsiTheme="majorEastAsia" w:cstheme="majorEastAsia" w:hint="eastAsia"/>
          <w:szCs w:val="21"/>
        </w:rPr>
        <w:t>联合体投标</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5.3.1</w:t>
      </w:r>
      <w:r>
        <w:rPr>
          <w:rFonts w:asciiTheme="majorEastAsia" w:eastAsiaTheme="majorEastAsia" w:hAnsiTheme="majorEastAsia" w:cstheme="majorEastAsia" w:hint="eastAsia"/>
          <w:szCs w:val="21"/>
        </w:rPr>
        <w:t>　以下有关联合体投标的条款仅适用于允许投标人组成联合体投标的项目。</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5.3.2  </w:t>
      </w:r>
      <w:r>
        <w:rPr>
          <w:rFonts w:asciiTheme="majorEastAsia" w:eastAsiaTheme="majorEastAsia" w:hAnsiTheme="majorEastAsia" w:cstheme="majorEastAsia" w:hint="eastAsia"/>
          <w:szCs w:val="21"/>
        </w:rPr>
        <w:t>由两个或两个以上的自然人、法人或者其他组织可以组成一个联合体，以一个供应商的身份共同投标时，应符合以下原则：</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1</w:t>
      </w:r>
      <w:r>
        <w:rPr>
          <w:rFonts w:asciiTheme="majorEastAsia" w:eastAsiaTheme="majorEastAsia" w:hAnsiTheme="majorEastAsia" w:cstheme="majorEastAsia" w:hint="eastAsia"/>
          <w:szCs w:val="21"/>
        </w:rPr>
        <w:t>）投标联合体各方参加政府采购活动应当具备下列条件：</w:t>
      </w:r>
      <w:r>
        <w:rPr>
          <w:rFonts w:asciiTheme="majorEastAsia" w:eastAsiaTheme="majorEastAsia" w:hAnsiTheme="majorEastAsia" w:cstheme="majorEastAsia" w:hint="eastAsia"/>
          <w:szCs w:val="21"/>
        </w:rPr>
        <w:t xml:space="preserve"> </w:t>
      </w:r>
    </w:p>
    <w:p w:rsidR="008C0A47">
      <w:pPr>
        <w:spacing w:line="440" w:lineRule="exact"/>
        <w:ind w:firstLine="710" w:firstLineChars="2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w:t>
      </w:r>
      <w:r>
        <w:rPr>
          <w:rFonts w:asciiTheme="majorEastAsia" w:eastAsiaTheme="majorEastAsia" w:hAnsiTheme="majorEastAsia" w:cstheme="majorEastAsia" w:hint="eastAsia"/>
          <w:szCs w:val="21"/>
        </w:rPr>
        <w:t>）具有独立承担民事责任的能力；</w:t>
      </w:r>
      <w:r>
        <w:rPr>
          <w:rFonts w:asciiTheme="majorEastAsia" w:eastAsiaTheme="majorEastAsia" w:hAnsiTheme="majorEastAsia" w:cstheme="majorEastAsia" w:hint="eastAsia"/>
          <w:szCs w:val="21"/>
        </w:rPr>
        <w:t xml:space="preserve"> </w:t>
      </w:r>
    </w:p>
    <w:p w:rsidR="008C0A47">
      <w:pPr>
        <w:spacing w:line="440" w:lineRule="exact"/>
        <w:ind w:firstLine="710" w:firstLineChars="2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w:t>
      </w:r>
      <w:r>
        <w:rPr>
          <w:rFonts w:asciiTheme="majorEastAsia" w:eastAsiaTheme="majorEastAsia" w:hAnsiTheme="majorEastAsia" w:cstheme="majorEastAsia" w:hint="eastAsia"/>
          <w:szCs w:val="21"/>
        </w:rPr>
        <w:t>）有良好的商</w:t>
      </w:r>
      <w:r>
        <w:rPr>
          <w:rFonts w:asciiTheme="majorEastAsia" w:eastAsiaTheme="majorEastAsia" w:hAnsiTheme="majorEastAsia" w:cstheme="majorEastAsia" w:hint="eastAsia"/>
          <w:szCs w:val="21"/>
        </w:rPr>
        <w:t>业信誉和健全的财务会计制度；</w:t>
      </w:r>
      <w:r>
        <w:rPr>
          <w:rFonts w:asciiTheme="majorEastAsia" w:eastAsiaTheme="majorEastAsia" w:hAnsiTheme="majorEastAsia" w:cstheme="majorEastAsia" w:hint="eastAsia"/>
          <w:szCs w:val="21"/>
        </w:rPr>
        <w:t xml:space="preserve"> </w:t>
      </w:r>
    </w:p>
    <w:p w:rsidR="008C0A47">
      <w:pPr>
        <w:spacing w:line="440" w:lineRule="exact"/>
        <w:ind w:firstLine="710" w:firstLineChars="2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w:t>
      </w:r>
      <w:r>
        <w:rPr>
          <w:rFonts w:asciiTheme="majorEastAsia" w:eastAsiaTheme="majorEastAsia" w:hAnsiTheme="majorEastAsia" w:cstheme="majorEastAsia" w:hint="eastAsia"/>
          <w:szCs w:val="21"/>
        </w:rPr>
        <w:t>）具有履行合同所必需的设备和专业技术能力；</w:t>
      </w:r>
      <w:r>
        <w:rPr>
          <w:rFonts w:asciiTheme="majorEastAsia" w:eastAsiaTheme="majorEastAsia" w:hAnsiTheme="majorEastAsia" w:cstheme="majorEastAsia" w:hint="eastAsia"/>
          <w:szCs w:val="21"/>
        </w:rPr>
        <w:t xml:space="preserve"> </w:t>
      </w:r>
    </w:p>
    <w:p w:rsidR="008C0A47">
      <w:pPr>
        <w:spacing w:line="440" w:lineRule="exact"/>
        <w:ind w:firstLine="710" w:firstLineChars="2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4</w:t>
      </w:r>
      <w:r>
        <w:rPr>
          <w:rFonts w:asciiTheme="majorEastAsia" w:eastAsiaTheme="majorEastAsia" w:hAnsiTheme="majorEastAsia" w:cstheme="majorEastAsia" w:hint="eastAsia"/>
          <w:szCs w:val="21"/>
        </w:rPr>
        <w:t>）有依法缴纳税收和社会保障资金的良好记录；</w:t>
      </w:r>
      <w:r>
        <w:rPr>
          <w:rFonts w:asciiTheme="majorEastAsia" w:eastAsiaTheme="majorEastAsia" w:hAnsiTheme="majorEastAsia" w:cstheme="majorEastAsia" w:hint="eastAsia"/>
          <w:szCs w:val="21"/>
        </w:rPr>
        <w:t xml:space="preserve"> </w:t>
      </w:r>
    </w:p>
    <w:p w:rsidR="008C0A47">
      <w:pPr>
        <w:spacing w:line="440" w:lineRule="exact"/>
        <w:ind w:firstLine="710" w:firstLineChars="2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5</w:t>
      </w:r>
      <w:r>
        <w:rPr>
          <w:rFonts w:asciiTheme="majorEastAsia" w:eastAsiaTheme="majorEastAsia" w:hAnsiTheme="majorEastAsia" w:cstheme="majorEastAsia" w:hint="eastAsia"/>
          <w:szCs w:val="21"/>
        </w:rPr>
        <w:t>）参加政府采购活动前三年内，在经营活动中没有重大违法记录；</w:t>
      </w:r>
      <w:r>
        <w:rPr>
          <w:rFonts w:asciiTheme="majorEastAsia" w:eastAsiaTheme="majorEastAsia" w:hAnsiTheme="majorEastAsia" w:cstheme="majorEastAsia" w:hint="eastAsia"/>
          <w:szCs w:val="21"/>
        </w:rPr>
        <w:t xml:space="preserve"> </w:t>
      </w:r>
    </w:p>
    <w:p w:rsidR="008C0A47">
      <w:pPr>
        <w:spacing w:line="440" w:lineRule="exact"/>
        <w:ind w:firstLine="710" w:firstLineChars="2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6</w:t>
      </w:r>
      <w:r>
        <w:rPr>
          <w:rFonts w:asciiTheme="majorEastAsia" w:eastAsiaTheme="majorEastAsia" w:hAnsiTheme="majorEastAsia" w:cstheme="majorEastAsia" w:hint="eastAsia"/>
          <w:szCs w:val="21"/>
        </w:rPr>
        <w:t>）法律、行政法规规定的其他条件。</w:t>
      </w:r>
      <w:r>
        <w:rPr>
          <w:rFonts w:asciiTheme="majorEastAsia" w:eastAsiaTheme="majorEastAsia" w:hAnsiTheme="majorEastAsia" w:cstheme="majorEastAsia" w:hint="eastAsia"/>
          <w:szCs w:val="21"/>
        </w:rPr>
        <w:t xml:space="preserve"> </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2</w:t>
      </w:r>
      <w:r>
        <w:rPr>
          <w:rFonts w:asciiTheme="majorEastAsia" w:eastAsiaTheme="majorEastAsia" w:hAnsiTheme="majorEastAsia" w:cstheme="majorEastAsia" w:hint="eastAsia"/>
          <w:szCs w:val="21"/>
        </w:rPr>
        <w:t>）投标联合体各方必须有一方先行注册成深圳市政府采购供应商；</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3</w:t>
      </w:r>
      <w:r>
        <w:rPr>
          <w:rFonts w:asciiTheme="majorEastAsia" w:eastAsiaTheme="majorEastAsia" w:hAnsiTheme="majorEastAsia" w:cstheme="majorEastAsia" w:hint="eastAsia"/>
          <w:szCs w:val="21"/>
        </w:rPr>
        <w:t>）联合体中有同类资质的供应</w:t>
      </w:r>
      <w:r>
        <w:rPr>
          <w:rFonts w:asciiTheme="majorEastAsia" w:eastAsiaTheme="majorEastAsia" w:hAnsiTheme="majorEastAsia" w:cstheme="majorEastAsia" w:hint="eastAsia"/>
          <w:szCs w:val="21"/>
        </w:rPr>
        <w:t>商按照</w:t>
      </w:r>
      <w:r>
        <w:rPr>
          <w:rFonts w:asciiTheme="majorEastAsia" w:eastAsiaTheme="majorEastAsia" w:hAnsiTheme="majorEastAsia" w:cstheme="majorEastAsia" w:hint="eastAsia"/>
          <w:szCs w:val="21"/>
        </w:rPr>
        <w:t>联合体分工承担相同工作的，应当按照资质等级较低的供应商确定资质等级。</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4</w:t>
      </w:r>
      <w:r>
        <w:rPr>
          <w:rFonts w:asciiTheme="majorEastAsia" w:eastAsiaTheme="majorEastAsia" w:hAnsiTheme="majorEastAsia" w:cstheme="majorEastAsia" w:hint="eastAsia"/>
          <w:szCs w:val="21"/>
        </w:rPr>
        <w:t>）是否允许联合体参加投标，应当由采购人和采购代理机构根据项目的实际情况和潜在供应商的数量自主决定，如果决定接</w:t>
      </w:r>
      <w:r>
        <w:rPr>
          <w:rFonts w:asciiTheme="majorEastAsia" w:eastAsiaTheme="majorEastAsia" w:hAnsiTheme="majorEastAsia" w:cstheme="majorEastAsia" w:hint="eastAsia"/>
          <w:szCs w:val="21"/>
        </w:rPr>
        <w:t>受联合体投标则应当在采购公告中明示。</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5</w:t>
      </w:r>
      <w:r>
        <w:rPr>
          <w:rFonts w:asciiTheme="majorEastAsia" w:eastAsiaTheme="majorEastAsia" w:hAnsiTheme="majorEastAsia" w:cstheme="majorEastAsia" w:hint="eastAsia"/>
          <w:szCs w:val="21"/>
        </w:rPr>
        <w:t>）投标人的投标文件及中标后签署的合同协议对联合体各方均具法律约束力；</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6</w:t>
      </w:r>
      <w:r>
        <w:rPr>
          <w:rFonts w:asciiTheme="majorEastAsia" w:eastAsiaTheme="majorEastAsia" w:hAnsiTheme="majorEastAsia" w:cstheme="majorEastAsia" w:hint="eastAsia"/>
          <w:szCs w:val="21"/>
        </w:rPr>
        <w:t>）联合体各方应当签订共同投标协议，明确约定各方拟承担的工作和责任，并将</w:t>
      </w:r>
      <w:r>
        <w:rPr>
          <w:rFonts w:asciiTheme="majorEastAsia" w:eastAsiaTheme="majorEastAsia" w:hAnsiTheme="majorEastAsia" w:cstheme="majorEastAsia" w:hint="eastAsia"/>
          <w:szCs w:val="21"/>
        </w:rPr>
        <w:t>该共同</w:t>
      </w:r>
      <w:r>
        <w:rPr>
          <w:rFonts w:asciiTheme="majorEastAsia" w:eastAsiaTheme="majorEastAsia" w:hAnsiTheme="majorEastAsia" w:cstheme="majorEastAsia" w:hint="eastAsia"/>
          <w:szCs w:val="21"/>
        </w:rPr>
        <w:t>投标协议随投标文件一并递交给采购代理机构；</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7</w:t>
      </w:r>
      <w:r>
        <w:rPr>
          <w:rFonts w:asciiTheme="majorEastAsia" w:eastAsiaTheme="majorEastAsia" w:hAnsiTheme="majorEastAsia" w:cstheme="majorEastAsia" w:hint="eastAsia"/>
          <w:szCs w:val="21"/>
        </w:rPr>
        <w:t>）联合体中标后，联合体各方应当共同与采购人签订合同，就中标项目向采购人承担连带责任；</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8</w:t>
      </w:r>
      <w:r>
        <w:rPr>
          <w:rFonts w:asciiTheme="majorEastAsia" w:eastAsiaTheme="majorEastAsia" w:hAnsiTheme="majorEastAsia" w:cstheme="majorEastAsia" w:hint="eastAsia"/>
          <w:szCs w:val="21"/>
        </w:rPr>
        <w:t>）以联合体形</w:t>
      </w:r>
      <w:r>
        <w:rPr>
          <w:rFonts w:asciiTheme="majorEastAsia" w:eastAsiaTheme="majorEastAsia" w:hAnsiTheme="majorEastAsia" w:cstheme="majorEastAsia" w:hint="eastAsia"/>
          <w:szCs w:val="21"/>
        </w:rPr>
        <w:t>式参加</w:t>
      </w:r>
      <w:r>
        <w:rPr>
          <w:rFonts w:asciiTheme="majorEastAsia" w:eastAsiaTheme="majorEastAsia" w:hAnsiTheme="majorEastAsia" w:cstheme="majorEastAsia" w:hint="eastAsia"/>
          <w:szCs w:val="21"/>
        </w:rPr>
        <w:t>政府采购活动的，联合体各方不得再单独参加或者与其</w:t>
      </w:r>
      <w:r>
        <w:rPr>
          <w:rFonts w:asciiTheme="majorEastAsia" w:eastAsiaTheme="majorEastAsia" w:hAnsiTheme="majorEastAsia" w:cstheme="majorEastAsia" w:hint="eastAsia"/>
          <w:szCs w:val="21"/>
        </w:rPr>
        <w:t>他供应</w:t>
      </w:r>
      <w:r>
        <w:rPr>
          <w:rFonts w:asciiTheme="majorEastAsia" w:eastAsiaTheme="majorEastAsia" w:hAnsiTheme="majorEastAsia" w:cstheme="majorEastAsia" w:hint="eastAsia"/>
          <w:szCs w:val="21"/>
        </w:rPr>
        <w:t>商另外组成联合体参加同一合同项下的政府采购活动，出现上述情况者，其投标和与此有关联合体、总包单位的投标将被拒绝</w:t>
      </w:r>
      <w:r>
        <w:rPr>
          <w:rFonts w:asciiTheme="majorEastAsia" w:eastAsiaTheme="majorEastAsia" w:hAnsiTheme="majorEastAsia" w:cstheme="majorEastAsia" w:hint="eastAsia"/>
          <w:szCs w:val="21"/>
        </w:rPr>
        <w:t>；</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9</w:t>
      </w:r>
      <w:r>
        <w:rPr>
          <w:rFonts w:asciiTheme="majorEastAsia" w:eastAsiaTheme="majorEastAsia" w:hAnsiTheme="majorEastAsia" w:cstheme="majorEastAsia" w:hint="eastAsia"/>
          <w:szCs w:val="21"/>
        </w:rPr>
        <w:t>）本通用条款中“投标人”一词亦指联合体各方，专用条款另有规定或说明的除外。</w:t>
      </w:r>
    </w:p>
    <w:p w:rsidR="008C0A47">
      <w:pPr>
        <w:spacing w:line="440" w:lineRule="exact"/>
        <w:ind w:firstLine="480" w:firstLineChars="200"/>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6</w:t>
      </w:r>
      <w:r>
        <w:rPr>
          <w:rFonts w:asciiTheme="majorEastAsia" w:eastAsiaTheme="majorEastAsia" w:hAnsiTheme="majorEastAsia" w:cstheme="majorEastAsia" w:hint="eastAsia"/>
          <w:b/>
          <w:szCs w:val="21"/>
        </w:rPr>
        <w:t>．政策导向</w:t>
      </w:r>
    </w:p>
    <w:p w:rsidR="008C0A47">
      <w:pPr>
        <w:spacing w:line="440" w:lineRule="exact"/>
        <w:ind w:firstLine="480" w:firstLineChars="200"/>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6.1 2014</w:t>
      </w:r>
      <w:r>
        <w:rPr>
          <w:rFonts w:asciiTheme="majorEastAsia" w:eastAsiaTheme="majorEastAsia" w:hAnsiTheme="majorEastAsia" w:cstheme="majorEastAsia" w:hint="eastAsia"/>
          <w:bCs/>
          <w:szCs w:val="21"/>
        </w:rPr>
        <w:t>年起，政府部门、国有企业在进行设备或工程采购时，应在招标文件中明确要求工程机械、装卸机械满足国家现阶段非道路移动机械用柴油机排放标准，并鼓励使用</w:t>
      </w:r>
      <w:r>
        <w:rPr>
          <w:rFonts w:asciiTheme="majorEastAsia" w:eastAsiaTheme="majorEastAsia" w:hAnsiTheme="majorEastAsia" w:cstheme="majorEastAsia" w:hint="eastAsia"/>
          <w:bCs/>
          <w:szCs w:val="21"/>
        </w:rPr>
        <w:t>LNG</w:t>
      </w:r>
      <w:r>
        <w:rPr>
          <w:rFonts w:asciiTheme="majorEastAsia" w:eastAsiaTheme="majorEastAsia" w:hAnsiTheme="majorEastAsia" w:cstheme="majorEastAsia" w:hint="eastAsia"/>
          <w:bCs/>
          <w:szCs w:val="21"/>
        </w:rPr>
        <w:t>或电动工程机械、装卸机械。</w:t>
      </w:r>
      <w:r>
        <w:rPr>
          <w:rFonts w:asciiTheme="majorEastAsia" w:eastAsiaTheme="majorEastAsia" w:hAnsiTheme="majorEastAsia" w:cstheme="majorEastAsia" w:hint="eastAsia"/>
          <w:bCs/>
          <w:szCs w:val="21"/>
        </w:rPr>
        <w:t>2015</w:t>
      </w:r>
      <w:r>
        <w:rPr>
          <w:rFonts w:asciiTheme="majorEastAsia" w:eastAsiaTheme="majorEastAsia" w:hAnsiTheme="majorEastAsia" w:cstheme="majorEastAsia" w:hint="eastAsia"/>
          <w:bCs/>
          <w:szCs w:val="21"/>
        </w:rPr>
        <w:t>年起，政府部门、国有企业采购设备或工程项目中选用</w:t>
      </w:r>
      <w:r>
        <w:rPr>
          <w:rFonts w:asciiTheme="majorEastAsia" w:eastAsiaTheme="majorEastAsia" w:hAnsiTheme="majorEastAsia" w:cstheme="majorEastAsia" w:hint="eastAsia"/>
          <w:bCs/>
          <w:szCs w:val="21"/>
        </w:rPr>
        <w:t>LNG</w:t>
      </w:r>
      <w:r>
        <w:rPr>
          <w:rFonts w:asciiTheme="majorEastAsia" w:eastAsiaTheme="majorEastAsia" w:hAnsiTheme="majorEastAsia" w:cstheme="majorEastAsia" w:hint="eastAsia"/>
          <w:bCs/>
          <w:szCs w:val="21"/>
        </w:rPr>
        <w:t>或电动工程机械、装卸机械的比例不低于</w:t>
      </w:r>
      <w:r>
        <w:rPr>
          <w:rFonts w:asciiTheme="majorEastAsia" w:eastAsiaTheme="majorEastAsia" w:hAnsiTheme="majorEastAsia" w:cstheme="majorEastAsia" w:hint="eastAsia"/>
          <w:bCs/>
          <w:szCs w:val="21"/>
        </w:rPr>
        <w:t>30%</w:t>
      </w:r>
      <w:r>
        <w:rPr>
          <w:rFonts w:asciiTheme="majorEastAsia" w:eastAsiaTheme="majorEastAsia" w:hAnsiTheme="majorEastAsia" w:cstheme="majorEastAsia" w:hint="eastAsia"/>
          <w:bCs/>
          <w:szCs w:val="21"/>
        </w:rPr>
        <w:t>。</w:t>
      </w:r>
    </w:p>
    <w:p w:rsidR="008C0A47">
      <w:pPr>
        <w:spacing w:line="440" w:lineRule="exact"/>
        <w:ind w:firstLine="405"/>
        <w:rPr>
          <w:rFonts w:asciiTheme="majorEastAsia" w:eastAsiaTheme="majorEastAsia" w:hAnsiTheme="majorEastAsia" w:cstheme="majorEastAsia"/>
          <w:szCs w:val="21"/>
          <w:shd w:val="clear" w:color="auto" w:fill="FFFFFF"/>
        </w:rPr>
      </w:pPr>
      <w:r>
        <w:rPr>
          <w:rFonts w:asciiTheme="majorEastAsia" w:eastAsiaTheme="majorEastAsia" w:hAnsiTheme="majorEastAsia" w:cstheme="majorEastAsia" w:hint="eastAsia"/>
          <w:szCs w:val="21"/>
          <w:shd w:val="clear" w:color="auto" w:fill="FFFFFF"/>
        </w:rPr>
        <w:t xml:space="preserve">6.2 </w:t>
      </w:r>
      <w:r>
        <w:rPr>
          <w:rFonts w:asciiTheme="majorEastAsia" w:eastAsiaTheme="majorEastAsia" w:hAnsiTheme="majorEastAsia" w:cstheme="majorEastAsia" w:hint="eastAsia"/>
          <w:szCs w:val="21"/>
        </w:rPr>
        <w:t>根据《深圳市人民政府关于印发深圳市贯彻落实守信联合激励和失信联合惩戒制度实施方案的通知》（深府〔</w:t>
      </w:r>
      <w:r>
        <w:rPr>
          <w:rFonts w:asciiTheme="majorEastAsia" w:eastAsiaTheme="majorEastAsia" w:hAnsiTheme="majorEastAsia" w:cstheme="majorEastAsia" w:hint="eastAsia"/>
          <w:szCs w:val="21"/>
        </w:rPr>
        <w:t>2017</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57</w:t>
      </w:r>
      <w:r>
        <w:rPr>
          <w:rFonts w:asciiTheme="majorEastAsia" w:eastAsiaTheme="majorEastAsia" w:hAnsiTheme="majorEastAsia" w:cstheme="majorEastAsia" w:hint="eastAsia"/>
          <w:szCs w:val="21"/>
        </w:rPr>
        <w:t>号）等文件要求，对列入失信“黑名单”的供应</w:t>
      </w:r>
      <w:r>
        <w:rPr>
          <w:rFonts w:asciiTheme="majorEastAsia" w:eastAsiaTheme="majorEastAsia" w:hAnsiTheme="majorEastAsia" w:cstheme="majorEastAsia" w:hint="eastAsia"/>
          <w:szCs w:val="21"/>
        </w:rPr>
        <w:t>商限制</w:t>
      </w:r>
      <w:r>
        <w:rPr>
          <w:rFonts w:asciiTheme="majorEastAsia" w:eastAsiaTheme="majorEastAsia" w:hAnsiTheme="majorEastAsia" w:cstheme="majorEastAsia" w:hint="eastAsia"/>
          <w:szCs w:val="21"/>
        </w:rPr>
        <w:t>参与政府采购。</w:t>
      </w:r>
    </w:p>
    <w:p w:rsidR="008C0A47">
      <w:pPr>
        <w:spacing w:line="440" w:lineRule="exact"/>
        <w:ind w:firstLine="480" w:firstLineChars="200"/>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 xml:space="preserve">7. </w:t>
      </w:r>
      <w:r>
        <w:rPr>
          <w:rFonts w:asciiTheme="majorEastAsia" w:eastAsiaTheme="majorEastAsia" w:hAnsiTheme="majorEastAsia" w:cstheme="majorEastAsia" w:hint="eastAsia"/>
          <w:b/>
          <w:szCs w:val="21"/>
        </w:rPr>
        <w:t>本项目若涉及采购货物，则合格的货物及相应服务应满足以下要求：</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7.1  </w:t>
      </w:r>
      <w:r>
        <w:rPr>
          <w:rFonts w:asciiTheme="majorEastAsia" w:eastAsiaTheme="majorEastAsia" w:hAnsiTheme="majorEastAsia" w:cstheme="majorEastAsia" w:hint="eastAsia"/>
          <w:szCs w:val="21"/>
        </w:rPr>
        <w:t>必须是全新、未使用过的原装合格正品（包括零部件），如安装或配置了软件的，须为正版软件。</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7.2  </w:t>
      </w:r>
      <w:r>
        <w:rPr>
          <w:rFonts w:asciiTheme="majorEastAsia" w:eastAsiaTheme="majorEastAsia" w:hAnsiTheme="majorEastAsia" w:cstheme="majorEastAsia" w:hint="eastAsia"/>
          <w:szCs w:val="21"/>
        </w:rPr>
        <w:t>国产的货物及其有关服务必须符合中华人民共和国的设计、制造生产标准及行业标准。招标公告有其他要求的，亦应符合其要求。</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7.3  </w:t>
      </w:r>
      <w:r>
        <w:rPr>
          <w:rFonts w:asciiTheme="majorEastAsia" w:eastAsiaTheme="majorEastAsia" w:hAnsiTheme="majorEastAsia" w:cstheme="majorEastAsia" w:hint="eastAsia"/>
          <w:szCs w:val="21"/>
        </w:rPr>
        <w:t>进口货物及其有关服务必须符合原产地和</w:t>
      </w:r>
      <w:r>
        <w:rPr>
          <w:rFonts w:asciiTheme="majorEastAsia" w:eastAsiaTheme="majorEastAsia" w:hAnsiTheme="majorEastAsia" w:cstheme="majorEastAsia" w:hint="eastAsia"/>
          <w:szCs w:val="21"/>
        </w:rPr>
        <w:t>中华人民共和国的设计、制造生产标准及行业标准。进口的货物必须具有合法的进口手续和途径，并通过中华人民共和国商检部门检验。招标公告有其他要求的，亦应符合其要求。</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7.4  </w:t>
      </w:r>
      <w:r>
        <w:rPr>
          <w:rFonts w:asciiTheme="majorEastAsia" w:eastAsiaTheme="majorEastAsia" w:hAnsiTheme="majorEastAsia" w:cstheme="majorEastAsia" w:hint="eastAsia"/>
          <w:szCs w:val="21"/>
        </w:rPr>
        <w:t>投标人应保证，其所提供的货物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投标人应承担全部责任。</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7.5  </w:t>
      </w:r>
      <w:r>
        <w:rPr>
          <w:rFonts w:asciiTheme="majorEastAsia" w:eastAsiaTheme="majorEastAsia" w:hAnsiTheme="majorEastAsia" w:cstheme="majorEastAsia" w:hint="eastAsia"/>
          <w:szCs w:val="21"/>
        </w:rPr>
        <w:t>投标人应保证，其所提供的货物应具有行政主管部门颁发的资</w:t>
      </w:r>
      <w:r>
        <w:rPr>
          <w:rFonts w:asciiTheme="majorEastAsia" w:eastAsiaTheme="majorEastAsia" w:hAnsiTheme="majorEastAsia" w:cstheme="majorEastAsia" w:hint="eastAsia"/>
          <w:szCs w:val="21"/>
        </w:rPr>
        <w:t>质证书或国家质量监督部门的产品《检验报告》。设备到货验收时，还必须提供设备的产品合格证、质量保证文件。若中标后，除非另有约定，投标人必须按合同规定完成设备的安装，并达到验收标准。</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7.6  </w:t>
      </w:r>
      <w:r>
        <w:rPr>
          <w:rFonts w:asciiTheme="majorEastAsia" w:eastAsiaTheme="majorEastAsia" w:hAnsiTheme="majorEastAsia" w:cstheme="majorEastAsia" w:hint="eastAsia"/>
          <w:szCs w:val="21"/>
        </w:rPr>
        <w:t>对工期的要求：投标人在投标时对其所投项目应提交交货进度、交货计划等，在合同规定的时间内完工验收。</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7.7  </w:t>
      </w:r>
      <w:r>
        <w:rPr>
          <w:rFonts w:asciiTheme="majorEastAsia" w:eastAsiaTheme="majorEastAsia" w:hAnsiTheme="majorEastAsia" w:cstheme="majorEastAsia" w:hint="eastAsia"/>
          <w:szCs w:val="21"/>
        </w:rPr>
        <w:t>投标人必须承担的设备运输、安装调试、验收检测和提供设备操作说明书、图纸等其他相关及类似的义务。</w:t>
      </w:r>
    </w:p>
    <w:p w:rsidR="008C0A47">
      <w:pPr>
        <w:spacing w:line="440" w:lineRule="exact"/>
        <w:ind w:firstLine="480" w:firstLineChars="200"/>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8</w:t>
      </w:r>
      <w:r>
        <w:rPr>
          <w:rFonts w:asciiTheme="majorEastAsia" w:eastAsiaTheme="majorEastAsia" w:hAnsiTheme="majorEastAsia" w:cstheme="majorEastAsia" w:hint="eastAsia"/>
          <w:b/>
          <w:szCs w:val="21"/>
        </w:rPr>
        <w:t>．投标费用</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不论投标结果如何，投标人应承担其编制投标文件与递交投标文件所涉及的一切费用。</w:t>
      </w:r>
    </w:p>
    <w:p w:rsidR="008C0A47">
      <w:pPr>
        <w:spacing w:line="440" w:lineRule="exact"/>
        <w:ind w:firstLine="480" w:firstLineChars="200"/>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9</w:t>
      </w:r>
      <w:r>
        <w:rPr>
          <w:rFonts w:asciiTheme="majorEastAsia" w:eastAsiaTheme="majorEastAsia" w:hAnsiTheme="majorEastAsia" w:cstheme="majorEastAsia" w:hint="eastAsia"/>
          <w:b/>
          <w:szCs w:val="21"/>
        </w:rPr>
        <w:t>．踏勘现场</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9.1</w:t>
      </w:r>
      <w:r>
        <w:rPr>
          <w:rFonts w:asciiTheme="majorEastAsia" w:eastAsiaTheme="majorEastAsia" w:hAnsiTheme="majorEastAsia" w:cstheme="majorEastAsia" w:hint="eastAsia"/>
          <w:szCs w:val="21"/>
        </w:rPr>
        <w:t>如有需</w:t>
      </w:r>
      <w:r>
        <w:rPr>
          <w:rFonts w:asciiTheme="majorEastAsia" w:eastAsiaTheme="majorEastAsia" w:hAnsiTheme="majorEastAsia" w:cstheme="majorEastAsia" w:hint="eastAsia"/>
          <w:szCs w:val="21"/>
        </w:rPr>
        <w:t>要（详见专用条款），采购代理机构或采购人将组织投标人对项目现场及周围环境进行踏勘，以便投标人获取有关编制投标文件和签署合同所需的资料。踏勘现场所发生的费用由投标人自行承担。投标人应按招标公告所约定的时间、地点踏勘现场。</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9.2</w:t>
      </w:r>
      <w:r>
        <w:rPr>
          <w:rFonts w:asciiTheme="majorEastAsia" w:eastAsiaTheme="majorEastAsia" w:hAnsiTheme="majorEastAsia" w:cstheme="majorEastAsia" w:hint="eastAsia"/>
          <w:szCs w:val="21"/>
        </w:rPr>
        <w:t>投标人及其人员经过采购人的允许，可以进入采购人的项目现场踏勘。若招标文件要求投标人于统一时间地点踏勘现场的，投标人应当按时前往。</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9.3</w:t>
      </w:r>
      <w:r>
        <w:rPr>
          <w:rFonts w:asciiTheme="majorEastAsia" w:eastAsiaTheme="majorEastAsia" w:hAnsiTheme="majorEastAsia" w:cstheme="majorEastAsia" w:hint="eastAsia"/>
          <w:szCs w:val="21"/>
        </w:rPr>
        <w:t>采购人必须通过采购代理机构向投标人提供有关现场的资料和数据。</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9.4</w:t>
      </w:r>
      <w:r>
        <w:rPr>
          <w:rFonts w:asciiTheme="majorEastAsia" w:eastAsiaTheme="majorEastAsia" w:hAnsiTheme="majorEastAsia" w:cstheme="majorEastAsia" w:hint="eastAsia"/>
          <w:szCs w:val="21"/>
        </w:rPr>
        <w:t>任何人或任何组织在踏勘现场时向投标人提交的任何书面资料或口头承诺，未经采购代理机构</w:t>
      </w:r>
      <w:r>
        <w:rPr>
          <w:rFonts w:asciiTheme="majorEastAsia" w:eastAsiaTheme="majorEastAsia" w:hAnsiTheme="majorEastAsia" w:cstheme="majorEastAsia" w:hint="eastAsia"/>
          <w:szCs w:val="21"/>
        </w:rPr>
        <w:t>在网上发布或书面通知，均作无效处理。</w:t>
      </w:r>
    </w:p>
    <w:p w:rsidR="008C0A47">
      <w:pPr>
        <w:spacing w:line="440" w:lineRule="exact"/>
        <w:ind w:firstLine="480" w:firstLineChars="200"/>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10</w:t>
      </w:r>
      <w:r>
        <w:rPr>
          <w:rFonts w:asciiTheme="majorEastAsia" w:eastAsiaTheme="majorEastAsia" w:hAnsiTheme="majorEastAsia" w:cstheme="majorEastAsia" w:hint="eastAsia"/>
          <w:b/>
          <w:szCs w:val="21"/>
        </w:rPr>
        <w:t>．招标答疑</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10.1</w:t>
      </w:r>
      <w:r>
        <w:rPr>
          <w:rFonts w:asciiTheme="majorEastAsia" w:eastAsiaTheme="majorEastAsia" w:hAnsiTheme="majorEastAsia" w:cstheme="majorEastAsia" w:hint="eastAsia"/>
          <w:szCs w:val="21"/>
        </w:rPr>
        <w:t>招标答疑的目的是澄清、解答投标人在查阅招标文件后或现场踏勘中可能提出的与投标有关的疑问或询问。</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10.2</w:t>
      </w:r>
      <w:r>
        <w:rPr>
          <w:rFonts w:asciiTheme="majorEastAsia" w:eastAsiaTheme="majorEastAsia" w:hAnsiTheme="majorEastAsia" w:cstheme="majorEastAsia" w:hint="eastAsia"/>
          <w:szCs w:val="21"/>
        </w:rPr>
        <w:t>投标人如对招标文件内容有疑问，必须在招标文件规定的答疑截止时间前以网上提问形式提交采购代理机构。</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10.3</w:t>
      </w:r>
      <w:r>
        <w:rPr>
          <w:rFonts w:asciiTheme="majorEastAsia" w:eastAsiaTheme="majorEastAsia" w:hAnsiTheme="majorEastAsia" w:cstheme="majorEastAsia" w:hint="eastAsia"/>
          <w:szCs w:val="21"/>
        </w:rPr>
        <w:t>采购代理机构对疑问所做出的澄清和解答，以书面答复（包括网站发布信息）为准。答疑纪要的有效性规定按照本通用条款第</w:t>
      </w:r>
      <w:r>
        <w:rPr>
          <w:rFonts w:asciiTheme="majorEastAsia" w:eastAsiaTheme="majorEastAsia" w:hAnsiTheme="majorEastAsia" w:cstheme="majorEastAsia" w:hint="eastAsia"/>
          <w:szCs w:val="21"/>
        </w:rPr>
        <w:t>13.3</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13.4</w:t>
      </w:r>
      <w:r>
        <w:rPr>
          <w:rFonts w:asciiTheme="majorEastAsia" w:eastAsiaTheme="majorEastAsia" w:hAnsiTheme="majorEastAsia" w:cstheme="majorEastAsia" w:hint="eastAsia"/>
          <w:szCs w:val="21"/>
        </w:rPr>
        <w:t>款规定执行。</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10.4</w:t>
      </w:r>
      <w:r>
        <w:rPr>
          <w:rFonts w:asciiTheme="majorEastAsia" w:eastAsiaTheme="majorEastAsia" w:hAnsiTheme="majorEastAsia" w:cstheme="majorEastAsia" w:hint="eastAsia"/>
          <w:szCs w:val="21"/>
        </w:rPr>
        <w:t>如采购代理机构认为有必要组织现场答疑会，投标人应按照招标文件规定的时间或采购代理机构另行书</w:t>
      </w:r>
      <w:r>
        <w:rPr>
          <w:rFonts w:asciiTheme="majorEastAsia" w:eastAsiaTheme="majorEastAsia" w:hAnsiTheme="majorEastAsia" w:cstheme="majorEastAsia" w:hint="eastAsia"/>
          <w:szCs w:val="21"/>
        </w:rPr>
        <w:t>面通知（包括网站发布的通知）的时间和地点，参与现场答疑会。</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10.5</w:t>
      </w:r>
      <w:r>
        <w:rPr>
          <w:rFonts w:asciiTheme="majorEastAsia" w:eastAsiaTheme="majorEastAsia" w:hAnsiTheme="majorEastAsia" w:cstheme="majorEastAsia" w:hint="eastAsia"/>
          <w:szCs w:val="21"/>
        </w:rPr>
        <w:t>未参与招标答疑不作为否定投标人资格的理由。</w:t>
      </w:r>
    </w:p>
    <w:p w:rsidR="008C0A47">
      <w:pPr>
        <w:pStyle w:val="Heading2"/>
        <w:numPr>
          <w:ilvl w:val="0"/>
          <w:numId w:val="2"/>
        </w:numPr>
        <w:spacing w:before="120" w:after="120" w:line="440" w:lineRule="exact"/>
        <w:ind w:left="482" w:hanging="482"/>
        <w:rPr>
          <w:rFonts w:ascii="微软雅黑" w:eastAsia="微软雅黑" w:hAnsi="微软雅黑" w:cs="微软雅黑"/>
          <w:b/>
          <w:bCs/>
          <w:szCs w:val="24"/>
        </w:rPr>
      </w:pPr>
      <w:r>
        <w:rPr>
          <w:rFonts w:ascii="微软雅黑" w:eastAsia="微软雅黑" w:hAnsi="微软雅黑" w:cs="微软雅黑" w:hint="eastAsia"/>
          <w:b/>
          <w:bCs/>
          <w:szCs w:val="24"/>
        </w:rPr>
        <w:t xml:space="preserve">  </w:t>
      </w:r>
      <w:r>
        <w:rPr>
          <w:rFonts w:ascii="微软雅黑" w:eastAsia="微软雅黑" w:hAnsi="微软雅黑" w:cs="微软雅黑" w:hint="eastAsia"/>
          <w:b/>
          <w:bCs/>
          <w:szCs w:val="24"/>
        </w:rPr>
        <w:t>招标文件</w:t>
      </w:r>
    </w:p>
    <w:p w:rsidR="008C0A47">
      <w:pPr>
        <w:spacing w:line="440" w:lineRule="exact"/>
        <w:ind w:firstLine="480" w:firstLineChars="200"/>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11</w:t>
      </w:r>
      <w:r>
        <w:rPr>
          <w:rFonts w:asciiTheme="majorEastAsia" w:eastAsiaTheme="majorEastAsia" w:hAnsiTheme="majorEastAsia" w:cstheme="majorEastAsia" w:hint="eastAsia"/>
          <w:b/>
          <w:szCs w:val="21"/>
        </w:rPr>
        <w:t>．招标文件的编制与组成</w:t>
      </w:r>
    </w:p>
    <w:p w:rsidR="008C0A47">
      <w:pPr>
        <w:snapToGrid w:val="0"/>
        <w:spacing w:line="44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11.1</w:t>
      </w:r>
      <w:r>
        <w:rPr>
          <w:rFonts w:asciiTheme="majorEastAsia" w:eastAsiaTheme="majorEastAsia" w:hAnsiTheme="majorEastAsia" w:cstheme="majorEastAsia" w:hint="eastAsia"/>
          <w:szCs w:val="21"/>
        </w:rPr>
        <w:t>招标文件除以下内容外，采购代理机构在招标（或谈判）期间发出的答疑、澄清或修改等相关公告或通知内容，均是招标文件的组成部分，对投标人起约束作用；</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招标文件包括下列内容：</w:t>
      </w:r>
    </w:p>
    <w:p w:rsidR="008C0A47">
      <w:pPr>
        <w:spacing w:line="440" w:lineRule="exact"/>
        <w:ind w:firstLine="480" w:firstLineChars="200"/>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第一册</w:t>
      </w:r>
      <w:r>
        <w:rPr>
          <w:rFonts w:asciiTheme="majorEastAsia" w:eastAsiaTheme="majorEastAsia" w:hAnsiTheme="majorEastAsia" w:cstheme="majorEastAsia" w:hint="eastAsia"/>
          <w:b/>
          <w:szCs w:val="21"/>
        </w:rPr>
        <w:t xml:space="preserve">  </w:t>
      </w:r>
      <w:r>
        <w:rPr>
          <w:rFonts w:asciiTheme="majorEastAsia" w:eastAsiaTheme="majorEastAsia" w:hAnsiTheme="majorEastAsia" w:cstheme="majorEastAsia" w:hint="eastAsia"/>
          <w:b/>
          <w:szCs w:val="21"/>
        </w:rPr>
        <w:t>专用条款</w:t>
      </w:r>
    </w:p>
    <w:p w:rsidR="008C0A47">
      <w:pPr>
        <w:spacing w:line="440" w:lineRule="exact"/>
        <w:ind w:left="1234" w:firstLine="240" w:leftChars="514" w:firstLineChars="100"/>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关键信息</w:t>
      </w:r>
    </w:p>
    <w:p w:rsidR="008C0A47">
      <w:pPr>
        <w:spacing w:line="440" w:lineRule="exact"/>
        <w:ind w:left="1234" w:firstLine="240" w:leftChars="514" w:firstLineChars="100"/>
        <w:rPr>
          <w:rFonts w:asciiTheme="majorEastAsia" w:eastAsiaTheme="majorEastAsia" w:hAnsiTheme="majorEastAsia" w:cstheme="majorEastAsia"/>
          <w:bCs/>
          <w:szCs w:val="21"/>
        </w:rPr>
      </w:pPr>
      <w:r>
        <w:rPr>
          <w:rFonts w:asciiTheme="majorEastAsia" w:eastAsiaTheme="majorEastAsia" w:hAnsiTheme="majorEastAsia" w:cstheme="majorEastAsia" w:hint="eastAsia"/>
          <w:szCs w:val="21"/>
        </w:rPr>
        <w:t>第一章</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招标公告</w:t>
      </w:r>
    </w:p>
    <w:p w:rsidR="008C0A47">
      <w:pPr>
        <w:spacing w:line="440" w:lineRule="exact"/>
        <w:ind w:left="1234" w:firstLine="240" w:leftChars="514" w:firstLineChars="100"/>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第二章</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用户需求书</w:t>
      </w:r>
    </w:p>
    <w:p w:rsidR="008C0A47">
      <w:pPr>
        <w:spacing w:line="440" w:lineRule="exact"/>
        <w:ind w:left="1234" w:firstLine="240" w:leftChars="514" w:firstLineChars="100"/>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第三章</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投标文件格式、附件</w:t>
      </w:r>
    </w:p>
    <w:p w:rsidR="008C0A47">
      <w:pPr>
        <w:spacing w:line="440" w:lineRule="exact"/>
        <w:ind w:left="1234" w:firstLine="240" w:leftChars="514" w:firstLineChars="100"/>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第四章</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合同条款及格式</w:t>
      </w:r>
    </w:p>
    <w:p w:rsidR="008C0A47">
      <w:pPr>
        <w:spacing w:line="440" w:lineRule="exact"/>
        <w:ind w:left="1234" w:firstLine="240" w:leftChars="514" w:firstLineChars="100"/>
        <w:rPr>
          <w:rFonts w:asciiTheme="majorEastAsia" w:eastAsiaTheme="majorEastAsia" w:hAnsiTheme="majorEastAsia" w:cstheme="majorEastAsia"/>
          <w:szCs w:val="21"/>
        </w:rPr>
      </w:pPr>
      <w:r>
        <w:rPr>
          <w:rFonts w:asciiTheme="majorEastAsia" w:eastAsiaTheme="majorEastAsia" w:hAnsiTheme="majorEastAsia" w:cstheme="majorEastAsia" w:hint="eastAsia"/>
          <w:bCs/>
          <w:szCs w:val="21"/>
        </w:rPr>
        <w:t>第五章</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招标代理服</w:t>
      </w:r>
      <w:r>
        <w:rPr>
          <w:rFonts w:asciiTheme="majorEastAsia" w:eastAsiaTheme="majorEastAsia" w:hAnsiTheme="majorEastAsia" w:cstheme="majorEastAsia" w:hint="eastAsia"/>
          <w:szCs w:val="21"/>
        </w:rPr>
        <w:t>务费</w:t>
      </w:r>
    </w:p>
    <w:p w:rsidR="008C0A47">
      <w:pPr>
        <w:spacing w:line="440" w:lineRule="exact"/>
        <w:ind w:firstLine="480" w:firstLineChars="200"/>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第二册</w:t>
      </w:r>
      <w:r>
        <w:rPr>
          <w:rFonts w:asciiTheme="majorEastAsia" w:eastAsiaTheme="majorEastAsia" w:hAnsiTheme="majorEastAsia" w:cstheme="majorEastAsia" w:hint="eastAsia"/>
          <w:b/>
          <w:szCs w:val="21"/>
        </w:rPr>
        <w:t xml:space="preserve">  </w:t>
      </w:r>
      <w:r>
        <w:rPr>
          <w:rFonts w:asciiTheme="majorEastAsia" w:eastAsiaTheme="majorEastAsia" w:hAnsiTheme="majorEastAsia" w:cstheme="majorEastAsia" w:hint="eastAsia"/>
          <w:b/>
          <w:szCs w:val="21"/>
        </w:rPr>
        <w:t>通用条款</w:t>
      </w:r>
    </w:p>
    <w:p w:rsidR="008C0A47">
      <w:pPr>
        <w:spacing w:line="440" w:lineRule="exact"/>
        <w:ind w:left="1234" w:firstLine="240" w:leftChars="514" w:firstLineChars="100"/>
        <w:rPr>
          <w:rFonts w:asciiTheme="majorEastAsia" w:eastAsiaTheme="majorEastAsia" w:hAnsiTheme="majorEastAsia" w:cstheme="majorEastAsia"/>
          <w:bCs/>
          <w:szCs w:val="21"/>
        </w:rPr>
      </w:pPr>
      <w:r>
        <w:rPr>
          <w:rFonts w:asciiTheme="majorEastAsia" w:eastAsiaTheme="majorEastAsia" w:hAnsiTheme="majorEastAsia" w:cstheme="majorEastAsia" w:hint="eastAsia"/>
          <w:szCs w:val="21"/>
        </w:rPr>
        <w:t>第一</w:t>
      </w:r>
      <w:r>
        <w:rPr>
          <w:rFonts w:asciiTheme="majorEastAsia" w:eastAsiaTheme="majorEastAsia" w:hAnsiTheme="majorEastAsia" w:cstheme="majorEastAsia" w:hint="eastAsia"/>
          <w:bCs/>
          <w:szCs w:val="21"/>
        </w:rPr>
        <w:t>章</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总则</w:t>
      </w:r>
    </w:p>
    <w:p w:rsidR="008C0A47">
      <w:pPr>
        <w:spacing w:line="440" w:lineRule="exact"/>
        <w:ind w:left="1234" w:firstLine="240" w:leftChars="514" w:firstLineChars="100"/>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第二章</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招标文件</w:t>
      </w:r>
    </w:p>
    <w:p w:rsidR="008C0A47">
      <w:pPr>
        <w:spacing w:line="440" w:lineRule="exact"/>
        <w:ind w:left="1234" w:firstLine="240" w:leftChars="514" w:firstLineChars="100"/>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第三章</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投标文件的编制</w:t>
      </w:r>
    </w:p>
    <w:p w:rsidR="008C0A47">
      <w:pPr>
        <w:spacing w:line="440" w:lineRule="exact"/>
        <w:ind w:left="1234" w:firstLine="240" w:leftChars="514" w:firstLineChars="100"/>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第四章</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投标文件的递交</w:t>
      </w:r>
    </w:p>
    <w:p w:rsidR="008C0A47">
      <w:pPr>
        <w:spacing w:line="440" w:lineRule="exact"/>
        <w:ind w:left="1234" w:firstLine="240" w:leftChars="514" w:firstLineChars="100"/>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第五章</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开标</w:t>
      </w:r>
    </w:p>
    <w:p w:rsidR="008C0A47">
      <w:pPr>
        <w:spacing w:line="440" w:lineRule="exact"/>
        <w:ind w:left="1234" w:firstLine="240" w:leftChars="514" w:firstLineChars="100"/>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第六章</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评标要求</w:t>
      </w:r>
    </w:p>
    <w:p w:rsidR="008C0A47">
      <w:pPr>
        <w:spacing w:line="440" w:lineRule="exact"/>
        <w:ind w:left="1234" w:firstLine="240" w:leftChars="514" w:firstLineChars="100"/>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第七章</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评标程序及评标方法</w:t>
      </w:r>
    </w:p>
    <w:p w:rsidR="008C0A47">
      <w:pPr>
        <w:spacing w:line="440" w:lineRule="exact"/>
        <w:ind w:left="1234" w:firstLine="240" w:leftChars="514" w:firstLineChars="100"/>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第八章</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定标及公示</w:t>
      </w:r>
    </w:p>
    <w:p w:rsidR="008C0A47">
      <w:pPr>
        <w:spacing w:line="440" w:lineRule="exact"/>
        <w:ind w:left="1234" w:firstLine="240" w:leftChars="514" w:firstLineChars="100"/>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第九章</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公开招标失败的后续处理</w:t>
      </w:r>
    </w:p>
    <w:p w:rsidR="008C0A47">
      <w:pPr>
        <w:spacing w:line="440" w:lineRule="exact"/>
        <w:ind w:left="1234" w:firstLine="240" w:leftChars="514" w:firstLineChars="100"/>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第十章</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合同的授予与备案</w:t>
      </w:r>
    </w:p>
    <w:p w:rsidR="008C0A47">
      <w:pPr>
        <w:spacing w:line="440" w:lineRule="exact"/>
        <w:ind w:left="1234" w:firstLine="240" w:leftChars="514" w:firstLineChars="100"/>
        <w:rPr>
          <w:rFonts w:asciiTheme="majorEastAsia" w:eastAsiaTheme="majorEastAsia" w:hAnsiTheme="majorEastAsia" w:cstheme="majorEastAsia"/>
          <w:szCs w:val="21"/>
        </w:rPr>
      </w:pPr>
      <w:r>
        <w:rPr>
          <w:rFonts w:asciiTheme="majorEastAsia" w:eastAsiaTheme="majorEastAsia" w:hAnsiTheme="majorEastAsia" w:cstheme="majorEastAsia" w:hint="eastAsia"/>
          <w:bCs/>
          <w:szCs w:val="21"/>
        </w:rPr>
        <w:t>第十一章</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质疑处理</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11.2 </w:t>
      </w:r>
      <w:r>
        <w:rPr>
          <w:rFonts w:asciiTheme="majorEastAsia" w:eastAsiaTheme="majorEastAsia" w:hAnsiTheme="majorEastAsia" w:cstheme="majorEastAsia" w:hint="eastAsia"/>
          <w:szCs w:val="21"/>
        </w:rPr>
        <w:t>投标人下载招标文件后，应仔细检查招标文件的所有内容，如有疑问应在答疑截止时间之前向采购代理机构提出，否则，由此引起的投标损失自负；投标人同时应认真审阅招标文件所有的事项、格式、条款和规范要求等，如果投标人的投标文件未按招标文件要求提交全部资料或者投</w:t>
      </w:r>
      <w:r>
        <w:rPr>
          <w:rFonts w:asciiTheme="majorEastAsia" w:eastAsiaTheme="majorEastAsia" w:hAnsiTheme="majorEastAsia" w:cstheme="majorEastAsia" w:hint="eastAsia"/>
          <w:szCs w:val="21"/>
        </w:rPr>
        <w:t>标文件未对招标文件做出实质性响应，其风险由投标人自行承担。</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11.3</w:t>
      </w:r>
      <w:r>
        <w:rPr>
          <w:rFonts w:asciiTheme="majorEastAsia" w:eastAsiaTheme="majorEastAsia" w:hAnsiTheme="majorEastAsia" w:cstheme="majorEastAsia" w:hint="eastAsia"/>
          <w:szCs w:val="21"/>
        </w:rPr>
        <w:t>任何人或任何组织向投标人提交的任何书面或口头资料，未经采购代理机构在网上发布或书面通知，均作无效处理，不得作为招标文件的组成部分。采购代理机构对投标人由此而做出的推论、理解和结论概不负责。</w:t>
      </w:r>
    </w:p>
    <w:p w:rsidR="008C0A47">
      <w:pPr>
        <w:spacing w:line="440" w:lineRule="exact"/>
        <w:ind w:firstLine="480" w:firstLineChars="200"/>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12</w:t>
      </w:r>
      <w:r>
        <w:rPr>
          <w:rFonts w:asciiTheme="majorEastAsia" w:eastAsiaTheme="majorEastAsia" w:hAnsiTheme="majorEastAsia" w:cstheme="majorEastAsia" w:hint="eastAsia"/>
          <w:b/>
          <w:szCs w:val="21"/>
        </w:rPr>
        <w:t>．招标文件的澄清</w:t>
      </w:r>
    </w:p>
    <w:p w:rsidR="008C0A47">
      <w:pPr>
        <w:snapToGrid w:val="0"/>
        <w:spacing w:line="44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12.1</w:t>
      </w:r>
      <w:r>
        <w:rPr>
          <w:rFonts w:asciiTheme="majorEastAsia" w:eastAsiaTheme="majorEastAsia" w:hAnsiTheme="majorEastAsia" w:cstheme="majorEastAsia" w:hint="eastAsia"/>
          <w:szCs w:val="21"/>
        </w:rPr>
        <w:t>投标人如对招标文件内容有疑问，必须在招标文件规定的答疑截止时间前以网上提问形式提交给采购代理机构。不论是采购代理机构根据需要主动对招标文件进行必要的澄清或是根据投标人的要求对招标文件做出澄清，采购代理机构都将在投标截止日期前以书面形式（包括采购代理机构网站公开发布方式）答复或发送给所有投标人。澄清纪要作为招标文件的组成部分，对投标人起约束作用；</w:t>
      </w:r>
    </w:p>
    <w:p w:rsidR="008C0A47">
      <w:pPr>
        <w:snapToGrid w:val="0"/>
        <w:spacing w:line="44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12.2</w:t>
      </w:r>
      <w:r>
        <w:rPr>
          <w:rFonts w:asciiTheme="majorEastAsia" w:eastAsiaTheme="majorEastAsia" w:hAnsiTheme="majorEastAsia" w:cstheme="majorEastAsia" w:hint="eastAsia"/>
          <w:szCs w:val="21"/>
        </w:rPr>
        <w:t>对于没有提出澄清又参与了该项目投标的供应商将被视为完全认同该招标文件（含澄清纪要），投标截止期后不再受理针对招标文件的相关质疑或投诉。</w:t>
      </w:r>
    </w:p>
    <w:p w:rsidR="008C0A47">
      <w:pPr>
        <w:snapToGrid w:val="0"/>
        <w:spacing w:line="44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12.3 </w:t>
      </w:r>
      <w:r>
        <w:rPr>
          <w:rFonts w:asciiTheme="majorEastAsia" w:eastAsiaTheme="majorEastAsia" w:hAnsiTheme="majorEastAsia" w:cstheme="majorEastAsia" w:hint="eastAsia"/>
          <w:szCs w:val="21"/>
        </w:rPr>
        <w:t>对</w:t>
      </w:r>
      <w:r>
        <w:rPr>
          <w:rFonts w:asciiTheme="majorEastAsia" w:eastAsiaTheme="majorEastAsia" w:hAnsiTheme="majorEastAsia" w:cstheme="majorEastAsia" w:hint="eastAsia"/>
          <w:szCs w:val="21"/>
        </w:rPr>
        <w:t>招标文件中描述有</w:t>
      </w:r>
      <w:r>
        <w:rPr>
          <w:rFonts w:asciiTheme="majorEastAsia" w:eastAsiaTheme="majorEastAsia" w:hAnsiTheme="majorEastAsia" w:cstheme="majorEastAsia" w:hint="eastAsia"/>
          <w:szCs w:val="21"/>
        </w:rPr>
        <w:t>歧</w:t>
      </w:r>
      <w:r>
        <w:rPr>
          <w:rFonts w:asciiTheme="majorEastAsia" w:eastAsiaTheme="majorEastAsia" w:hAnsiTheme="majorEastAsia" w:cstheme="majorEastAsia" w:hint="eastAsia"/>
          <w:szCs w:val="21"/>
        </w:rPr>
        <w:t>意或前后不一致的地方，评审委员会有权进行评判，但对同一条款的评判应适用于每个投标人。</w:t>
      </w:r>
    </w:p>
    <w:p w:rsidR="008C0A47">
      <w:pPr>
        <w:spacing w:line="440" w:lineRule="exact"/>
        <w:ind w:firstLine="480" w:firstLineChars="200"/>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13</w:t>
      </w:r>
      <w:r>
        <w:rPr>
          <w:rFonts w:asciiTheme="majorEastAsia" w:eastAsiaTheme="majorEastAsia" w:hAnsiTheme="majorEastAsia" w:cstheme="majorEastAsia" w:hint="eastAsia"/>
          <w:b/>
          <w:szCs w:val="21"/>
        </w:rPr>
        <w:t>．招标文件的修改</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13.1</w:t>
      </w:r>
      <w:r>
        <w:rPr>
          <w:rFonts w:asciiTheme="majorEastAsia" w:eastAsiaTheme="majorEastAsia" w:hAnsiTheme="majorEastAsia" w:cstheme="majorEastAsia" w:hint="eastAsia"/>
          <w:szCs w:val="21"/>
        </w:rPr>
        <w:t>招标文件发出后，在投标截止日期</w:t>
      </w:r>
      <w:r>
        <w:rPr>
          <w:rFonts w:asciiTheme="majorEastAsia" w:eastAsiaTheme="majorEastAsia" w:hAnsiTheme="majorEastAsia" w:cstheme="majorEastAsia" w:hint="eastAsia"/>
          <w:szCs w:val="21"/>
        </w:rPr>
        <w:t>前任何</w:t>
      </w:r>
      <w:r>
        <w:rPr>
          <w:rFonts w:asciiTheme="majorEastAsia" w:eastAsiaTheme="majorEastAsia" w:hAnsiTheme="majorEastAsia" w:cstheme="majorEastAsia" w:hint="eastAsia"/>
          <w:szCs w:val="21"/>
        </w:rPr>
        <w:t>时候，确需要变更招标内容的，采购代理机构可主动或在解答投标人提出的澄清问题时对招标文件进行修改；</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13.2</w:t>
      </w:r>
      <w:r>
        <w:rPr>
          <w:rFonts w:asciiTheme="majorEastAsia" w:eastAsiaTheme="majorEastAsia" w:hAnsiTheme="majorEastAsia" w:cstheme="majorEastAsia" w:hint="eastAsia"/>
          <w:szCs w:val="21"/>
        </w:rPr>
        <w:t>招标文件的修改以书面形式（包括网站公开发布方式）发送给所有投标人，招标文件的修改内容作为招标文件的组成部分，并具有约束力。</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13.3</w:t>
      </w:r>
      <w:r>
        <w:rPr>
          <w:rFonts w:asciiTheme="majorEastAsia" w:eastAsiaTheme="majorEastAsia" w:hAnsiTheme="majorEastAsia" w:cstheme="majorEastAsia" w:hint="eastAsia"/>
          <w:szCs w:val="21"/>
        </w:rPr>
        <w:t>招标文件、招标文件澄清（答疑）纪要、招标文件修改补充通知内容均以书面（包括网站公开发布方式）明确的内容为准。当招标文件、修改补充通知、澄清（答疑）纪要内容相互矛盾时，以最后发出的内容为准；</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13.4</w:t>
      </w:r>
      <w:r>
        <w:rPr>
          <w:rFonts w:asciiTheme="majorEastAsia" w:eastAsiaTheme="majorEastAsia" w:hAnsiTheme="majorEastAsia" w:cstheme="majorEastAsia" w:hint="eastAsia"/>
          <w:szCs w:val="21"/>
        </w:rPr>
        <w:t>采购代理机构保证招标文件澄清（答疑）纪要和招标文件修改补充通知在投标截止时间前以网站公开发布形式或书面形式发送给所有投标人。为使投标人在编写投标文件时有充分时间对招标文件的修改部分进行研究，采购代理机构可以酌情延长递交投标文件的截止日期，具体时间将在修改补充通知中明确。</w:t>
      </w:r>
    </w:p>
    <w:p w:rsidR="008C0A47">
      <w:pPr>
        <w:pStyle w:val="Heading2"/>
        <w:numPr>
          <w:ilvl w:val="0"/>
          <w:numId w:val="2"/>
        </w:numPr>
        <w:spacing w:before="120" w:after="120" w:line="440" w:lineRule="exact"/>
        <w:ind w:left="482" w:hanging="482"/>
        <w:rPr>
          <w:rFonts w:ascii="微软雅黑" w:eastAsia="微软雅黑" w:hAnsi="微软雅黑" w:cs="微软雅黑"/>
          <w:b/>
          <w:bCs/>
          <w:szCs w:val="24"/>
        </w:rPr>
      </w:pPr>
      <w:r>
        <w:rPr>
          <w:rFonts w:ascii="微软雅黑" w:eastAsia="微软雅黑" w:hAnsi="微软雅黑" w:cs="微软雅黑" w:hint="eastAsia"/>
          <w:b/>
          <w:bCs/>
          <w:szCs w:val="24"/>
        </w:rPr>
        <w:t xml:space="preserve">  </w:t>
      </w:r>
      <w:r>
        <w:rPr>
          <w:rFonts w:ascii="微软雅黑" w:eastAsia="微软雅黑" w:hAnsi="微软雅黑" w:cs="微软雅黑" w:hint="eastAsia"/>
          <w:b/>
          <w:bCs/>
          <w:szCs w:val="24"/>
        </w:rPr>
        <w:t>投标文件的编制</w:t>
      </w:r>
    </w:p>
    <w:p w:rsidR="008C0A47">
      <w:pPr>
        <w:spacing w:line="440" w:lineRule="exact"/>
        <w:ind w:firstLine="480" w:firstLineChars="200"/>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14</w:t>
      </w:r>
      <w:r>
        <w:rPr>
          <w:rFonts w:asciiTheme="majorEastAsia" w:eastAsiaTheme="majorEastAsia" w:hAnsiTheme="majorEastAsia" w:cstheme="majorEastAsia" w:hint="eastAsia"/>
          <w:b/>
          <w:szCs w:val="21"/>
        </w:rPr>
        <w:t>．投标文件</w:t>
      </w:r>
      <w:r>
        <w:rPr>
          <w:rFonts w:asciiTheme="majorEastAsia" w:eastAsiaTheme="majorEastAsia" w:hAnsiTheme="majorEastAsia" w:cstheme="majorEastAsia" w:hint="eastAsia"/>
          <w:b/>
          <w:szCs w:val="21"/>
        </w:rPr>
        <w:t>的语言及度量单位</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14.1 </w:t>
      </w:r>
      <w:r>
        <w:rPr>
          <w:rFonts w:asciiTheme="majorEastAsia" w:eastAsiaTheme="majorEastAsia" w:hAnsiTheme="majorEastAsia" w:cstheme="majorEastAsia" w:hint="eastAsia"/>
          <w:szCs w:val="21"/>
        </w:rPr>
        <w:t>投标人与采购代理机构之间与投标有关的所有往来通知、函件和投标文件均用中文表述。投标人随投标文件提供的证明文件和资料可以为其它语言，但必须附中文译文。翻译的中文资料与外文资料如果出现差异时，以中文为准，但翻译错误的除外。</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14.2 </w:t>
      </w:r>
      <w:r>
        <w:rPr>
          <w:rFonts w:asciiTheme="majorEastAsia" w:eastAsiaTheme="majorEastAsia" w:hAnsiTheme="majorEastAsia" w:cstheme="majorEastAsia" w:hint="eastAsia"/>
          <w:szCs w:val="21"/>
        </w:rPr>
        <w:t>除技术规范另有规定外，投标文件使用的度量单位，均采用中华人民共和国法定计量单位。</w:t>
      </w:r>
    </w:p>
    <w:p w:rsidR="008C0A47">
      <w:pPr>
        <w:spacing w:line="440" w:lineRule="exact"/>
        <w:ind w:firstLine="480" w:firstLineChars="200"/>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15</w:t>
      </w:r>
      <w:r>
        <w:rPr>
          <w:rFonts w:asciiTheme="majorEastAsia" w:eastAsiaTheme="majorEastAsia" w:hAnsiTheme="majorEastAsia" w:cstheme="majorEastAsia" w:hint="eastAsia"/>
          <w:b/>
          <w:szCs w:val="21"/>
        </w:rPr>
        <w:t>．投标文件的组成</w:t>
      </w:r>
    </w:p>
    <w:p w:rsidR="008C0A47">
      <w:pPr>
        <w:spacing w:line="440" w:lineRule="exact"/>
        <w:ind w:firstLine="470" w:firstLineChars="196"/>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具体内容请详见本项目</w:t>
      </w:r>
      <w:r>
        <w:rPr>
          <w:rFonts w:asciiTheme="majorEastAsia" w:eastAsiaTheme="majorEastAsia" w:hAnsiTheme="majorEastAsia" w:cstheme="majorEastAsia" w:hint="eastAsia"/>
          <w:b/>
          <w:bCs/>
          <w:szCs w:val="21"/>
        </w:rPr>
        <w:t>招标文件第一册“专用条款”</w:t>
      </w:r>
      <w:r>
        <w:rPr>
          <w:rFonts w:asciiTheme="majorEastAsia" w:eastAsiaTheme="majorEastAsia" w:hAnsiTheme="majorEastAsia" w:cstheme="majorEastAsia" w:hint="eastAsia"/>
          <w:b/>
          <w:szCs w:val="21"/>
        </w:rPr>
        <w:t>的相关内容。</w:t>
      </w:r>
    </w:p>
    <w:p w:rsidR="008C0A47">
      <w:pPr>
        <w:spacing w:line="440" w:lineRule="exact"/>
        <w:ind w:firstLine="480" w:firstLineChars="200"/>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16</w:t>
      </w:r>
      <w:r>
        <w:rPr>
          <w:rFonts w:asciiTheme="majorEastAsia" w:eastAsiaTheme="majorEastAsia" w:hAnsiTheme="majorEastAsia" w:cstheme="majorEastAsia" w:hint="eastAsia"/>
          <w:b/>
          <w:szCs w:val="21"/>
        </w:rPr>
        <w:t>．投标文件格式</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投标文件包括本通用条款第</w:t>
      </w:r>
      <w:r>
        <w:rPr>
          <w:rFonts w:asciiTheme="majorEastAsia" w:eastAsiaTheme="majorEastAsia" w:hAnsiTheme="majorEastAsia" w:cstheme="majorEastAsia" w:hint="eastAsia"/>
          <w:szCs w:val="21"/>
        </w:rPr>
        <w:t>15</w:t>
      </w:r>
      <w:r>
        <w:rPr>
          <w:rFonts w:asciiTheme="majorEastAsia" w:eastAsiaTheme="majorEastAsia" w:hAnsiTheme="majorEastAsia" w:cstheme="majorEastAsia" w:hint="eastAsia"/>
          <w:szCs w:val="21"/>
        </w:rPr>
        <w:t>条中规定的内容。如招标文件提供了投标文件格</w:t>
      </w:r>
      <w:r>
        <w:rPr>
          <w:rFonts w:asciiTheme="majorEastAsia" w:eastAsiaTheme="majorEastAsia" w:hAnsiTheme="majorEastAsia" w:cstheme="majorEastAsia" w:hint="eastAsia"/>
          <w:szCs w:val="21"/>
        </w:rPr>
        <w:t>式，则</w:t>
      </w:r>
      <w:r>
        <w:rPr>
          <w:rFonts w:asciiTheme="majorEastAsia" w:eastAsiaTheme="majorEastAsia" w:hAnsiTheme="majorEastAsia" w:cstheme="majorEastAsia" w:hint="eastAsia"/>
          <w:b/>
          <w:bCs/>
          <w:szCs w:val="21"/>
        </w:rPr>
        <w:t>投标人提交的投标文件应毫无例外地使用招标文件所提供的相应格式</w:t>
      </w:r>
      <w:r>
        <w:rPr>
          <w:rFonts w:asciiTheme="majorEastAsia" w:eastAsiaTheme="majorEastAsia" w:hAnsiTheme="majorEastAsia" w:cstheme="majorEastAsia" w:hint="eastAsia"/>
          <w:szCs w:val="21"/>
        </w:rPr>
        <w:t>（表格可以按同样格式扩展）。</w:t>
      </w:r>
    </w:p>
    <w:p w:rsidR="008C0A47">
      <w:pPr>
        <w:spacing w:line="440" w:lineRule="exact"/>
        <w:ind w:firstLine="480" w:firstLineChars="200"/>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17</w:t>
      </w:r>
      <w:r>
        <w:rPr>
          <w:rFonts w:asciiTheme="majorEastAsia" w:eastAsiaTheme="majorEastAsia" w:hAnsiTheme="majorEastAsia" w:cstheme="majorEastAsia" w:hint="eastAsia"/>
          <w:b/>
          <w:szCs w:val="21"/>
        </w:rPr>
        <w:t>．投标货币</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本项目的投标应以人民币计。</w:t>
      </w:r>
    </w:p>
    <w:p w:rsidR="008C0A47">
      <w:pPr>
        <w:spacing w:line="440" w:lineRule="exact"/>
        <w:ind w:firstLine="480" w:firstLineChars="200"/>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18</w:t>
      </w:r>
      <w:r>
        <w:rPr>
          <w:rFonts w:asciiTheme="majorEastAsia" w:eastAsiaTheme="majorEastAsia" w:hAnsiTheme="majorEastAsia" w:cstheme="majorEastAsia" w:hint="eastAsia"/>
          <w:b/>
          <w:szCs w:val="21"/>
        </w:rPr>
        <w:t>．证明投标文件投标技术方案的合格性和符合招标文件规定的文件要求</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18.1 </w:t>
      </w:r>
      <w:r>
        <w:rPr>
          <w:rFonts w:asciiTheme="majorEastAsia" w:eastAsiaTheme="majorEastAsia" w:hAnsiTheme="majorEastAsia" w:cstheme="majorEastAsia" w:hint="eastAsia"/>
          <w:szCs w:val="21"/>
        </w:rPr>
        <w:t>投标人应提交证明文件证明其投标技术方案项下的货物、工程和服务的合格性符</w:t>
      </w:r>
      <w:r>
        <w:rPr>
          <w:rFonts w:asciiTheme="majorEastAsia" w:eastAsiaTheme="majorEastAsia" w:hAnsiTheme="majorEastAsia" w:cstheme="majorEastAsia" w:hint="eastAsia"/>
          <w:szCs w:val="21"/>
        </w:rPr>
        <w:t>合招标文件规定。该投标技术方案及其证明文件作为投标文件的一部分。</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18.2 </w:t>
      </w:r>
      <w:r>
        <w:rPr>
          <w:rFonts w:asciiTheme="majorEastAsia" w:eastAsiaTheme="majorEastAsia" w:hAnsiTheme="majorEastAsia" w:cstheme="majorEastAsia" w:hint="eastAsia"/>
          <w:szCs w:val="21"/>
        </w:rPr>
        <w:t>投标人提供证明投标技术方案与招标文件的要求相一致的文件，可以是文字资料、图纸、数据或数码照片、制造商公布的产品说明书、产品彩页和我国政府机构出具的产品检验和核准证件等，提供的文件应符合以下要求：</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18.2.1</w:t>
      </w:r>
      <w:r>
        <w:rPr>
          <w:rFonts w:asciiTheme="majorEastAsia" w:eastAsiaTheme="majorEastAsia" w:hAnsiTheme="majorEastAsia" w:cstheme="majorEastAsia" w:hint="eastAsia"/>
          <w:szCs w:val="21"/>
        </w:rPr>
        <w:t>主要技术指标和性能的详细说明。</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18.2.2</w:t>
      </w:r>
      <w:r>
        <w:rPr>
          <w:rFonts w:asciiTheme="majorEastAsia" w:eastAsiaTheme="majorEastAsia" w:hAnsiTheme="majorEastAsia" w:cstheme="majorEastAsia" w:hint="eastAsia"/>
          <w:szCs w:val="21"/>
        </w:rPr>
        <w:t>投标产品从采购人开始使用至招标文件中规定的周期内正常、连续地使用所必须的备件和专用工具清单，包括备件和专用工具的货源及现行价格。</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18.2.3</w:t>
      </w:r>
      <w:r>
        <w:rPr>
          <w:rFonts w:asciiTheme="majorEastAsia" w:eastAsiaTheme="majorEastAsia" w:hAnsiTheme="majorEastAsia" w:cstheme="majorEastAsia" w:hint="eastAsia"/>
          <w:szCs w:val="21"/>
        </w:rPr>
        <w:t>对照招标文件技术规格，逐条说明投标技术方案已对采购人的技术规格做出了实质性的响应，或申明与技术规格条文的偏差和例外。投</w:t>
      </w:r>
      <w:r>
        <w:rPr>
          <w:rFonts w:asciiTheme="majorEastAsia" w:eastAsiaTheme="majorEastAsia" w:hAnsiTheme="majorEastAsia" w:cstheme="majorEastAsia" w:hint="eastAsia"/>
          <w:szCs w:val="21"/>
        </w:rPr>
        <w:t>标人应详细说明投标技术方案中产品的具体参数，不得照搬照抄招标文件的技术要求。</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18.2.4</w:t>
      </w:r>
      <w:r>
        <w:rPr>
          <w:rFonts w:asciiTheme="majorEastAsia" w:eastAsiaTheme="majorEastAsia" w:hAnsiTheme="majorEastAsia" w:cstheme="majorEastAsia" w:hint="eastAsia"/>
          <w:szCs w:val="21"/>
        </w:rPr>
        <w:t>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清晰度要求能够使用电脑阅读、识别和判断；</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18.2.5</w:t>
      </w:r>
      <w:r>
        <w:rPr>
          <w:rFonts w:asciiTheme="majorEastAsia" w:eastAsiaTheme="majorEastAsia" w:hAnsiTheme="majorEastAsia" w:cstheme="majorEastAsia" w:hint="eastAsia"/>
          <w:szCs w:val="21"/>
        </w:rPr>
        <w:t>我国政府机构出具的产品检验和核准证件应为证件正面、背面和附件标注的全部具体内容；产品检验和核准证件的尺寸和清晰度应该能够在电脑上被阅读、识别和判断，提供原件扫描</w:t>
      </w:r>
      <w:r>
        <w:rPr>
          <w:rFonts w:asciiTheme="majorEastAsia" w:eastAsiaTheme="majorEastAsia" w:hAnsiTheme="majorEastAsia" w:cstheme="majorEastAsia" w:hint="eastAsia"/>
          <w:szCs w:val="21"/>
        </w:rPr>
        <w:t>件。</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18.3</w:t>
      </w:r>
      <w:r>
        <w:rPr>
          <w:rFonts w:asciiTheme="majorEastAsia" w:eastAsiaTheme="majorEastAsia" w:hAnsiTheme="majorEastAsia" w:cstheme="majorEastAsia" w:hint="eastAsia"/>
          <w:szCs w:val="21"/>
        </w:rPr>
        <w:t>相关资料不符合</w:t>
      </w:r>
      <w:r>
        <w:rPr>
          <w:rFonts w:asciiTheme="majorEastAsia" w:eastAsiaTheme="majorEastAsia" w:hAnsiTheme="majorEastAsia" w:cstheme="majorEastAsia" w:hint="eastAsia"/>
          <w:szCs w:val="21"/>
        </w:rPr>
        <w:t>18.2</w:t>
      </w:r>
      <w:r>
        <w:rPr>
          <w:rFonts w:asciiTheme="majorEastAsia" w:eastAsiaTheme="majorEastAsia" w:hAnsiTheme="majorEastAsia" w:cstheme="majorEastAsia" w:hint="eastAsia"/>
          <w:szCs w:val="21"/>
        </w:rPr>
        <w:t>款要求的，评审委员会有权认定为投标技术方案不合格响应，其相关分数予以扣减或作投标无效处理。</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18.4</w:t>
      </w:r>
      <w:r>
        <w:rPr>
          <w:rFonts w:asciiTheme="majorEastAsia" w:eastAsiaTheme="majorEastAsia" w:hAnsiTheme="majorEastAsia" w:cstheme="majorEastAsia" w:hint="eastAsia"/>
          <w:szCs w:val="21"/>
        </w:rPr>
        <w:t>投标人在阐述</w:t>
      </w:r>
      <w:r>
        <w:rPr>
          <w:rFonts w:asciiTheme="majorEastAsia" w:eastAsiaTheme="majorEastAsia" w:hAnsiTheme="majorEastAsia" w:cstheme="majorEastAsia" w:hint="eastAsia"/>
          <w:szCs w:val="21"/>
        </w:rPr>
        <w:t>上述第</w:t>
      </w:r>
      <w:r>
        <w:rPr>
          <w:rFonts w:asciiTheme="majorEastAsia" w:eastAsiaTheme="majorEastAsia" w:hAnsiTheme="majorEastAsia" w:cstheme="majorEastAsia" w:hint="eastAsia"/>
          <w:szCs w:val="21"/>
        </w:rPr>
        <w:t>18</w:t>
      </w:r>
      <w:r>
        <w:rPr>
          <w:rFonts w:asciiTheme="majorEastAsia" w:eastAsiaTheme="majorEastAsia" w:hAnsiTheme="majorEastAsia" w:cstheme="majorEastAsia" w:hint="eastAsia"/>
          <w:szCs w:val="21"/>
        </w:rPr>
        <w:t>.2</w:t>
      </w:r>
      <w:r>
        <w:rPr>
          <w:rFonts w:asciiTheme="majorEastAsia" w:eastAsiaTheme="majorEastAsia" w:hAnsiTheme="majorEastAsia" w:cstheme="majorEastAsia" w:hint="eastAsia"/>
          <w:szCs w:val="21"/>
        </w:rPr>
        <w:t>时应注意采购人在技术规格中指出的工艺、材料和设备的标准以及参照的牌号或分类号仅</w:t>
      </w:r>
      <w:r>
        <w:rPr>
          <w:rFonts w:asciiTheme="majorEastAsia" w:eastAsiaTheme="majorEastAsia" w:hAnsiTheme="majorEastAsia" w:cstheme="majorEastAsia" w:hint="eastAsia"/>
          <w:szCs w:val="21"/>
        </w:rPr>
        <w:t>起说明</w:t>
      </w:r>
      <w:r>
        <w:rPr>
          <w:rFonts w:asciiTheme="majorEastAsia" w:eastAsiaTheme="majorEastAsia" w:hAnsiTheme="majorEastAsia" w:cstheme="majorEastAsia" w:hint="eastAsia"/>
          <w:szCs w:val="21"/>
        </w:rPr>
        <w:t>作用，并没有任何限制性。投标人在投标中可以选用替代标准、牌号或分类号，但这些替代要实质上满足招标文件中技术规格的要求，是否满足要求，由评审委员会来评判。</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18.5</w:t>
      </w:r>
      <w:r>
        <w:rPr>
          <w:rFonts w:asciiTheme="majorEastAsia" w:eastAsiaTheme="majorEastAsia" w:hAnsiTheme="majorEastAsia" w:cstheme="majorEastAsia" w:hint="eastAsia"/>
          <w:szCs w:val="21"/>
        </w:rPr>
        <w:t>为保证公平公正，除非另有规定或说明，投标人对同一项目投标时，不得同时提供两套或两套以上的投标方案。</w:t>
      </w:r>
    </w:p>
    <w:p w:rsidR="008C0A47">
      <w:pPr>
        <w:spacing w:line="440" w:lineRule="exact"/>
        <w:ind w:firstLine="480" w:firstLineChars="200"/>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19</w:t>
      </w:r>
      <w:r>
        <w:rPr>
          <w:rFonts w:asciiTheme="majorEastAsia" w:eastAsiaTheme="majorEastAsia" w:hAnsiTheme="majorEastAsia" w:cstheme="majorEastAsia" w:hint="eastAsia"/>
          <w:b/>
          <w:szCs w:val="21"/>
        </w:rPr>
        <w:t>．投标文件其他证明文件的要求</w:t>
      </w:r>
    </w:p>
    <w:p w:rsidR="008C0A47">
      <w:pPr>
        <w:rPr>
          <w:rFonts w:ascii="宋体" w:hAnsi="宋体" w:cs="宋体"/>
          <w:szCs w:val="21"/>
        </w:rPr>
      </w:pPr>
      <w:r>
        <w:rPr>
          <w:rFonts w:asciiTheme="majorEastAsia" w:eastAsiaTheme="majorEastAsia" w:hAnsiTheme="majorEastAsia" w:cstheme="majorEastAsia" w:hint="eastAsia"/>
          <w:szCs w:val="21"/>
        </w:rPr>
        <w:t xml:space="preserve">    19.1</w:t>
      </w:r>
      <w:r>
        <w:rPr>
          <w:rFonts w:asciiTheme="majorEastAsia" w:eastAsiaTheme="majorEastAsia" w:hAnsiTheme="majorEastAsia" w:cstheme="majorEastAsia" w:hint="eastAsia"/>
          <w:szCs w:val="21"/>
        </w:rPr>
        <w:t>对项目招标文件《评标信息》评分项中涉及的相关业绩、社保情况等内容以及《资格性审查表》和《符合性审查表》中涉及的证明材料，投标人应提供相关部门出具的证明材料扫描件或照片，原件备查。有关扫描件（或照片）的尺寸和清晰度要求能够使用电脑阅读、识别和判断。若投标人未按要求提供证明材料或提供的是部分证明材料或提供不清晰的扫描件（或照片）的，评审委员会有权认定其投标文件未对招标文件有关需求进行响应，涉及资</w:t>
      </w:r>
      <w:r>
        <w:rPr>
          <w:rFonts w:asciiTheme="majorEastAsia" w:eastAsiaTheme="majorEastAsia" w:hAnsiTheme="majorEastAsia" w:cstheme="majorEastAsia" w:hint="eastAsia"/>
          <w:szCs w:val="21"/>
        </w:rPr>
        <w:t>格性检查或符合性检查的予以投标无效处理，涉及《评标信息》打分项的则该项评</w:t>
      </w:r>
      <w:r>
        <w:rPr>
          <w:rFonts w:asciiTheme="majorEastAsia" w:eastAsiaTheme="majorEastAsia" w:hAnsiTheme="majorEastAsia" w:cstheme="majorEastAsia" w:hint="eastAsia"/>
          <w:szCs w:val="21"/>
        </w:rPr>
        <w:t>分予以</w:t>
      </w:r>
      <w:r>
        <w:rPr>
          <w:rFonts w:asciiTheme="majorEastAsia" w:eastAsiaTheme="majorEastAsia" w:hAnsiTheme="majorEastAsia" w:cstheme="majorEastAsia" w:hint="eastAsia"/>
          <w:szCs w:val="21"/>
        </w:rPr>
        <w:t>0</w:t>
      </w:r>
      <w:r>
        <w:rPr>
          <w:rFonts w:asciiTheme="majorEastAsia" w:eastAsiaTheme="majorEastAsia" w:hAnsiTheme="majorEastAsia" w:cstheme="majorEastAsia" w:hint="eastAsia"/>
          <w:szCs w:val="21"/>
        </w:rPr>
        <w:t>分处理。</w:t>
      </w:r>
      <w:r>
        <w:rPr>
          <w:rFonts w:ascii="宋体" w:hAnsi="宋体" w:cs="宋体" w:hint="eastAsia"/>
          <w:szCs w:val="21"/>
        </w:rPr>
        <w:t>评审委员会对供应商投标资料是否异常、是否有效问题进行核查和判定，如认为供应商投标资料有异常或无效的，若涉及资格审查或符合性审查条款的，则应作投标无效处理；若涉及评分的，则作不得分处理。投标资料异常核查范围为：质疑函、被质疑供应商投标文件资料、被质疑供应商答辩说明、被质疑资料原件、被质疑资料相应官方查询渠道查询到的信息等。以下情形可由评审委员会判定投标资料无效：</w:t>
      </w:r>
    </w:p>
    <w:p w:rsidR="008C0A47">
      <w:pPr>
        <w:ind w:firstLine="480" w:firstLineChars="200"/>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）被质疑供应</w:t>
      </w:r>
      <w:r>
        <w:rPr>
          <w:rFonts w:ascii="宋体" w:hAnsi="宋体" w:cs="宋体" w:hint="eastAsia"/>
          <w:szCs w:val="21"/>
        </w:rPr>
        <w:t>商未能</w:t>
      </w:r>
      <w:r>
        <w:rPr>
          <w:rFonts w:ascii="宋体" w:hAnsi="宋体" w:cs="宋体" w:hint="eastAsia"/>
          <w:szCs w:val="21"/>
        </w:rPr>
        <w:t>在合理时间内提供资料原件核对，且不能合理说明的；</w:t>
      </w:r>
    </w:p>
    <w:p w:rsidR="008C0A47">
      <w:pPr>
        <w:ind w:firstLine="480" w:firstLineChars="200"/>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）被质疑供应商提供的资料原件与投标文件资料不一致的；</w:t>
      </w:r>
    </w:p>
    <w:p w:rsidR="008C0A47">
      <w:pPr>
        <w:spacing w:line="440" w:lineRule="exact"/>
        <w:ind w:firstLine="470" w:firstLineChars="196"/>
        <w:rPr>
          <w:rFonts w:asciiTheme="majorEastAsia" w:eastAsiaTheme="majorEastAsia" w:hAnsiTheme="majorEastAsia" w:cstheme="majorEastAsia"/>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）被质</w:t>
      </w:r>
      <w:r>
        <w:rPr>
          <w:rFonts w:asciiTheme="majorEastAsia" w:eastAsiaTheme="majorEastAsia" w:hAnsiTheme="majorEastAsia" w:cstheme="majorEastAsia" w:hint="eastAsia"/>
          <w:szCs w:val="21"/>
        </w:rPr>
        <w:t>疑供应商投标文件资料信息与在相应官方查询渠道查询到的信息不一致，且不能合理说明的。</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19.2</w:t>
      </w:r>
      <w:r>
        <w:rPr>
          <w:rFonts w:asciiTheme="majorEastAsia" w:eastAsiaTheme="majorEastAsia" w:hAnsiTheme="majorEastAsia" w:cstheme="majorEastAsia" w:hint="eastAsia"/>
          <w:szCs w:val="21"/>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w:t>
      </w:r>
      <w:r>
        <w:rPr>
          <w:rFonts w:asciiTheme="majorEastAsia" w:eastAsiaTheme="majorEastAsia" w:hAnsiTheme="majorEastAsia" w:cstheme="majorEastAsia" w:hint="eastAsia"/>
          <w:szCs w:val="21"/>
        </w:rPr>
        <w:t>仍按原级别资质投标。</w:t>
      </w:r>
    </w:p>
    <w:p w:rsidR="008C0A47">
      <w:pPr>
        <w:spacing w:line="440" w:lineRule="exact"/>
        <w:ind w:firstLine="480" w:firstLineChars="200"/>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20</w:t>
      </w:r>
      <w:r>
        <w:rPr>
          <w:rFonts w:asciiTheme="majorEastAsia" w:eastAsiaTheme="majorEastAsia" w:hAnsiTheme="majorEastAsia" w:cstheme="majorEastAsia" w:hint="eastAsia"/>
          <w:b/>
          <w:szCs w:val="21"/>
        </w:rPr>
        <w:t>．投标有效期</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20.1 </w:t>
      </w:r>
      <w:r>
        <w:rPr>
          <w:rFonts w:asciiTheme="majorEastAsia" w:eastAsiaTheme="majorEastAsia" w:hAnsiTheme="majorEastAsia" w:cstheme="majorEastAsia" w:hint="eastAsia"/>
          <w:szCs w:val="21"/>
        </w:rPr>
        <w:t>投标有效期为从投标截止之日算起的日历天数，具体见专用条款中投标有效期的天数要求。在此期限内，所有投标文件均保持有效；</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20.2 </w:t>
      </w:r>
      <w:r>
        <w:rPr>
          <w:rFonts w:asciiTheme="majorEastAsia" w:eastAsiaTheme="majorEastAsia" w:hAnsiTheme="majorEastAsia" w:cstheme="majorEastAsia" w:hint="eastAsia"/>
          <w:szCs w:val="21"/>
        </w:rPr>
        <w:t>在特殊的情况下，采购代理机构在原定的投标有效期满之前，采购代理机构可以根据需要以书面形式（包括网站公开发布方式）向投标人提出延长投标有效期的要求，对此要求投标人须以书面形式予以答复，投标人可以拒绝采购代理机构此项要求，其投标在原投标有效期满后不再有效。同意延长投标有效期的投标人不能要求也不允许修改其投标文件，但应当相应的延长投标担保</w:t>
      </w:r>
      <w:r>
        <w:rPr>
          <w:rFonts w:asciiTheme="majorEastAsia" w:eastAsiaTheme="majorEastAsia" w:hAnsiTheme="majorEastAsia" w:cstheme="majorEastAsia" w:hint="eastAsia"/>
          <w:szCs w:val="21"/>
        </w:rPr>
        <w:t>有效期；</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20.3 </w:t>
      </w:r>
      <w:r>
        <w:rPr>
          <w:rFonts w:asciiTheme="majorEastAsia" w:eastAsiaTheme="majorEastAsia" w:hAnsiTheme="majorEastAsia" w:cstheme="majorEastAsia" w:hint="eastAsia"/>
          <w:szCs w:val="21"/>
        </w:rPr>
        <w:t>中标单位的投标书有效期，截止于完成本招标文件规定的全部项目内容，并通过竣工验收及保修结束。</w:t>
      </w:r>
    </w:p>
    <w:p w:rsidR="008C0A47">
      <w:pPr>
        <w:spacing w:line="440" w:lineRule="exact"/>
        <w:ind w:firstLine="480" w:firstLineChars="200"/>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21</w:t>
      </w:r>
      <w:r>
        <w:rPr>
          <w:rFonts w:asciiTheme="majorEastAsia" w:eastAsiaTheme="majorEastAsia" w:hAnsiTheme="majorEastAsia" w:cstheme="majorEastAsia" w:hint="eastAsia"/>
          <w:b/>
          <w:szCs w:val="21"/>
        </w:rPr>
        <w:t>．关于投标保证金</w:t>
      </w:r>
      <w:r>
        <w:rPr>
          <w:rFonts w:asciiTheme="majorEastAsia" w:eastAsiaTheme="majorEastAsia" w:hAnsiTheme="majorEastAsia" w:cstheme="majorEastAsia" w:hint="eastAsia"/>
          <w:b/>
          <w:szCs w:val="21"/>
        </w:rPr>
        <w:t xml:space="preserve"> </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21.1 </w:t>
      </w:r>
      <w:r>
        <w:rPr>
          <w:rFonts w:asciiTheme="majorEastAsia" w:eastAsiaTheme="majorEastAsia" w:hAnsiTheme="majorEastAsia" w:cstheme="majorEastAsia" w:hint="eastAsia"/>
        </w:rPr>
        <w:t>根据《深圳市财政局</w:t>
      </w:r>
      <w:r>
        <w:rPr>
          <w:rFonts w:asciiTheme="majorEastAsia" w:eastAsiaTheme="majorEastAsia" w:hAnsiTheme="majorEastAsia" w:cstheme="majorEastAsia" w:hint="eastAsia"/>
          <w:szCs w:val="21"/>
        </w:rPr>
        <w:t>关于</w:t>
      </w:r>
      <w:r>
        <w:rPr>
          <w:rFonts w:asciiTheme="majorEastAsia" w:eastAsiaTheme="majorEastAsia" w:hAnsiTheme="majorEastAsia" w:cstheme="majorEastAsia" w:hint="eastAsia"/>
        </w:rPr>
        <w:t>明确政府采购保证金管理工作的通知》（深</w:t>
      </w:r>
      <w:r>
        <w:rPr>
          <w:rFonts w:asciiTheme="majorEastAsia" w:eastAsiaTheme="majorEastAsia" w:hAnsiTheme="majorEastAsia" w:cstheme="majorEastAsia" w:hint="eastAsia"/>
        </w:rPr>
        <w:t>财购</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rPr>
        <w:t>2019]42</w:t>
      </w:r>
      <w:r>
        <w:rPr>
          <w:rFonts w:asciiTheme="majorEastAsia" w:eastAsiaTheme="majorEastAsia" w:hAnsiTheme="majorEastAsia" w:cstheme="majorEastAsia" w:hint="eastAsia"/>
        </w:rPr>
        <w:t>号）文的规定，本项目不收取投标保证金。</w:t>
      </w:r>
    </w:p>
    <w:p w:rsidR="008C0A47">
      <w:pPr>
        <w:spacing w:line="440" w:lineRule="exact"/>
        <w:ind w:firstLine="480" w:firstLineChars="200"/>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22</w:t>
      </w:r>
      <w:r>
        <w:rPr>
          <w:rFonts w:asciiTheme="majorEastAsia" w:eastAsiaTheme="majorEastAsia" w:hAnsiTheme="majorEastAsia" w:cstheme="majorEastAsia" w:hint="eastAsia"/>
          <w:b/>
          <w:szCs w:val="21"/>
        </w:rPr>
        <w:t>．投标人的替代方案</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22.1</w:t>
      </w:r>
      <w:r>
        <w:rPr>
          <w:rFonts w:asciiTheme="majorEastAsia" w:eastAsiaTheme="majorEastAsia" w:hAnsiTheme="majorEastAsia" w:cstheme="majorEastAsia" w:hint="eastAsia"/>
          <w:szCs w:val="21"/>
        </w:rPr>
        <w:t>投标人所提交的投标文件应完全满足招标文件（包括图纸和技术规范所示的基本技术设计）的要求。除非招标的项目明确允许投标人提交替代方案，否则投标人有关替代方案的条款将初审不通过，投标无效。</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22.2 </w:t>
      </w:r>
      <w:r>
        <w:rPr>
          <w:rFonts w:asciiTheme="majorEastAsia" w:eastAsiaTheme="majorEastAsia" w:hAnsiTheme="majorEastAsia" w:cstheme="majorEastAsia" w:hint="eastAsia"/>
          <w:szCs w:val="21"/>
        </w:rPr>
        <w:t>如果允许投标人提交替</w:t>
      </w:r>
      <w:r>
        <w:rPr>
          <w:rFonts w:asciiTheme="majorEastAsia" w:eastAsiaTheme="majorEastAsia" w:hAnsiTheme="majorEastAsia" w:cstheme="majorEastAsia" w:hint="eastAsia"/>
          <w:szCs w:val="21"/>
        </w:rPr>
        <w:t>代方案，则准备提交替代方案的投标人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p w:rsidR="008C0A47">
      <w:pPr>
        <w:spacing w:line="440" w:lineRule="exact"/>
        <w:ind w:firstLine="480" w:firstLineChars="200"/>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23</w:t>
      </w:r>
      <w:r>
        <w:rPr>
          <w:rFonts w:asciiTheme="majorEastAsia" w:eastAsiaTheme="majorEastAsia" w:hAnsiTheme="majorEastAsia" w:cstheme="majorEastAsia" w:hint="eastAsia"/>
          <w:b/>
          <w:szCs w:val="21"/>
        </w:rPr>
        <w:t>．投标文件的制作要求</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23.1</w:t>
      </w:r>
      <w:r>
        <w:rPr>
          <w:rFonts w:ascii="宋体" w:hAnsi="宋体" w:cs="宋体" w:hint="eastAsia"/>
        </w:rPr>
        <w:t>投标人应准备所投项目的电子投标文件一份。此电子投标文件须由投标人根据采购代理机构提供的后缀名为</w:t>
      </w:r>
      <w:r>
        <w:rPr>
          <w:rFonts w:ascii="宋体" w:hAnsi="宋体" w:cs="宋体" w:hint="eastAsia"/>
        </w:rPr>
        <w:t>.</w:t>
      </w:r>
      <w:r>
        <w:rPr>
          <w:rFonts w:ascii="宋体" w:hAnsi="宋体" w:cs="宋体" w:hint="eastAsia"/>
        </w:rPr>
        <w:t>szczf</w:t>
      </w:r>
      <w:r>
        <w:rPr>
          <w:rFonts w:ascii="宋体" w:hAnsi="宋体" w:cs="宋体" w:hint="eastAsia"/>
        </w:rPr>
        <w:t>的电子招标文件，下载并使用相应的深圳智慧采购平台投标文件制作专用软件打开招标文件（</w:t>
      </w:r>
      <w:r>
        <w:rPr>
          <w:rFonts w:ascii="宋体" w:hAnsi="宋体" w:cs="宋体" w:hint="eastAsia"/>
        </w:rPr>
        <w:t>.</w:t>
      </w:r>
      <w:r>
        <w:rPr>
          <w:rFonts w:ascii="宋体" w:hAnsi="宋体" w:cs="宋体" w:hint="eastAsia"/>
        </w:rPr>
        <w:t>szczf</w:t>
      </w:r>
      <w:r>
        <w:rPr>
          <w:rFonts w:ascii="宋体" w:hAnsi="宋体" w:cs="宋体" w:hint="eastAsia"/>
        </w:rPr>
        <w:t>格式）【下载地址：</w:t>
      </w:r>
      <w:r>
        <w:rPr>
          <w:rFonts w:ascii="宋体" w:hAnsi="宋体" w:cs="宋体" w:hint="eastAsia"/>
        </w:rPr>
        <w:t>http://zfcg</w:t>
      </w:r>
      <w:r>
        <w:rPr>
          <w:rFonts w:ascii="宋体" w:hAnsi="宋体" w:cs="宋体" w:hint="eastAsia"/>
        </w:rPr>
        <w:t>.szggzy.com/TPBidder/DownLoad/</w:t>
      </w:r>
      <w:r>
        <w:rPr>
          <w:rFonts w:ascii="宋体" w:hAnsi="宋体" w:cs="宋体" w:hint="eastAsia"/>
        </w:rPr>
        <w:t>深圳市智慧采购平台投标文件制作专用软件</w:t>
      </w:r>
      <w:r>
        <w:rPr>
          <w:rFonts w:ascii="宋体" w:hAnsi="宋体" w:cs="宋体" w:hint="eastAsia"/>
        </w:rPr>
        <w:t>.zip</w:t>
      </w:r>
      <w:r>
        <w:rPr>
          <w:rFonts w:ascii="宋体" w:hAnsi="宋体" w:cs="宋体" w:hint="eastAsia"/>
        </w:rPr>
        <w:t>】</w:t>
      </w:r>
      <w:r>
        <w:rPr>
          <w:rFonts w:asciiTheme="majorEastAsia" w:eastAsiaTheme="majorEastAsia" w:hAnsiTheme="majorEastAsia" w:cstheme="majorEastAsia" w:hint="eastAsia"/>
          <w:szCs w:val="21"/>
        </w:rPr>
        <w:t>。</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23.2</w:t>
      </w:r>
      <w:r>
        <w:rPr>
          <w:rFonts w:asciiTheme="majorEastAsia" w:eastAsiaTheme="majorEastAsia" w:hAnsiTheme="majorEastAsia" w:cstheme="majorEastAsia" w:hint="eastAsia"/>
          <w:szCs w:val="21"/>
        </w:rPr>
        <w:t>投标人在使用《投标书编制软件》编制投标书时须注意：</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23.2.1</w:t>
      </w:r>
      <w:r>
        <w:rPr>
          <w:rFonts w:asciiTheme="majorEastAsia" w:eastAsiaTheme="majorEastAsia" w:hAnsiTheme="majorEastAsia" w:cstheme="majorEastAsia" w:hint="eastAsia"/>
          <w:szCs w:val="21"/>
        </w:rPr>
        <w:t>导入《投标书编制软件》的招标文件项目编号、</w:t>
      </w:r>
      <w:r>
        <w:rPr>
          <w:rFonts w:asciiTheme="majorEastAsia" w:eastAsiaTheme="majorEastAsia" w:hAnsiTheme="majorEastAsia" w:cstheme="majorEastAsia" w:hint="eastAsia"/>
          <w:szCs w:val="21"/>
        </w:rPr>
        <w:t>包号应</w:t>
      </w:r>
      <w:r>
        <w:rPr>
          <w:rFonts w:asciiTheme="majorEastAsia" w:eastAsiaTheme="majorEastAsia" w:hAnsiTheme="majorEastAsia" w:cstheme="majorEastAsia" w:hint="eastAsia"/>
          <w:szCs w:val="21"/>
        </w:rPr>
        <w:t>与以此制作的投标文件项目编号、</w:t>
      </w:r>
      <w:r>
        <w:rPr>
          <w:rFonts w:asciiTheme="majorEastAsia" w:eastAsiaTheme="majorEastAsia" w:hAnsiTheme="majorEastAsia" w:cstheme="majorEastAsia" w:hint="eastAsia"/>
          <w:szCs w:val="21"/>
        </w:rPr>
        <w:t>包号一致</w:t>
      </w:r>
      <w:r>
        <w:rPr>
          <w:rFonts w:asciiTheme="majorEastAsia" w:eastAsiaTheme="majorEastAsia" w:hAnsiTheme="majorEastAsia" w:cstheme="majorEastAsia" w:hint="eastAsia"/>
          <w:szCs w:val="21"/>
        </w:rPr>
        <w:t>。例如，不能将</w:t>
      </w:r>
      <w:r>
        <w:rPr>
          <w:rFonts w:asciiTheme="majorEastAsia" w:eastAsiaTheme="majorEastAsia" w:hAnsiTheme="majorEastAsia" w:cstheme="majorEastAsia" w:hint="eastAsia"/>
          <w:szCs w:val="21"/>
        </w:rPr>
        <w:t>甲项目</w:t>
      </w:r>
      <w:r>
        <w:rPr>
          <w:rFonts w:asciiTheme="majorEastAsia" w:eastAsiaTheme="majorEastAsia" w:hAnsiTheme="majorEastAsia" w:cstheme="majorEastAsia" w:hint="eastAsia"/>
          <w:szCs w:val="21"/>
        </w:rPr>
        <w:t>A</w:t>
      </w:r>
      <w:r>
        <w:rPr>
          <w:rFonts w:asciiTheme="majorEastAsia" w:eastAsiaTheme="majorEastAsia" w:hAnsiTheme="majorEastAsia" w:cstheme="majorEastAsia" w:hint="eastAsia"/>
          <w:szCs w:val="21"/>
        </w:rPr>
        <w:t>包的招标书导入《投标书编制软件》，制作</w:t>
      </w:r>
      <w:r>
        <w:rPr>
          <w:rFonts w:asciiTheme="majorEastAsia" w:eastAsiaTheme="majorEastAsia" w:hAnsiTheme="majorEastAsia" w:cstheme="majorEastAsia" w:hint="eastAsia"/>
          <w:szCs w:val="21"/>
        </w:rPr>
        <w:t>乙项目</w:t>
      </w:r>
      <w:r>
        <w:rPr>
          <w:rFonts w:asciiTheme="majorEastAsia" w:eastAsiaTheme="majorEastAsia" w:hAnsiTheme="majorEastAsia" w:cstheme="majorEastAsia" w:hint="eastAsia"/>
          <w:szCs w:val="21"/>
        </w:rPr>
        <w:t>B</w:t>
      </w:r>
      <w:r>
        <w:rPr>
          <w:rFonts w:asciiTheme="majorEastAsia" w:eastAsiaTheme="majorEastAsia" w:hAnsiTheme="majorEastAsia" w:cstheme="majorEastAsia" w:hint="eastAsia"/>
          <w:szCs w:val="21"/>
        </w:rPr>
        <w:t>包的投标书。</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23.2.2</w:t>
      </w:r>
      <w:r>
        <w:rPr>
          <w:rFonts w:asciiTheme="majorEastAsia" w:eastAsiaTheme="majorEastAsia" w:hAnsiTheme="majorEastAsia" w:cstheme="majorEastAsia" w:hint="eastAsia"/>
          <w:szCs w:val="21"/>
        </w:rPr>
        <w:t>不能用非本公司的电子密钥加密本公司的投标文件，或者用其它公司的登录用户上传本公司的投标文件。</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23.2.3</w:t>
      </w:r>
      <w:r>
        <w:rPr>
          <w:rFonts w:asciiTheme="majorEastAsia" w:eastAsiaTheme="majorEastAsia" w:hAnsiTheme="majorEastAsia" w:cstheme="majorEastAsia" w:hint="eastAsia"/>
          <w:szCs w:val="21"/>
        </w:rPr>
        <w:t>要求用《投标书编制软件》编制投标书的包，不能用其它方式编制投标书。编制投标文件时，电脑须连通互联网。</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23.2.4</w:t>
      </w:r>
      <w:r>
        <w:rPr>
          <w:rFonts w:asciiTheme="majorEastAsia" w:eastAsiaTheme="majorEastAsia" w:hAnsiTheme="majorEastAsia" w:cstheme="majorEastAsia" w:hint="eastAsia"/>
          <w:szCs w:val="21"/>
        </w:rPr>
        <w:t>投标文件</w:t>
      </w:r>
      <w:r>
        <w:rPr>
          <w:rFonts w:asciiTheme="majorEastAsia" w:eastAsiaTheme="majorEastAsia" w:hAnsiTheme="majorEastAsia" w:cstheme="majorEastAsia" w:hint="eastAsia"/>
          <w:szCs w:val="21"/>
        </w:rPr>
        <w:t>不</w:t>
      </w:r>
      <w:r>
        <w:rPr>
          <w:rFonts w:asciiTheme="majorEastAsia" w:eastAsiaTheme="majorEastAsia" w:hAnsiTheme="majorEastAsia" w:cstheme="majorEastAsia" w:hint="eastAsia"/>
          <w:szCs w:val="21"/>
        </w:rPr>
        <w:t>能带病毒。采购代理机构将用专业杀毒软件对投标文件进行病毒检测，如果这两种软件均报告发现病毒</w:t>
      </w:r>
      <w:r>
        <w:rPr>
          <w:rFonts w:asciiTheme="majorEastAsia" w:eastAsiaTheme="majorEastAsia" w:hAnsiTheme="majorEastAsia" w:cstheme="majorEastAsia" w:hint="eastAsia"/>
          <w:szCs w:val="21"/>
        </w:rPr>
        <w:t>，则采购代理机构认为该投标文件带病毒。</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23.2.5</w:t>
      </w:r>
      <w:r>
        <w:rPr>
          <w:rFonts w:asciiTheme="majorEastAsia" w:eastAsiaTheme="majorEastAsia" w:hAnsiTheme="majorEastAsia" w:cstheme="majorEastAsia" w:hint="eastAsia"/>
          <w:szCs w:val="21"/>
        </w:rPr>
        <w:t>完整填写“投标关键信息”，如下图所示：</w:t>
      </w:r>
    </w:p>
    <w:p w:rsidR="008C0A47">
      <w:pPr>
        <w:jc w:val="center"/>
        <w:rPr>
          <w:rFonts w:ascii="宋体" w:hAnsi="宋体"/>
        </w:rPr>
      </w:pPr>
      <w:r>
        <w:rPr>
          <w:rFonts w:ascii="宋体" w:hAnsi="宋体"/>
          <w:noProof/>
        </w:rPr>
        <w:drawing>
          <wp:inline distT="0" distB="0" distL="114300" distR="114300">
            <wp:extent cx="4946015" cy="2550160"/>
            <wp:effectExtent l="0" t="0" r="6985" b="2540"/>
            <wp:docPr id="11" name="图片 1"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图形用户界面, 应用程序&#10;&#10;描述已自动生成"/>
                    <pic:cNvPicPr>
                      <a:picLocks noChangeAspect="1"/>
                    </pic:cNvPicPr>
                  </pic:nvPicPr>
                  <pic:blipFill>
                    <a:blip xmlns:r="http://schemas.openxmlformats.org/officeDocument/2006/relationships" r:embed="rId6"/>
                    <a:stretch>
                      <a:fillRect/>
                    </a:stretch>
                  </pic:blipFill>
                  <pic:spPr>
                    <a:xfrm>
                      <a:off x="0" y="0"/>
                      <a:ext cx="4946015" cy="2550160"/>
                    </a:xfrm>
                    <a:prstGeom prst="rect">
                      <a:avLst/>
                    </a:prstGeom>
                    <a:noFill/>
                    <a:ln>
                      <a:noFill/>
                    </a:ln>
                  </pic:spPr>
                </pic:pic>
              </a:graphicData>
            </a:graphic>
          </wp:inline>
        </w:drawing>
      </w:r>
    </w:p>
    <w:p w:rsidR="008C0A47">
      <w:pPr>
        <w:ind w:firstLine="470" w:firstLineChars="196"/>
        <w:rPr>
          <w:rFonts w:ascii="宋体" w:hAnsi="宋体"/>
          <w:b/>
        </w:rPr>
      </w:pPr>
      <w:r>
        <w:rPr>
          <w:rFonts w:ascii="宋体" w:hAnsi="宋体" w:hint="eastAsia"/>
          <w:b/>
        </w:rPr>
        <w:t>备注：上述“开标一览表”中的“投标总价”将作为价格分计算依据；其它信息仅是</w:t>
      </w:r>
      <w:r>
        <w:rPr>
          <w:rFonts w:ascii="宋体" w:hAnsi="宋体" w:hint="eastAsia"/>
          <w:b/>
        </w:rPr>
        <w:t>对投标文件相关内容的概括性表述，不作为评审依据。</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23.2.6</w:t>
      </w:r>
      <w:r>
        <w:rPr>
          <w:rFonts w:asciiTheme="majorEastAsia" w:eastAsiaTheme="majorEastAsia" w:hAnsiTheme="majorEastAsia" w:cstheme="majorEastAsia" w:hint="eastAsia"/>
          <w:szCs w:val="21"/>
        </w:rPr>
        <w:t>投标人在编辑投标文件时，</w:t>
      </w:r>
      <w:r>
        <w:rPr>
          <w:rFonts w:asciiTheme="majorEastAsia" w:eastAsiaTheme="majorEastAsia" w:hAnsiTheme="majorEastAsia" w:cstheme="majorEastAsia" w:hint="eastAsia"/>
          <w:b/>
          <w:szCs w:val="21"/>
        </w:rPr>
        <w:t>在投标文件目录中属于本节点内容的必须在本节点中填写，填写到其他节点或附件，</w:t>
      </w:r>
      <w:r>
        <w:rPr>
          <w:rFonts w:asciiTheme="majorEastAsia" w:eastAsiaTheme="majorEastAsia" w:hAnsiTheme="majorEastAsia" w:cstheme="majorEastAsia" w:hint="eastAsia"/>
          <w:szCs w:val="21"/>
        </w:rPr>
        <w:t>一切后果由供应商自行承担。</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23.2.7</w:t>
      </w:r>
      <w:r>
        <w:rPr>
          <w:rFonts w:asciiTheme="majorEastAsia" w:eastAsiaTheme="majorEastAsia" w:hAnsiTheme="majorEastAsia" w:cstheme="majorEastAsia" w:hint="eastAsia"/>
          <w:szCs w:val="21"/>
        </w:rPr>
        <w:t>投标书编写完成后，</w:t>
      </w:r>
      <w:r>
        <w:rPr>
          <w:rFonts w:asciiTheme="majorEastAsia" w:eastAsiaTheme="majorEastAsia" w:hAnsiTheme="majorEastAsia" w:cstheme="majorEastAsia" w:hint="eastAsia"/>
          <w:b/>
          <w:szCs w:val="21"/>
        </w:rPr>
        <w:t>必须用属于投标人的电子密钥进行加密，否则视同未盖公章，将导致投标文件无效。</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23.2.8</w:t>
      </w:r>
      <w:r>
        <w:rPr>
          <w:rFonts w:asciiTheme="majorEastAsia" w:eastAsiaTheme="majorEastAsia" w:hAnsiTheme="majorEastAsia" w:cstheme="majorEastAsia" w:hint="eastAsia"/>
          <w:szCs w:val="21"/>
        </w:rPr>
        <w:t>采购代理机构不接受投标截止时间后递交的纸质、电子、传真等所有形式的投标文件。由于对网上招投标操作不熟悉或自身电脑、网络等原因导致不能在投标截止时间之前上传投标文件，采购代理机构概不负责。建议于开标前一个工作日完成投标文件的制作与上传，如上传确有困难，请及时咨询。</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23.2.9</w:t>
      </w:r>
      <w:r>
        <w:rPr>
          <w:rFonts w:asciiTheme="majorEastAsia" w:eastAsiaTheme="majorEastAsia" w:hAnsiTheme="majorEastAsia" w:cstheme="majorEastAsia" w:hint="eastAsia"/>
          <w:szCs w:val="21"/>
        </w:rPr>
        <w:t>如果开标时出现网络故障、技术故障，影响了招投标活动，采购代理机构有权采取措施如延期、接受无法从网上</w:t>
      </w:r>
      <w:r>
        <w:rPr>
          <w:rFonts w:asciiTheme="majorEastAsia" w:eastAsiaTheme="majorEastAsia" w:hAnsiTheme="majorEastAsia" w:cstheme="majorEastAsia" w:hint="eastAsia"/>
          <w:szCs w:val="21"/>
        </w:rPr>
        <w:t>上</w:t>
      </w:r>
      <w:r>
        <w:rPr>
          <w:rFonts w:asciiTheme="majorEastAsia" w:eastAsiaTheme="majorEastAsia" w:hAnsiTheme="majorEastAsia" w:cstheme="majorEastAsia" w:hint="eastAsia"/>
          <w:szCs w:val="21"/>
        </w:rPr>
        <w:t>传的投标书等，以保障招投标活动的公开、公平和公正</w:t>
      </w:r>
      <w:r>
        <w:rPr>
          <w:rFonts w:asciiTheme="majorEastAsia" w:eastAsiaTheme="majorEastAsia" w:hAnsiTheme="majorEastAsia" w:cstheme="majorEastAsia" w:hint="eastAsia"/>
          <w:szCs w:val="21"/>
        </w:rPr>
        <w:t>。</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23.3</w:t>
      </w:r>
      <w:r>
        <w:rPr>
          <w:rFonts w:asciiTheme="majorEastAsia" w:eastAsiaTheme="majorEastAsia" w:hAnsiTheme="majorEastAsia" w:cstheme="majorEastAsia" w:hint="eastAsia"/>
          <w:szCs w:val="21"/>
        </w:rPr>
        <w:t>电报、电话、传真形式的投标概不接受。</w:t>
      </w:r>
    </w:p>
    <w:p w:rsidR="008C0A47">
      <w:pPr>
        <w:spacing w:line="440" w:lineRule="exact"/>
        <w:ind w:firstLine="470" w:firstLineChars="196"/>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23.4</w:t>
      </w:r>
      <w:r>
        <w:rPr>
          <w:rFonts w:asciiTheme="majorEastAsia" w:eastAsiaTheme="majorEastAsia" w:hAnsiTheme="majorEastAsia" w:cstheme="majorEastAsia" w:hint="eastAsia"/>
          <w:b/>
          <w:szCs w:val="21"/>
        </w:rPr>
        <w:t>经投标人电子密钥加密的投标文件无须盖章或签字，</w:t>
      </w:r>
      <w:r>
        <w:rPr>
          <w:rFonts w:asciiTheme="majorEastAsia" w:eastAsiaTheme="majorEastAsia" w:hAnsiTheme="majorEastAsia" w:cstheme="majorEastAsia" w:hint="eastAsia"/>
          <w:szCs w:val="21"/>
        </w:rPr>
        <w:t>专用条款另有要求的除外。</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b/>
          <w:szCs w:val="21"/>
        </w:rPr>
        <w:t>23.5</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资格证明文件提供扫描件，专用条款另有要求的除外。</w:t>
      </w:r>
    </w:p>
    <w:p w:rsidR="008C0A47">
      <w:pPr>
        <w:pStyle w:val="Heading2"/>
        <w:numPr>
          <w:ilvl w:val="0"/>
          <w:numId w:val="2"/>
        </w:numPr>
        <w:spacing w:before="120" w:after="120" w:line="440" w:lineRule="exact"/>
        <w:ind w:left="482" w:hanging="482"/>
        <w:rPr>
          <w:rFonts w:ascii="微软雅黑" w:eastAsia="微软雅黑" w:hAnsi="微软雅黑" w:cs="微软雅黑"/>
          <w:b/>
          <w:bCs/>
          <w:szCs w:val="24"/>
        </w:rPr>
      </w:pPr>
      <w:r>
        <w:rPr>
          <w:rFonts w:ascii="微软雅黑" w:eastAsia="微软雅黑" w:hAnsi="微软雅黑" w:cs="微软雅黑" w:hint="eastAsia"/>
          <w:b/>
          <w:bCs/>
          <w:szCs w:val="24"/>
        </w:rPr>
        <w:t xml:space="preserve">  </w:t>
      </w:r>
      <w:r>
        <w:rPr>
          <w:rFonts w:ascii="微软雅黑" w:eastAsia="微软雅黑" w:hAnsi="微软雅黑" w:cs="微软雅黑" w:hint="eastAsia"/>
          <w:b/>
          <w:bCs/>
          <w:szCs w:val="24"/>
        </w:rPr>
        <w:t>投标文件的递交</w:t>
      </w:r>
    </w:p>
    <w:p w:rsidR="008C0A47">
      <w:pPr>
        <w:spacing w:line="440" w:lineRule="exact"/>
        <w:ind w:firstLine="480" w:firstLineChars="200"/>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24</w:t>
      </w:r>
      <w:r>
        <w:rPr>
          <w:rFonts w:asciiTheme="majorEastAsia" w:eastAsiaTheme="majorEastAsia" w:hAnsiTheme="majorEastAsia" w:cstheme="majorEastAsia" w:hint="eastAsia"/>
          <w:b/>
          <w:szCs w:val="21"/>
        </w:rPr>
        <w:t>．投标书的保密</w:t>
      </w:r>
    </w:p>
    <w:p w:rsidR="008C0A47">
      <w:pPr>
        <w:ind w:firstLine="470" w:firstLineChars="196"/>
        <w:rPr>
          <w:rFonts w:ascii="宋体" w:hAnsi="宋体" w:cs="宋体"/>
        </w:rPr>
      </w:pPr>
      <w:r>
        <w:rPr>
          <w:rFonts w:asciiTheme="majorEastAsia" w:eastAsiaTheme="majorEastAsia" w:hAnsiTheme="majorEastAsia" w:cstheme="majorEastAsia" w:hint="eastAsia"/>
          <w:szCs w:val="21"/>
        </w:rPr>
        <w:t>24.1</w:t>
      </w:r>
      <w:r>
        <w:rPr>
          <w:rFonts w:ascii="宋体" w:hAnsi="宋体" w:hint="eastAsia"/>
        </w:rPr>
        <w:t>在投标文件制作完成后，在投标文件制作软件点击【生成标书】按钮进入【填写开标一览表界面】界面，在该界面填写完开标一览表信息后点击【确定】，进入投标文件生成环节。投标文件制作软件会在投标文件生成过程中，提示用户输入密码，输入密码后对</w:t>
      </w:r>
      <w:r>
        <w:rPr>
          <w:rFonts w:ascii="宋体" w:hAnsi="宋体" w:hint="eastAsia"/>
        </w:rPr>
        <w:t>标文件</w:t>
      </w:r>
      <w:r>
        <w:rPr>
          <w:rFonts w:ascii="宋体" w:hAnsi="宋体" w:hint="eastAsia"/>
        </w:rPr>
        <w:t>自动进行加密，此加密程序确保投标文件在到</w:t>
      </w:r>
      <w:r>
        <w:rPr>
          <w:rFonts w:ascii="宋体" w:hAnsi="宋体" w:hint="eastAsia"/>
        </w:rPr>
        <w:t>达开标时间后才能解密查看。在加密过程中，请按照软件提示进行操作。加密操作界面如下图所示</w:t>
      </w:r>
      <w:r>
        <w:rPr>
          <w:rFonts w:ascii="宋体" w:hAnsi="宋体" w:cs="宋体" w:hint="eastAsia"/>
        </w:rPr>
        <w:t>：</w:t>
      </w:r>
    </w:p>
    <w:p w:rsidR="008C0A47">
      <w:pPr>
        <w:widowControl/>
        <w:jc w:val="left"/>
        <w:rPr>
          <w:rFonts w:ascii="宋体" w:hAnsi="宋体" w:cs="宋体"/>
          <w:kern w:val="0"/>
          <w:sz w:val="24"/>
        </w:rPr>
      </w:pPr>
      <w:r>
        <w:rPr>
          <w:rFonts w:ascii="宋体" w:hAnsi="宋体"/>
          <w:noProof/>
        </w:rPr>
        <w:drawing>
          <wp:inline distT="0" distB="0" distL="114300" distR="114300">
            <wp:extent cx="5278755" cy="2721610"/>
            <wp:effectExtent l="0" t="0" r="17145" b="2540"/>
            <wp:docPr id="13" name="图片 2"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descr="图形用户界面, 应用程序&#10;&#10;描述已自动生成"/>
                    <pic:cNvPicPr>
                      <a:picLocks noChangeAspect="1"/>
                    </pic:cNvPicPr>
                  </pic:nvPicPr>
                  <pic:blipFill>
                    <a:blip xmlns:r="http://schemas.openxmlformats.org/officeDocument/2006/relationships" r:embed="rId6"/>
                    <a:stretch>
                      <a:fillRect/>
                    </a:stretch>
                  </pic:blipFill>
                  <pic:spPr>
                    <a:xfrm>
                      <a:off x="0" y="0"/>
                      <a:ext cx="5278755" cy="2721610"/>
                    </a:xfrm>
                    <a:prstGeom prst="rect">
                      <a:avLst/>
                    </a:prstGeom>
                    <a:noFill/>
                    <a:ln>
                      <a:noFill/>
                    </a:ln>
                  </pic:spPr>
                </pic:pic>
              </a:graphicData>
            </a:graphic>
          </wp:inline>
        </w:drawing>
      </w:r>
    </w:p>
    <w:p w:rsidR="008C0A47">
      <w:pPr>
        <w:ind w:firstLine="470" w:firstLineChars="196"/>
        <w:rPr>
          <w:rFonts w:ascii="宋体" w:hAnsi="宋体"/>
        </w:rPr>
      </w:pPr>
      <w:r>
        <w:rPr>
          <w:rFonts w:ascii="宋体" w:hAnsi="宋体" w:hint="eastAsia"/>
        </w:rPr>
        <w:t>在投标文件制作软件点击【生成标书】按钮进入【填写开标一览表界面】界面，在该界面填写完开标一览表信息后点击【确定】，进入投标文件生成环节</w:t>
      </w:r>
    </w:p>
    <w:p w:rsidR="008C0A47">
      <w:pPr>
        <w:jc w:val="center"/>
        <w:rPr>
          <w:rFonts w:ascii="宋体" w:hAnsi="宋体" w:cs="宋体"/>
          <w:sz w:val="24"/>
        </w:rPr>
      </w:pPr>
      <w:r>
        <w:rPr>
          <w:rFonts w:ascii="宋体" w:hAnsi="宋体"/>
          <w:noProof/>
        </w:rPr>
        <w:drawing>
          <wp:inline distT="0" distB="0" distL="114300" distR="114300">
            <wp:extent cx="5278755" cy="2732405"/>
            <wp:effectExtent l="0" t="0" r="17145" b="10795"/>
            <wp:docPr id="12" name="图片 3" descr="图形用户界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descr="图形用户界面&#10;&#10;描述已自动生成"/>
                    <pic:cNvPicPr>
                      <a:picLocks noChangeAspect="1"/>
                    </pic:cNvPicPr>
                  </pic:nvPicPr>
                  <pic:blipFill>
                    <a:blip xmlns:r="http://schemas.openxmlformats.org/officeDocument/2006/relationships" r:embed="rId7"/>
                    <a:stretch>
                      <a:fillRect/>
                    </a:stretch>
                  </pic:blipFill>
                  <pic:spPr>
                    <a:xfrm>
                      <a:off x="0" y="0"/>
                      <a:ext cx="5278755" cy="2732405"/>
                    </a:xfrm>
                    <a:prstGeom prst="rect">
                      <a:avLst/>
                    </a:prstGeom>
                    <a:noFill/>
                    <a:ln>
                      <a:noFill/>
                    </a:ln>
                  </pic:spPr>
                </pic:pic>
              </a:graphicData>
            </a:graphic>
          </wp:inline>
        </w:drawing>
      </w:r>
    </w:p>
    <w:p w:rsidR="008C0A47">
      <w:pPr>
        <w:widowControl/>
        <w:ind w:firstLine="470" w:firstLineChars="196"/>
        <w:jc w:val="left"/>
        <w:rPr>
          <w:rFonts w:asciiTheme="majorEastAsia" w:eastAsiaTheme="majorEastAsia" w:hAnsiTheme="majorEastAsia" w:cstheme="majorEastAsia"/>
          <w:szCs w:val="21"/>
        </w:rPr>
      </w:pPr>
      <w:r>
        <w:rPr>
          <w:rFonts w:ascii="宋体" w:hAnsi="宋体" w:hint="eastAsia"/>
        </w:rPr>
        <w:t>投标文件制作软件会在投标文件生成过程中，提示用户输入密码，输入密码后对</w:t>
      </w:r>
      <w:r>
        <w:rPr>
          <w:rFonts w:ascii="宋体" w:hAnsi="宋体" w:hint="eastAsia"/>
        </w:rPr>
        <w:t>标文件</w:t>
      </w:r>
      <w:r>
        <w:rPr>
          <w:rFonts w:ascii="宋体" w:hAnsi="宋体" w:hint="eastAsia"/>
        </w:rPr>
        <w:t>自动进行加密。</w:t>
      </w:r>
    </w:p>
    <w:p w:rsidR="008C0A47">
      <w:pPr>
        <w:spacing w:line="440" w:lineRule="exact"/>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 xml:space="preserve"> 24.2</w:t>
      </w:r>
      <w:r>
        <w:rPr>
          <w:rFonts w:asciiTheme="majorEastAsia" w:eastAsiaTheme="majorEastAsia" w:hAnsiTheme="majorEastAsia" w:cstheme="majorEastAsia" w:hint="eastAsia"/>
          <w:b/>
          <w:szCs w:val="21"/>
        </w:rPr>
        <w:t>若采购项目出现延期情况：</w:t>
      </w:r>
    </w:p>
    <w:p w:rsidR="008C0A47">
      <w:pPr>
        <w:ind w:firstLine="480" w:firstLineChars="200"/>
        <w:rPr>
          <w:rFonts w:ascii="宋体" w:hAnsi="宋体" w:cs="宋体"/>
          <w:b/>
          <w:sz w:val="24"/>
        </w:rPr>
      </w:pPr>
      <w:r>
        <w:rPr>
          <w:rFonts w:ascii="宋体" w:hAnsi="宋体" w:hint="eastAsia"/>
          <w:b/>
        </w:rPr>
        <w:t>如果供下载的招标文件（后缀名为</w:t>
      </w:r>
      <w:r>
        <w:rPr>
          <w:rFonts w:ascii="宋体" w:hAnsi="宋体" w:hint="eastAsia"/>
          <w:b/>
        </w:rPr>
        <w:t>.</w:t>
      </w:r>
      <w:r>
        <w:rPr>
          <w:rFonts w:ascii="宋体" w:hAnsi="宋体"/>
          <w:b/>
        </w:rPr>
        <w:t>szczf</w:t>
      </w:r>
      <w:r>
        <w:rPr>
          <w:rFonts w:ascii="宋体" w:hAnsi="宋体" w:hint="eastAsia"/>
          <w:b/>
        </w:rPr>
        <w:t>）有更新，投标人必须重新下载招标文件、重新制作投标文件、重新加密投标文件、重新上传投标文件；如果供下载的招标文件（后缀名为</w:t>
      </w:r>
      <w:r>
        <w:rPr>
          <w:rFonts w:ascii="宋体" w:hAnsi="宋体" w:hint="eastAsia"/>
          <w:b/>
        </w:rPr>
        <w:t>.</w:t>
      </w:r>
      <w:r>
        <w:rPr>
          <w:rFonts w:ascii="宋体" w:hAnsi="宋体"/>
          <w:b/>
        </w:rPr>
        <w:t>szczf</w:t>
      </w:r>
      <w:r>
        <w:rPr>
          <w:rFonts w:ascii="宋体" w:hAnsi="宋体" w:hint="eastAsia"/>
          <w:b/>
        </w:rPr>
        <w:t>）没有更新，投标人必须重新加密投标文件、重新上传投标文件（是否重新制作投标文件根据项目实际情况定）。否则，投标人自行承担投标文件无法解密导致投标无效的后果</w:t>
      </w:r>
      <w:r>
        <w:rPr>
          <w:rFonts w:ascii="宋体" w:hAnsi="宋体" w:cs="宋体" w:hint="eastAsia"/>
          <w:b/>
        </w:rPr>
        <w:t>。</w:t>
      </w:r>
    </w:p>
    <w:p w:rsidR="008C0A47">
      <w:pPr>
        <w:spacing w:line="440" w:lineRule="exact"/>
        <w:ind w:firstLine="480" w:firstLineChars="200"/>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25</w:t>
      </w:r>
      <w:r>
        <w:rPr>
          <w:rFonts w:asciiTheme="majorEastAsia" w:eastAsiaTheme="majorEastAsia" w:hAnsiTheme="majorEastAsia" w:cstheme="majorEastAsia" w:hint="eastAsia"/>
          <w:b/>
          <w:szCs w:val="21"/>
        </w:rPr>
        <w:t>．投标截止日期</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25.1</w:t>
      </w:r>
      <w:r>
        <w:rPr>
          <w:rFonts w:ascii="宋体" w:hAnsi="宋体" w:hint="eastAsia"/>
        </w:rPr>
        <w:t>实行网上投标，</w:t>
      </w:r>
      <w:r>
        <w:rPr>
          <w:rFonts w:ascii="宋体" w:hAnsi="宋体"/>
        </w:rPr>
        <w:t>投标人必须</w:t>
      </w:r>
      <w:r>
        <w:rPr>
          <w:rFonts w:ascii="宋体" w:hAnsi="宋体" w:hint="eastAsia"/>
        </w:rPr>
        <w:t>在招标</w:t>
      </w:r>
      <w:r>
        <w:rPr>
          <w:rFonts w:ascii="宋体" w:hAnsi="宋体"/>
        </w:rPr>
        <w:t>文件规定的投标截止时间前</w:t>
      </w:r>
      <w:r>
        <w:rPr>
          <w:rFonts w:ascii="宋体" w:hAnsi="宋体" w:hint="eastAsia"/>
        </w:rPr>
        <w:t>用电子密钥登录“深圳政府采购智慧平台用户网上办事子系统（</w:t>
      </w:r>
      <w:r>
        <w:rPr>
          <w:rFonts w:ascii="宋体" w:hAnsi="宋体" w:hint="eastAsia"/>
        </w:rPr>
        <w:t>http://zfcg.szggzy.com/TPBidder/memberLog</w:t>
      </w:r>
      <w:r>
        <w:rPr>
          <w:rFonts w:ascii="宋体" w:hAnsi="宋体" w:hint="eastAsia"/>
        </w:rPr>
        <w:t>in</w:t>
      </w:r>
      <w:r>
        <w:rPr>
          <w:rFonts w:ascii="宋体" w:hAnsi="宋体" w:hint="eastAsia"/>
        </w:rPr>
        <w:t>）”，用“【我的项目】→【项目流程】→【递交投标</w:t>
      </w:r>
      <w:r>
        <w:rPr>
          <w:rFonts w:ascii="宋体" w:hAnsi="宋体" w:hint="eastAsia"/>
        </w:rPr>
        <w:t>(</w:t>
      </w:r>
      <w:r>
        <w:rPr>
          <w:rFonts w:ascii="宋体" w:hAnsi="宋体" w:hint="eastAsia"/>
        </w:rPr>
        <w:t>应答</w:t>
      </w:r>
      <w:r>
        <w:rPr>
          <w:rFonts w:ascii="宋体" w:hAnsi="宋体" w:hint="eastAsia"/>
        </w:rPr>
        <w:t>)</w:t>
      </w:r>
      <w:r>
        <w:rPr>
          <w:rFonts w:ascii="宋体" w:hAnsi="宋体" w:hint="eastAsia"/>
        </w:rPr>
        <w:t>文件】”功能点上传投标文件。如果确有困难，多次上传均告失败，请在投标截止时间之前携带加密后的电子投标文件送达至</w:t>
      </w:r>
      <w:r>
        <w:rPr>
          <w:rFonts w:ascii="宋体" w:hAnsi="宋体" w:hint="eastAsia"/>
          <w:b/>
          <w:bCs/>
          <w:szCs w:val="21"/>
        </w:rPr>
        <w:t>深圳公共资源交易中心（深圳交易集团有限公司政府采购业务分公司）</w:t>
      </w:r>
      <w:r>
        <w:rPr>
          <w:rFonts w:ascii="宋体" w:hAnsi="宋体" w:hint="eastAsia"/>
          <w:b/>
          <w:bCs/>
          <w:szCs w:val="21"/>
        </w:rPr>
        <w:t>3</w:t>
      </w:r>
      <w:r>
        <w:rPr>
          <w:rFonts w:ascii="宋体" w:hAnsi="宋体" w:hint="eastAsia"/>
          <w:b/>
          <w:bCs/>
          <w:szCs w:val="21"/>
        </w:rPr>
        <w:t>楼</w:t>
      </w:r>
      <w:r>
        <w:rPr>
          <w:rFonts w:ascii="宋体" w:hAnsi="宋体" w:hint="eastAsia"/>
          <w:b/>
          <w:bCs/>
          <w:szCs w:val="21"/>
        </w:rPr>
        <w:t>304</w:t>
      </w:r>
      <w:r>
        <w:rPr>
          <w:rFonts w:ascii="宋体" w:hAnsi="宋体" w:hint="eastAsia"/>
          <w:b/>
          <w:bCs/>
          <w:szCs w:val="21"/>
        </w:rPr>
        <w:t>室（地址：深圳市福田区景田路</w:t>
      </w:r>
      <w:r>
        <w:rPr>
          <w:rFonts w:ascii="宋体" w:hAnsi="宋体" w:hint="eastAsia"/>
          <w:b/>
          <w:bCs/>
          <w:szCs w:val="21"/>
        </w:rPr>
        <w:t>70</w:t>
      </w:r>
      <w:r>
        <w:rPr>
          <w:rFonts w:ascii="宋体" w:hAnsi="宋体" w:hint="eastAsia"/>
          <w:b/>
          <w:bCs/>
          <w:szCs w:val="21"/>
        </w:rPr>
        <w:t>号</w:t>
      </w:r>
      <w:r>
        <w:rPr>
          <w:rFonts w:ascii="宋体" w:hAnsi="宋体" w:hint="eastAsia"/>
          <w:b/>
          <w:bCs/>
          <w:szCs w:val="21"/>
        </w:rPr>
        <w:t>雅枫国际</w:t>
      </w:r>
      <w:r>
        <w:rPr>
          <w:rFonts w:ascii="宋体" w:hAnsi="宋体" w:hint="eastAsia"/>
          <w:b/>
          <w:bCs/>
          <w:szCs w:val="21"/>
        </w:rPr>
        <w:t>酒店北侧交易集团评审区三楼），联系方式：</w:t>
      </w:r>
      <w:r>
        <w:rPr>
          <w:rFonts w:ascii="宋体" w:hAnsi="宋体" w:hint="eastAsia"/>
          <w:b/>
          <w:bCs/>
          <w:szCs w:val="21"/>
        </w:rPr>
        <w:t>83948100</w:t>
      </w:r>
      <w:r>
        <w:rPr>
          <w:rFonts w:ascii="宋体" w:hAnsi="宋体" w:hint="eastAsia"/>
          <w:b/>
          <w:bCs/>
          <w:szCs w:val="21"/>
        </w:rPr>
        <w:t>，</w:t>
      </w:r>
      <w:r>
        <w:rPr>
          <w:rFonts w:ascii="宋体" w:hAnsi="宋体" w:hint="eastAsia"/>
          <w:b/>
          <w:bCs/>
          <w:szCs w:val="21"/>
        </w:rPr>
        <w:t>83938584</w:t>
      </w:r>
      <w:r>
        <w:rPr>
          <w:rFonts w:ascii="宋体" w:hAnsi="宋体" w:hint="eastAsia"/>
          <w:b/>
          <w:bCs/>
          <w:szCs w:val="21"/>
        </w:rPr>
        <w:t>，</w:t>
      </w:r>
      <w:r>
        <w:rPr>
          <w:rFonts w:ascii="宋体" w:hAnsi="宋体" w:hint="eastAsia"/>
          <w:b/>
          <w:bCs/>
          <w:szCs w:val="21"/>
        </w:rPr>
        <w:t>83938599</w:t>
      </w:r>
      <w:r>
        <w:rPr>
          <w:rFonts w:asciiTheme="majorEastAsia" w:eastAsiaTheme="majorEastAsia" w:hAnsiTheme="majorEastAsia" w:cstheme="majorEastAsia" w:hint="eastAsia"/>
          <w:szCs w:val="21"/>
        </w:rPr>
        <w:t>。</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25.2</w:t>
      </w:r>
      <w:r>
        <w:rPr>
          <w:rFonts w:asciiTheme="majorEastAsia" w:eastAsiaTheme="majorEastAsia" w:hAnsiTheme="majorEastAsia" w:cstheme="majorEastAsia" w:hint="eastAsia"/>
          <w:szCs w:val="21"/>
        </w:rPr>
        <w:t>采购代理机构可以按本通用条款第</w:t>
      </w:r>
      <w:r>
        <w:rPr>
          <w:rFonts w:asciiTheme="majorEastAsia" w:eastAsiaTheme="majorEastAsia" w:hAnsiTheme="majorEastAsia" w:cstheme="majorEastAsia" w:hint="eastAsia"/>
          <w:szCs w:val="21"/>
        </w:rPr>
        <w:t>13</w:t>
      </w:r>
      <w:r>
        <w:rPr>
          <w:rFonts w:asciiTheme="majorEastAsia" w:eastAsiaTheme="majorEastAsia" w:hAnsiTheme="majorEastAsia" w:cstheme="majorEastAsia" w:hint="eastAsia"/>
          <w:szCs w:val="21"/>
        </w:rPr>
        <w:t>条规定，通过修改招标文件自行决定酌情延长投标截止期。在此情况下，采购代理机构、采购人和投标</w:t>
      </w:r>
      <w:r>
        <w:rPr>
          <w:rFonts w:asciiTheme="majorEastAsia" w:eastAsiaTheme="majorEastAsia" w:hAnsiTheme="majorEastAsia" w:cstheme="majorEastAsia" w:hint="eastAsia"/>
          <w:szCs w:val="21"/>
        </w:rPr>
        <w:t>人受投标截止期制约的所有权利和义务均应延长至新的截止期。</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25.3</w:t>
      </w:r>
      <w:r>
        <w:rPr>
          <w:rFonts w:asciiTheme="majorEastAsia" w:eastAsiaTheme="majorEastAsia" w:hAnsiTheme="majorEastAsia" w:cstheme="majorEastAsia" w:hint="eastAsia"/>
          <w:szCs w:val="21"/>
        </w:rPr>
        <w:t>投标截止时间以后不得上传投标文件。</w:t>
      </w:r>
    </w:p>
    <w:p w:rsidR="008C0A47">
      <w:pPr>
        <w:spacing w:line="440" w:lineRule="exact"/>
        <w:ind w:firstLine="480" w:firstLineChars="200"/>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 xml:space="preserve">26. </w:t>
      </w:r>
      <w:r>
        <w:rPr>
          <w:rFonts w:asciiTheme="majorEastAsia" w:eastAsiaTheme="majorEastAsia" w:hAnsiTheme="majorEastAsia" w:cstheme="majorEastAsia" w:hint="eastAsia"/>
          <w:b/>
          <w:szCs w:val="21"/>
        </w:rPr>
        <w:t>样品、现场演示、方案讲解</w:t>
      </w:r>
    </w:p>
    <w:p w:rsidR="008C0A47">
      <w:pPr>
        <w:spacing w:line="440" w:lineRule="exact"/>
        <w:ind w:firstLine="470" w:firstLineChars="196"/>
        <w:rPr>
          <w:rFonts w:ascii="宋体" w:hAnsi="宋体"/>
          <w:szCs w:val="21"/>
        </w:rPr>
      </w:pPr>
      <w:r>
        <w:rPr>
          <w:rFonts w:ascii="宋体" w:hAnsi="宋体" w:hint="eastAsia"/>
          <w:szCs w:val="21"/>
        </w:rPr>
        <w:t xml:space="preserve">26.1 </w:t>
      </w:r>
      <w:r>
        <w:rPr>
          <w:rFonts w:ascii="宋体" w:hAnsi="宋体" w:hint="eastAsia"/>
          <w:szCs w:val="21"/>
        </w:rPr>
        <w:t>样品、现场演示、方案讲解等事项在招标文件专用条款中进行规定。</w:t>
      </w:r>
    </w:p>
    <w:p w:rsidR="008C0A47">
      <w:pPr>
        <w:spacing w:line="440" w:lineRule="exact"/>
        <w:ind w:firstLine="480" w:firstLineChars="200"/>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27</w:t>
      </w:r>
      <w:r>
        <w:rPr>
          <w:rFonts w:asciiTheme="majorEastAsia" w:eastAsiaTheme="majorEastAsia" w:hAnsiTheme="majorEastAsia" w:cstheme="majorEastAsia" w:hint="eastAsia"/>
          <w:b/>
          <w:szCs w:val="21"/>
        </w:rPr>
        <w:t>．投标文件的修改和撤销</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27.1</w:t>
      </w:r>
      <w:r>
        <w:rPr>
          <w:rFonts w:asciiTheme="majorEastAsia" w:eastAsiaTheme="majorEastAsia" w:hAnsiTheme="majorEastAsia" w:cstheme="majorEastAsia" w:hint="eastAsia"/>
          <w:szCs w:val="21"/>
        </w:rPr>
        <w:t>投标方在提交投标文件后可对其投标文件进行修改并重新上传投标文件或在网上进行撤回投标的操作。</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27.2</w:t>
      </w:r>
      <w:r>
        <w:rPr>
          <w:rFonts w:asciiTheme="majorEastAsia" w:eastAsiaTheme="majorEastAsia" w:hAnsiTheme="majorEastAsia" w:cstheme="majorEastAsia" w:hint="eastAsia"/>
          <w:szCs w:val="21"/>
        </w:rPr>
        <w:t>投标截止时间以后不得修改投标文件。</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27.3</w:t>
      </w:r>
      <w:r>
        <w:rPr>
          <w:rFonts w:asciiTheme="majorEastAsia" w:eastAsiaTheme="majorEastAsia" w:hAnsiTheme="majorEastAsia" w:cstheme="majorEastAsia" w:hint="eastAsia"/>
          <w:szCs w:val="21"/>
        </w:rPr>
        <w:t>从投标截止期至投标人在投标书中确定的投标有效期之间的这段时间内，投标人不得撤销其投标。</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27.4</w:t>
      </w:r>
      <w:r>
        <w:rPr>
          <w:rFonts w:asciiTheme="majorEastAsia" w:eastAsiaTheme="majorEastAsia" w:hAnsiTheme="majorEastAsia" w:cstheme="majorEastAsia" w:hint="eastAsia"/>
          <w:szCs w:val="21"/>
        </w:rPr>
        <w:t>采购代理机构不退还投标文件，专用条款另有规定的除外。</w:t>
      </w:r>
    </w:p>
    <w:p w:rsidR="008C0A47">
      <w:pPr>
        <w:pStyle w:val="Heading2"/>
        <w:numPr>
          <w:ilvl w:val="0"/>
          <w:numId w:val="2"/>
        </w:numPr>
        <w:spacing w:before="120" w:after="120" w:line="440" w:lineRule="exact"/>
        <w:ind w:left="482" w:hanging="482"/>
        <w:rPr>
          <w:rFonts w:ascii="微软雅黑" w:eastAsia="微软雅黑" w:hAnsi="微软雅黑" w:cs="微软雅黑"/>
          <w:b/>
          <w:bCs/>
          <w:szCs w:val="24"/>
        </w:rPr>
      </w:pPr>
      <w:r>
        <w:rPr>
          <w:rFonts w:ascii="微软雅黑" w:eastAsia="微软雅黑" w:hAnsi="微软雅黑" w:cs="微软雅黑" w:hint="eastAsia"/>
          <w:b/>
          <w:bCs/>
          <w:szCs w:val="24"/>
        </w:rPr>
        <w:t xml:space="preserve">  </w:t>
      </w:r>
      <w:r>
        <w:rPr>
          <w:rFonts w:ascii="微软雅黑" w:eastAsia="微软雅黑" w:hAnsi="微软雅黑" w:cs="微软雅黑" w:hint="eastAsia"/>
          <w:b/>
          <w:bCs/>
          <w:szCs w:val="24"/>
        </w:rPr>
        <w:t>开标</w:t>
      </w:r>
    </w:p>
    <w:p w:rsidR="008C0A47">
      <w:pPr>
        <w:spacing w:line="440" w:lineRule="exact"/>
        <w:ind w:firstLine="480" w:firstLineChars="200"/>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28</w:t>
      </w:r>
      <w:r>
        <w:rPr>
          <w:rFonts w:asciiTheme="majorEastAsia" w:eastAsiaTheme="majorEastAsia" w:hAnsiTheme="majorEastAsia" w:cstheme="majorEastAsia" w:hint="eastAsia"/>
          <w:b/>
          <w:szCs w:val="21"/>
        </w:rPr>
        <w:t>．开标</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28.1</w:t>
      </w:r>
      <w:r>
        <w:rPr>
          <w:rFonts w:ascii="宋体" w:hAnsi="宋体" w:hint="eastAsia"/>
        </w:rPr>
        <w:t>投标人须在开标当日的开标时间至解密截止时间内进行解密，逾期未解密的作无效处理。解密方法：登录“深圳政府采购智慧平台用户网上办事子系统（</w:t>
      </w:r>
      <w:r>
        <w:rPr>
          <w:rFonts w:ascii="宋体" w:hAnsi="宋体"/>
        </w:rPr>
        <w:t>http://zfcg.szggzy.com/</w:t>
      </w:r>
      <w:r>
        <w:rPr>
          <w:rFonts w:ascii="宋体" w:hAnsi="宋体" w:hint="eastAsia"/>
        </w:rPr>
        <w:t>TPBidder/memberLogin</w:t>
      </w:r>
      <w:r>
        <w:rPr>
          <w:rFonts w:ascii="宋体" w:hAnsi="宋体" w:hint="eastAsia"/>
        </w:rPr>
        <w:t>）”，使用本单位制作电子投标文件同一个电子密钥，在“【我的项目】→【项目流程】→【开标及解密】”进行在线</w:t>
      </w:r>
      <w:r>
        <w:rPr>
          <w:rFonts w:ascii="宋体" w:hAnsi="宋体" w:hint="eastAsia"/>
        </w:rPr>
        <w:t>解密、查询开标情况</w:t>
      </w:r>
      <w:r>
        <w:rPr>
          <w:rFonts w:asciiTheme="majorEastAsia" w:eastAsiaTheme="majorEastAsia" w:hAnsiTheme="majorEastAsia" w:cstheme="majorEastAsia" w:hint="eastAsia"/>
          <w:szCs w:val="21"/>
        </w:rPr>
        <w:t>。</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28.2 </w:t>
      </w:r>
      <w:r>
        <w:rPr>
          <w:rFonts w:asciiTheme="majorEastAsia" w:eastAsiaTheme="majorEastAsia" w:hAnsiTheme="majorEastAsia" w:cstheme="majorEastAsia" w:hint="eastAsia"/>
          <w:szCs w:val="21"/>
        </w:rPr>
        <w:t>采购代理机构</w:t>
      </w:r>
      <w:r>
        <w:rPr>
          <w:rFonts w:ascii="宋体" w:hAnsi="宋体" w:hint="eastAsia"/>
          <w:szCs w:val="21"/>
        </w:rPr>
        <w:t>将在满足开标条件（</w:t>
      </w:r>
      <w:r>
        <w:rPr>
          <w:rFonts w:ascii="宋体" w:hAnsi="宋体" w:cs="宋体" w:hint="eastAsia"/>
          <w:color w:val="333333"/>
          <w:sz w:val="20"/>
          <w:szCs w:val="20"/>
          <w:shd w:val="clear" w:color="auto" w:fill="FFFFFF"/>
        </w:rPr>
        <w:t>①</w:t>
      </w:r>
      <w:r>
        <w:rPr>
          <w:rFonts w:ascii="宋体" w:hAnsi="宋体" w:hint="eastAsia"/>
          <w:szCs w:val="21"/>
        </w:rPr>
        <w:t>解密时间结束，解密后的投标供应商数量满足开标要求或</w:t>
      </w:r>
      <w:r>
        <w:rPr>
          <w:rFonts w:ascii="宋体" w:hAnsi="宋体" w:cs="宋体" w:hint="eastAsia"/>
          <w:color w:val="333333"/>
          <w:sz w:val="20"/>
          <w:szCs w:val="20"/>
          <w:shd w:val="clear" w:color="auto" w:fill="FFFFFF"/>
        </w:rPr>
        <w:t>②</w:t>
      </w:r>
      <w:r>
        <w:rPr>
          <w:rFonts w:ascii="宋体" w:hAnsi="宋体" w:hint="eastAsia"/>
          <w:szCs w:val="21"/>
        </w:rPr>
        <w:t>解密时间结束前所有投标供应商均完成投标文件解密）后，对投标文件进行开标，并在网上公布开标结果</w:t>
      </w:r>
      <w:r>
        <w:rPr>
          <w:rFonts w:asciiTheme="majorEastAsia" w:eastAsiaTheme="majorEastAsia" w:hAnsiTheme="majorEastAsia" w:cstheme="majorEastAsia" w:hint="eastAsia"/>
          <w:szCs w:val="21"/>
        </w:rPr>
        <w:t>。</w:t>
      </w:r>
    </w:p>
    <w:p w:rsidR="008C0A47">
      <w:pPr>
        <w:pStyle w:val="Heading2"/>
        <w:numPr>
          <w:ilvl w:val="0"/>
          <w:numId w:val="2"/>
        </w:numPr>
        <w:spacing w:before="120" w:after="120" w:line="440" w:lineRule="exact"/>
        <w:ind w:left="482" w:hanging="482"/>
        <w:rPr>
          <w:rFonts w:ascii="微软雅黑" w:eastAsia="微软雅黑" w:hAnsi="微软雅黑" w:cs="微软雅黑"/>
          <w:b/>
          <w:bCs/>
          <w:szCs w:val="24"/>
        </w:rPr>
      </w:pPr>
      <w:r>
        <w:rPr>
          <w:rFonts w:ascii="微软雅黑" w:eastAsia="微软雅黑" w:hAnsi="微软雅黑" w:cs="微软雅黑" w:hint="eastAsia"/>
          <w:b/>
          <w:bCs/>
          <w:szCs w:val="24"/>
        </w:rPr>
        <w:t xml:space="preserve">  </w:t>
      </w:r>
      <w:r>
        <w:rPr>
          <w:rFonts w:ascii="微软雅黑" w:eastAsia="微软雅黑" w:hAnsi="微软雅黑" w:cs="微软雅黑" w:hint="eastAsia"/>
          <w:b/>
          <w:bCs/>
          <w:szCs w:val="24"/>
        </w:rPr>
        <w:t>评标要求</w:t>
      </w:r>
    </w:p>
    <w:p w:rsidR="008C0A47">
      <w:pPr>
        <w:spacing w:line="440" w:lineRule="exact"/>
        <w:ind w:firstLine="480" w:firstLineChars="200"/>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29</w:t>
      </w:r>
      <w:r>
        <w:rPr>
          <w:rFonts w:asciiTheme="majorEastAsia" w:eastAsiaTheme="majorEastAsia" w:hAnsiTheme="majorEastAsia" w:cstheme="majorEastAsia" w:hint="eastAsia"/>
          <w:b/>
          <w:szCs w:val="21"/>
        </w:rPr>
        <w:t>．评审委员会组成</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29.1</w:t>
      </w:r>
      <w:r>
        <w:rPr>
          <w:rFonts w:asciiTheme="majorEastAsia" w:eastAsiaTheme="majorEastAsia" w:hAnsiTheme="majorEastAsia" w:cstheme="majorEastAsia" w:hint="eastAsia"/>
          <w:szCs w:val="21"/>
        </w:rPr>
        <w:t>网上开标结束后召开评标会议，评审委员会由采购代理机构依法组建，负责评标活动。</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评审委员会由采购人代表和评审专家组成，成员人数为五人以上的单数。评定分离项目评审专家均由评审专家组成。采购人代表须持本单位签发的《评标授权书》参加评标。</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29.2</w:t>
      </w:r>
      <w:r>
        <w:rPr>
          <w:rFonts w:asciiTheme="majorEastAsia" w:eastAsiaTheme="majorEastAsia" w:hAnsiTheme="majorEastAsia" w:cstheme="majorEastAsia" w:hint="eastAsia"/>
          <w:szCs w:val="21"/>
        </w:rPr>
        <w:t>评标定标应当遵循公平、公正、科学、择优的原则。</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29.3</w:t>
      </w:r>
      <w:r>
        <w:rPr>
          <w:rFonts w:asciiTheme="majorEastAsia" w:eastAsiaTheme="majorEastAsia" w:hAnsiTheme="majorEastAsia" w:cstheme="majorEastAsia" w:hint="eastAsia"/>
          <w:szCs w:val="21"/>
        </w:rPr>
        <w:t>评标活动依法进行，任何单位和个人不得非法干预评标过程和结果。</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29.4</w:t>
      </w:r>
      <w:r>
        <w:rPr>
          <w:rFonts w:asciiTheme="majorEastAsia" w:eastAsiaTheme="majorEastAsia" w:hAnsiTheme="majorEastAsia" w:cstheme="majorEastAsia" w:hint="eastAsia"/>
          <w:szCs w:val="21"/>
        </w:rPr>
        <w:t>评标过程中不允许违背评标程序或采用招标文件未载明的评标方法或评标因素进行评标。</w:t>
      </w:r>
    </w:p>
    <w:p w:rsidR="008C0A47">
      <w:pPr>
        <w:spacing w:line="440" w:lineRule="exact"/>
        <w:ind w:firstLine="470" w:firstLineChars="196"/>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 xml:space="preserve">29.5 </w:t>
      </w:r>
      <w:r>
        <w:rPr>
          <w:rFonts w:asciiTheme="majorEastAsia" w:eastAsiaTheme="majorEastAsia" w:hAnsiTheme="majorEastAsia" w:cstheme="majorEastAsia" w:hint="eastAsia"/>
          <w:bCs/>
          <w:szCs w:val="21"/>
        </w:rPr>
        <w:t>开标后，直到签订合同为止，凡属于对投标文件的审查、澄清、评价和比较的有关资料以及中标候选人的推荐情况、与评标有关的其他任何情况均严格保密（</w:t>
      </w:r>
      <w:r>
        <w:rPr>
          <w:rFonts w:asciiTheme="majorEastAsia" w:eastAsiaTheme="majorEastAsia" w:hAnsiTheme="majorEastAsia" w:cstheme="majorEastAsia" w:hint="eastAsia"/>
          <w:szCs w:val="21"/>
        </w:rPr>
        <w:t>信息公开的内容除外</w:t>
      </w:r>
      <w:r>
        <w:rPr>
          <w:rFonts w:asciiTheme="majorEastAsia" w:eastAsiaTheme="majorEastAsia" w:hAnsiTheme="majorEastAsia" w:cstheme="majorEastAsia" w:hint="eastAsia"/>
          <w:bCs/>
          <w:szCs w:val="21"/>
        </w:rPr>
        <w:t>）。</w:t>
      </w:r>
    </w:p>
    <w:p w:rsidR="008C0A47">
      <w:pPr>
        <w:spacing w:line="440" w:lineRule="exact"/>
        <w:ind w:firstLine="480" w:firstLineChars="200"/>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30</w:t>
      </w:r>
      <w:r>
        <w:rPr>
          <w:rFonts w:asciiTheme="majorEastAsia" w:eastAsiaTheme="majorEastAsia" w:hAnsiTheme="majorEastAsia" w:cstheme="majorEastAsia" w:hint="eastAsia"/>
          <w:b/>
          <w:szCs w:val="21"/>
        </w:rPr>
        <w:t>．向评审委员会提供的资料</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30.1</w:t>
      </w:r>
      <w:r>
        <w:rPr>
          <w:rFonts w:asciiTheme="majorEastAsia" w:eastAsiaTheme="majorEastAsia" w:hAnsiTheme="majorEastAsia" w:cstheme="majorEastAsia" w:hint="eastAsia"/>
          <w:szCs w:val="21"/>
        </w:rPr>
        <w:t>公开发布的招标文件，包括图纸、服务清单、答疑文件等；</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30.2</w:t>
      </w:r>
      <w:r>
        <w:rPr>
          <w:rFonts w:asciiTheme="majorEastAsia" w:eastAsiaTheme="majorEastAsia" w:hAnsiTheme="majorEastAsia" w:cstheme="majorEastAsia" w:hint="eastAsia"/>
          <w:szCs w:val="21"/>
        </w:rPr>
        <w:t>其他评标必须的资料。</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30.3</w:t>
      </w:r>
      <w:r>
        <w:rPr>
          <w:rFonts w:asciiTheme="majorEastAsia" w:eastAsiaTheme="majorEastAsia" w:hAnsiTheme="majorEastAsia" w:cstheme="majorEastAsia" w:hint="eastAsia"/>
          <w:szCs w:val="21"/>
        </w:rPr>
        <w:t>评审委员会应当认真研究招标文件，至少应了解熟悉以下内容：</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1</w:t>
      </w:r>
      <w:r>
        <w:rPr>
          <w:rFonts w:asciiTheme="majorEastAsia" w:eastAsiaTheme="majorEastAsia" w:hAnsiTheme="majorEastAsia" w:cstheme="majorEastAsia" w:hint="eastAsia"/>
          <w:szCs w:val="21"/>
        </w:rPr>
        <w:t>）招标的目的；</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2</w:t>
      </w:r>
      <w:r>
        <w:rPr>
          <w:rFonts w:asciiTheme="majorEastAsia" w:eastAsiaTheme="majorEastAsia" w:hAnsiTheme="majorEastAsia" w:cstheme="majorEastAsia" w:hint="eastAsia"/>
          <w:szCs w:val="21"/>
        </w:rPr>
        <w:t>）招标项目需求的范围和性质；</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3</w:t>
      </w:r>
      <w:r>
        <w:rPr>
          <w:rFonts w:asciiTheme="majorEastAsia" w:eastAsiaTheme="majorEastAsia" w:hAnsiTheme="majorEastAsia" w:cstheme="majorEastAsia" w:hint="eastAsia"/>
          <w:szCs w:val="21"/>
        </w:rPr>
        <w:t>）招标文件规定的投标人的资格、财政预算限额、商务条款；</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4</w:t>
      </w:r>
      <w:r>
        <w:rPr>
          <w:rFonts w:asciiTheme="majorEastAsia" w:eastAsiaTheme="majorEastAsia" w:hAnsiTheme="majorEastAsia" w:cstheme="majorEastAsia" w:hint="eastAsia"/>
          <w:szCs w:val="21"/>
        </w:rPr>
        <w:t>）招标文件规定的评标程序、评标方法和评标因素</w:t>
      </w:r>
      <w:r>
        <w:rPr>
          <w:rFonts w:asciiTheme="majorEastAsia" w:eastAsiaTheme="majorEastAsia" w:hAnsiTheme="majorEastAsia" w:cstheme="majorEastAsia" w:hint="eastAsia"/>
          <w:szCs w:val="21"/>
        </w:rPr>
        <w:t>；</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5</w:t>
      </w:r>
      <w:r>
        <w:rPr>
          <w:rFonts w:asciiTheme="majorEastAsia" w:eastAsiaTheme="majorEastAsia" w:hAnsiTheme="majorEastAsia" w:cstheme="majorEastAsia" w:hint="eastAsia"/>
          <w:szCs w:val="21"/>
        </w:rPr>
        <w:t>）招标文件所列示的资格性审查表及符合性审查表。</w:t>
      </w:r>
    </w:p>
    <w:p w:rsidR="008C0A47">
      <w:pPr>
        <w:spacing w:line="440" w:lineRule="exact"/>
        <w:ind w:firstLine="480" w:firstLineChars="200"/>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31</w:t>
      </w:r>
      <w:r>
        <w:rPr>
          <w:rFonts w:asciiTheme="majorEastAsia" w:eastAsiaTheme="majorEastAsia" w:hAnsiTheme="majorEastAsia" w:cstheme="majorEastAsia" w:hint="eastAsia"/>
          <w:b/>
          <w:szCs w:val="21"/>
        </w:rPr>
        <w:t>．独立评标</w:t>
      </w:r>
    </w:p>
    <w:p w:rsidR="008C0A47">
      <w:pPr>
        <w:spacing w:line="440" w:lineRule="exact"/>
        <w:ind w:firstLine="470" w:firstLineChars="196"/>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30.1</w:t>
      </w:r>
      <w:r>
        <w:rPr>
          <w:rFonts w:asciiTheme="majorEastAsia" w:eastAsiaTheme="majorEastAsia" w:hAnsiTheme="majorEastAsia" w:cstheme="majorEastAsia" w:hint="eastAsia"/>
          <w:szCs w:val="21"/>
        </w:rPr>
        <w:t>评审委员会</w:t>
      </w:r>
      <w:r>
        <w:rPr>
          <w:rFonts w:asciiTheme="majorEastAsia" w:eastAsiaTheme="majorEastAsia" w:hAnsiTheme="majorEastAsia" w:cstheme="majorEastAsia" w:hint="eastAsia"/>
          <w:bCs/>
          <w:szCs w:val="21"/>
        </w:rPr>
        <w:t>成员的评标活动应当独立进行，并应遵循投标文件初审、澄清有关问题、比较与评价、确定中标供应商、编写评标报告的工作程序。</w:t>
      </w:r>
    </w:p>
    <w:p w:rsidR="008C0A47">
      <w:pPr>
        <w:pStyle w:val="Heading2"/>
        <w:numPr>
          <w:ilvl w:val="0"/>
          <w:numId w:val="2"/>
        </w:numPr>
        <w:spacing w:before="120" w:after="120" w:line="440" w:lineRule="exact"/>
        <w:ind w:left="482" w:hanging="482"/>
        <w:rPr>
          <w:rFonts w:ascii="微软雅黑" w:eastAsia="微软雅黑" w:hAnsi="微软雅黑" w:cs="微软雅黑"/>
          <w:b/>
          <w:bCs/>
          <w:szCs w:val="24"/>
        </w:rPr>
      </w:pPr>
      <w:r>
        <w:rPr>
          <w:rFonts w:ascii="微软雅黑" w:eastAsia="微软雅黑" w:hAnsi="微软雅黑" w:cs="微软雅黑" w:hint="eastAsia"/>
          <w:b/>
          <w:bCs/>
          <w:szCs w:val="24"/>
        </w:rPr>
        <w:t xml:space="preserve">  </w:t>
      </w:r>
      <w:r>
        <w:rPr>
          <w:rFonts w:ascii="微软雅黑" w:eastAsia="微软雅黑" w:hAnsi="微软雅黑" w:cs="微软雅黑" w:hint="eastAsia"/>
          <w:b/>
          <w:bCs/>
          <w:szCs w:val="24"/>
        </w:rPr>
        <w:t>评标程序及评标方法</w:t>
      </w:r>
    </w:p>
    <w:p w:rsidR="008C0A47">
      <w:pPr>
        <w:spacing w:line="440" w:lineRule="exact"/>
        <w:ind w:firstLine="480" w:firstLineChars="200"/>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32</w:t>
      </w:r>
      <w:r>
        <w:rPr>
          <w:rFonts w:asciiTheme="majorEastAsia" w:eastAsiaTheme="majorEastAsia" w:hAnsiTheme="majorEastAsia" w:cstheme="majorEastAsia" w:hint="eastAsia"/>
          <w:b/>
          <w:szCs w:val="21"/>
        </w:rPr>
        <w:t>．投标文件初审</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32.1</w:t>
      </w:r>
      <w:r>
        <w:rPr>
          <w:rFonts w:asciiTheme="majorEastAsia" w:eastAsiaTheme="majorEastAsia" w:hAnsiTheme="majorEastAsia" w:cstheme="majorEastAsia" w:hint="eastAsia"/>
          <w:szCs w:val="21"/>
        </w:rPr>
        <w:t>投标文件初审包括资格性审查和符合性审查。资格性审查：依据法律法规和招标文件的规定，对投标文件中的资格证明等进行审查，以确定投标供应商是否具备投标资格。符合性审查：依据招标文件的规定，对投标文件的有效性、完整性和对招标文件的响应程度</w:t>
      </w:r>
      <w:r>
        <w:rPr>
          <w:rFonts w:asciiTheme="majorEastAsia" w:eastAsiaTheme="majorEastAsia" w:hAnsiTheme="majorEastAsia" w:cstheme="majorEastAsia" w:hint="eastAsia"/>
          <w:szCs w:val="21"/>
        </w:rPr>
        <w:t>进行审查，以确定是否满</w:t>
      </w:r>
      <w:r>
        <w:rPr>
          <w:rFonts w:asciiTheme="majorEastAsia" w:eastAsiaTheme="majorEastAsia" w:hAnsiTheme="majorEastAsia" w:cstheme="majorEastAsia" w:hint="eastAsia"/>
          <w:szCs w:val="21"/>
        </w:rPr>
        <w:t>足符合性审查的要求。</w:t>
      </w:r>
    </w:p>
    <w:p w:rsidR="008C0A47">
      <w:pPr>
        <w:autoSpaceDE w:val="0"/>
        <w:autoSpaceDN w:val="0"/>
        <w:adjustRightInd w:val="0"/>
        <w:spacing w:line="440" w:lineRule="exact"/>
        <w:jc w:val="left"/>
        <w:rPr>
          <w:rFonts w:asciiTheme="majorEastAsia" w:eastAsiaTheme="majorEastAsia" w:hAnsiTheme="majorEastAsia" w:cstheme="majorEastAsia"/>
          <w:bCs/>
          <w:szCs w:val="21"/>
        </w:rPr>
      </w:pPr>
      <w:r>
        <w:rPr>
          <w:rFonts w:asciiTheme="majorEastAsia" w:eastAsiaTheme="majorEastAsia" w:hAnsiTheme="majorEastAsia" w:cstheme="majorEastAsia" w:hint="eastAsia"/>
          <w:szCs w:val="21"/>
        </w:rPr>
        <w:t xml:space="preserve">    32.2 </w:t>
      </w:r>
      <w:r>
        <w:rPr>
          <w:rFonts w:asciiTheme="majorEastAsia" w:eastAsiaTheme="majorEastAsia" w:hAnsiTheme="majorEastAsia" w:cstheme="majorEastAsia" w:hint="eastAsia"/>
          <w:bCs/>
          <w:szCs w:val="21"/>
        </w:rPr>
        <w:t>投标文件初审内容请详见《资格性审查表》和《符合性审查表》部分。投标人若有一条审查不通过则按投标无效处理。</w:t>
      </w:r>
    </w:p>
    <w:p w:rsidR="008C0A47">
      <w:pPr>
        <w:spacing w:line="440" w:lineRule="exact"/>
        <w:ind w:firstLine="470" w:firstLineChars="196"/>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 xml:space="preserve">32.3 </w:t>
      </w:r>
      <w:r>
        <w:rPr>
          <w:rFonts w:asciiTheme="majorEastAsia" w:eastAsiaTheme="majorEastAsia" w:hAnsiTheme="majorEastAsia" w:cstheme="majorEastAsia" w:hint="eastAsia"/>
          <w:bCs/>
          <w:szCs w:val="21"/>
        </w:rPr>
        <w:t>投标文件初审中关于供应</w:t>
      </w:r>
      <w:r>
        <w:rPr>
          <w:rFonts w:asciiTheme="majorEastAsia" w:eastAsiaTheme="majorEastAsia" w:hAnsiTheme="majorEastAsia" w:cstheme="majorEastAsia" w:hint="eastAsia"/>
          <w:bCs/>
          <w:szCs w:val="21"/>
        </w:rPr>
        <w:t>商家数</w:t>
      </w:r>
      <w:r>
        <w:rPr>
          <w:rFonts w:asciiTheme="majorEastAsia" w:eastAsiaTheme="majorEastAsia" w:hAnsiTheme="majorEastAsia" w:cstheme="majorEastAsia" w:hint="eastAsia"/>
          <w:bCs/>
          <w:szCs w:val="21"/>
        </w:rPr>
        <w:t>的计算：【适用于货物采购类项目】</w:t>
      </w:r>
    </w:p>
    <w:p w:rsidR="008C0A47">
      <w:pPr>
        <w:spacing w:line="440" w:lineRule="exact"/>
        <w:ind w:firstLine="470" w:firstLineChars="196"/>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32.3.1</w:t>
      </w:r>
      <w:r>
        <w:rPr>
          <w:rFonts w:asciiTheme="majorEastAsia" w:eastAsiaTheme="majorEastAsia" w:hAnsiTheme="majorEastAsia" w:cstheme="majorEastAsia" w:hint="eastAsia"/>
          <w:bCs/>
          <w:szCs w:val="21"/>
        </w:rPr>
        <w:t>采用最低评标价法的采购项目，提供相同品牌产品的不同投标人参加同一合同项下投标的，以其中通过资格审查、符合性审查且报价最低的参加评标；报价相同的，由采购人或者采购人委托评审委员会按照招标文件规定的方式确定一个参加评标的投标人，招标文件未规定的采取随机抽取方式确定，其他投标无效。</w:t>
      </w:r>
    </w:p>
    <w:p w:rsidR="008C0A47">
      <w:pPr>
        <w:spacing w:line="440" w:lineRule="exact"/>
        <w:ind w:firstLine="470" w:firstLineChars="196"/>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32.3.2</w:t>
      </w:r>
      <w:r>
        <w:rPr>
          <w:rFonts w:asciiTheme="majorEastAsia" w:eastAsiaTheme="majorEastAsia" w:hAnsiTheme="majorEastAsia" w:cstheme="majorEastAsia" w:hint="eastAsia"/>
          <w:bCs/>
          <w:szCs w:val="21"/>
        </w:rPr>
        <w:t>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审委员会按照招标文件规定的方式确定一个投标人获得中标人推荐资格，招标文件未规定的采取随机抽取方式确定，其他同品牌投标人不作为中标候选人。</w:t>
      </w:r>
    </w:p>
    <w:p w:rsidR="008C0A47">
      <w:pPr>
        <w:spacing w:line="440" w:lineRule="exact"/>
        <w:ind w:firstLine="470" w:firstLineChars="196"/>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32.3.3</w:t>
      </w:r>
      <w:r>
        <w:rPr>
          <w:rFonts w:asciiTheme="majorEastAsia" w:eastAsiaTheme="majorEastAsia" w:hAnsiTheme="majorEastAsia" w:cstheme="majorEastAsia" w:hint="eastAsia"/>
          <w:bCs/>
          <w:szCs w:val="21"/>
        </w:rPr>
        <w:t>非单一产品采购项目，采购人应当根据采购项目技术构成、产品价格比重等合理确定核心产品，并在招标文件中载明。多家投标人提供的核心产品品牌完全相同</w:t>
      </w:r>
      <w:r>
        <w:rPr>
          <w:rFonts w:asciiTheme="majorEastAsia" w:eastAsiaTheme="majorEastAsia" w:hAnsiTheme="majorEastAsia" w:cstheme="majorEastAsia" w:hint="eastAsia"/>
          <w:bCs/>
          <w:szCs w:val="21"/>
        </w:rPr>
        <w:t>的，按前两款规定处理。</w:t>
      </w:r>
    </w:p>
    <w:p w:rsidR="008C0A47">
      <w:pPr>
        <w:spacing w:line="440" w:lineRule="exact"/>
        <w:ind w:firstLine="470" w:firstLineChars="196"/>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32.4</w:t>
      </w:r>
      <w:r>
        <w:rPr>
          <w:rFonts w:asciiTheme="majorEastAsia" w:eastAsiaTheme="majorEastAsia" w:hAnsiTheme="majorEastAsia" w:cstheme="majorEastAsia" w:hint="eastAsia"/>
          <w:bCs/>
          <w:szCs w:val="21"/>
        </w:rPr>
        <w:t>投标人投标文件作无效处理的情形，具体包括但不限于以下：</w:t>
      </w:r>
    </w:p>
    <w:p w:rsidR="008C0A47">
      <w:pPr>
        <w:spacing w:line="440" w:lineRule="exact"/>
        <w:ind w:firstLine="470" w:firstLineChars="196"/>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32.4.1</w:t>
      </w:r>
      <w:r>
        <w:rPr>
          <w:rFonts w:asciiTheme="majorEastAsia" w:eastAsiaTheme="majorEastAsia" w:hAnsiTheme="majorEastAsia" w:cstheme="majorEastAsia" w:hint="eastAsia"/>
          <w:bCs/>
          <w:szCs w:val="21"/>
        </w:rPr>
        <w:t>不同投标人的投标文件由同一单位或者同一个人编制，或者由同一个人分阶段参与编制；</w:t>
      </w:r>
    </w:p>
    <w:p w:rsidR="008C0A47">
      <w:pPr>
        <w:spacing w:line="440" w:lineRule="exact"/>
        <w:ind w:firstLine="470" w:firstLineChars="196"/>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32.4.2</w:t>
      </w:r>
      <w:r>
        <w:rPr>
          <w:rFonts w:asciiTheme="majorEastAsia" w:eastAsiaTheme="majorEastAsia" w:hAnsiTheme="majorEastAsia" w:cstheme="majorEastAsia" w:hint="eastAsia"/>
          <w:bCs/>
          <w:szCs w:val="21"/>
        </w:rPr>
        <w:t>不同投标人委托同一单位或者个人办理投标事宜；</w:t>
      </w:r>
    </w:p>
    <w:p w:rsidR="008C0A47">
      <w:pPr>
        <w:spacing w:line="440" w:lineRule="exact"/>
        <w:ind w:firstLine="470" w:firstLineChars="196"/>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32.4.3</w:t>
      </w:r>
      <w:r>
        <w:rPr>
          <w:rFonts w:asciiTheme="majorEastAsia" w:eastAsiaTheme="majorEastAsia" w:hAnsiTheme="majorEastAsia" w:cstheme="majorEastAsia" w:hint="eastAsia"/>
          <w:bCs/>
          <w:szCs w:val="21"/>
        </w:rPr>
        <w:t>不同投标人的投标文件载明的项目管理成员或者联系人员为同一人；</w:t>
      </w:r>
    </w:p>
    <w:p w:rsidR="008C0A47">
      <w:pPr>
        <w:spacing w:line="440" w:lineRule="exact"/>
        <w:ind w:firstLine="470" w:firstLineChars="196"/>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32.4.4</w:t>
      </w:r>
      <w:r>
        <w:rPr>
          <w:rFonts w:asciiTheme="majorEastAsia" w:eastAsiaTheme="majorEastAsia" w:hAnsiTheme="majorEastAsia" w:cstheme="majorEastAsia" w:hint="eastAsia"/>
          <w:bCs/>
          <w:szCs w:val="21"/>
        </w:rPr>
        <w:t>不同投标人的投标文件异常一致或者投标报价呈规律性差异；</w:t>
      </w:r>
    </w:p>
    <w:p w:rsidR="008C0A47">
      <w:pPr>
        <w:spacing w:line="440" w:lineRule="exact"/>
        <w:ind w:firstLine="470" w:firstLineChars="196"/>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32.4.5</w:t>
      </w:r>
      <w:r>
        <w:rPr>
          <w:rFonts w:asciiTheme="majorEastAsia" w:eastAsiaTheme="majorEastAsia" w:hAnsiTheme="majorEastAsia" w:cstheme="majorEastAsia" w:hint="eastAsia"/>
          <w:bCs/>
          <w:kern w:val="0"/>
          <w:szCs w:val="21"/>
        </w:rPr>
        <w:t>不同投标供应商的投标文件或部分投标文件相互混装</w:t>
      </w:r>
      <w:r>
        <w:rPr>
          <w:rFonts w:asciiTheme="majorEastAsia" w:eastAsiaTheme="majorEastAsia" w:hAnsiTheme="majorEastAsia" w:cstheme="majorEastAsia" w:hint="eastAsia"/>
          <w:bCs/>
          <w:szCs w:val="21"/>
        </w:rPr>
        <w:t>；</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32.4.6</w:t>
      </w:r>
      <w:r>
        <w:rPr>
          <w:rFonts w:asciiTheme="majorEastAsia" w:eastAsiaTheme="majorEastAsia" w:hAnsiTheme="majorEastAsia" w:cstheme="majorEastAsia" w:hint="eastAsia"/>
          <w:szCs w:val="21"/>
        </w:rPr>
        <w:t>投标供应商之间相互约定给予未中标的供应商利益补偿；</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32.4.7</w:t>
      </w:r>
      <w:r>
        <w:rPr>
          <w:rFonts w:asciiTheme="majorEastAsia" w:eastAsiaTheme="majorEastAsia" w:hAnsiTheme="majorEastAsia" w:cstheme="majorEastAsia" w:hint="eastAsia"/>
          <w:szCs w:val="21"/>
        </w:rPr>
        <w:t>不同投标供应商的法定代表人、主要经营负责人、项目投标授权代表人、项目负责人、主要技术人员为同一人、属同一单位或者同一单位缴纳社会保险；</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32.4.8</w:t>
      </w:r>
      <w:r>
        <w:rPr>
          <w:rFonts w:asciiTheme="majorEastAsia" w:eastAsiaTheme="majorEastAsia" w:hAnsiTheme="majorEastAsia" w:cstheme="majorEastAsia" w:hint="eastAsia"/>
          <w:szCs w:val="21"/>
        </w:rPr>
        <w:t>不同投标供应商的投标文件内容存在非正常一致；</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32.4.9</w:t>
      </w:r>
      <w:r>
        <w:rPr>
          <w:rFonts w:asciiTheme="majorEastAsia" w:eastAsiaTheme="majorEastAsia" w:hAnsiTheme="majorEastAsia" w:cstheme="majorEastAsia" w:hint="eastAsia"/>
          <w:szCs w:val="21"/>
        </w:rPr>
        <w:t>在同一单位工作人员为两家以上（含两家）供应商进行同一项投标活动；</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32.4.10</w:t>
      </w:r>
      <w:r>
        <w:rPr>
          <w:rFonts w:asciiTheme="majorEastAsia" w:eastAsiaTheme="majorEastAsia" w:hAnsiTheme="majorEastAsia" w:cstheme="majorEastAsia" w:hint="eastAsia"/>
          <w:szCs w:val="21"/>
        </w:rPr>
        <w:t>主管部门依照法律、法规认定的其他情形。</w:t>
      </w:r>
    </w:p>
    <w:p w:rsidR="008C0A47">
      <w:pPr>
        <w:spacing w:line="44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32.5</w:t>
      </w:r>
      <w:r>
        <w:rPr>
          <w:rFonts w:asciiTheme="majorEastAsia" w:eastAsiaTheme="majorEastAsia" w:hAnsiTheme="majorEastAsia" w:cstheme="majorEastAsia" w:hint="eastAsia"/>
          <w:szCs w:val="21"/>
        </w:rPr>
        <w:t>对不属于《资格性审查表》和《符合性审查表》所列的其他情形，除专用条款另有规定和</w:t>
      </w:r>
      <w:r>
        <w:rPr>
          <w:rFonts w:asciiTheme="majorEastAsia" w:eastAsiaTheme="majorEastAsia" w:hAnsiTheme="majorEastAsia" w:cstheme="majorEastAsia" w:hint="eastAsia"/>
          <w:szCs w:val="21"/>
        </w:rPr>
        <w:t>32.4</w:t>
      </w:r>
      <w:r>
        <w:rPr>
          <w:rFonts w:asciiTheme="majorEastAsia" w:eastAsiaTheme="majorEastAsia" w:hAnsiTheme="majorEastAsia" w:cstheme="majorEastAsia" w:hint="eastAsia"/>
          <w:szCs w:val="21"/>
        </w:rPr>
        <w:t>条款所列情形外，</w:t>
      </w:r>
      <w:r>
        <w:rPr>
          <w:rFonts w:asciiTheme="majorEastAsia" w:eastAsiaTheme="majorEastAsia" w:hAnsiTheme="majorEastAsia" w:cstheme="majorEastAsia" w:hint="eastAsia"/>
          <w:szCs w:val="21"/>
        </w:rPr>
        <w:t>不得作为投标无效的理由。</w:t>
      </w:r>
    </w:p>
    <w:p w:rsidR="008C0A47">
      <w:pPr>
        <w:spacing w:line="440" w:lineRule="exact"/>
        <w:ind w:firstLine="480" w:firstLineChars="200"/>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33</w:t>
      </w:r>
      <w:r>
        <w:rPr>
          <w:rFonts w:asciiTheme="majorEastAsia" w:eastAsiaTheme="majorEastAsia" w:hAnsiTheme="majorEastAsia" w:cstheme="majorEastAsia" w:hint="eastAsia"/>
          <w:b/>
          <w:szCs w:val="21"/>
        </w:rPr>
        <w:t>．澄清有关问题</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对于投标文件中含义不明确、同类问题表述不一致或者有明显文字和计算错误的内容，评审委员会应当以书面形式要求投标人</w:t>
      </w:r>
      <w:r>
        <w:rPr>
          <w:rFonts w:asciiTheme="majorEastAsia" w:eastAsiaTheme="majorEastAsia" w:hAnsiTheme="majorEastAsia" w:cstheme="majorEastAsia" w:hint="eastAsia"/>
          <w:szCs w:val="21"/>
        </w:rPr>
        <w:t>作出</w:t>
      </w:r>
      <w:r>
        <w:rPr>
          <w:rFonts w:asciiTheme="majorEastAsia" w:eastAsiaTheme="majorEastAsia" w:hAnsiTheme="majorEastAsia" w:cstheme="majorEastAsia" w:hint="eastAsia"/>
          <w:szCs w:val="21"/>
        </w:rPr>
        <w:t>必要的澄清、说明或者补正。</w:t>
      </w:r>
    </w:p>
    <w:p w:rsidR="008C0A47">
      <w:pPr>
        <w:spacing w:line="440" w:lineRule="exact"/>
        <w:jc w:val="left"/>
        <w:textAlignment w:val="baseline"/>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投标人的澄清、说明或者补正应当采用书面形式，并加盖公章，或者由法定代表人或其授权的代表签字。投标人的澄清、说明或者补正不得超出投标文件的范围或者改变投标文件的实质性内容。</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根据本通用条款第</w:t>
      </w:r>
      <w:r>
        <w:rPr>
          <w:rFonts w:asciiTheme="majorEastAsia" w:eastAsiaTheme="majorEastAsia" w:hAnsiTheme="majorEastAsia" w:cstheme="majorEastAsia" w:hint="eastAsia"/>
          <w:szCs w:val="21"/>
        </w:rPr>
        <w:t>34</w:t>
      </w:r>
      <w:r>
        <w:rPr>
          <w:rFonts w:asciiTheme="majorEastAsia" w:eastAsiaTheme="majorEastAsia" w:hAnsiTheme="majorEastAsia" w:cstheme="majorEastAsia" w:hint="eastAsia"/>
          <w:szCs w:val="21"/>
        </w:rPr>
        <w:t>条，凡属于评审委员会在评审中发现的算术错误进行核实的修改不在此列。</w:t>
      </w:r>
    </w:p>
    <w:p w:rsidR="008C0A47">
      <w:pPr>
        <w:spacing w:line="440" w:lineRule="exact"/>
        <w:ind w:firstLine="480" w:firstLineChars="200"/>
        <w:rPr>
          <w:rFonts w:asciiTheme="majorEastAsia" w:eastAsiaTheme="majorEastAsia" w:hAnsiTheme="majorEastAsia" w:cstheme="majorEastAsia"/>
          <w:b/>
          <w:szCs w:val="21"/>
        </w:rPr>
      </w:pPr>
      <w:bookmarkStart w:id="29" w:name="_Toc73521669"/>
      <w:bookmarkStart w:id="30" w:name="_Toc100052400"/>
      <w:bookmarkStart w:id="31" w:name="_Toc73517673"/>
      <w:bookmarkStart w:id="32" w:name="_Toc73518151"/>
      <w:bookmarkStart w:id="33" w:name="_Toc73521581"/>
      <w:r>
        <w:rPr>
          <w:rFonts w:asciiTheme="majorEastAsia" w:eastAsiaTheme="majorEastAsia" w:hAnsiTheme="majorEastAsia" w:cstheme="majorEastAsia" w:hint="eastAsia"/>
          <w:b/>
          <w:szCs w:val="21"/>
        </w:rPr>
        <w:t>34</w:t>
      </w:r>
      <w:r>
        <w:rPr>
          <w:rFonts w:asciiTheme="majorEastAsia" w:eastAsiaTheme="majorEastAsia" w:hAnsiTheme="majorEastAsia" w:cstheme="majorEastAsia" w:hint="eastAsia"/>
          <w:b/>
          <w:szCs w:val="21"/>
        </w:rPr>
        <w:t>．错误的修正</w:t>
      </w:r>
      <w:bookmarkEnd w:id="29"/>
      <w:bookmarkEnd w:id="30"/>
      <w:bookmarkEnd w:id="31"/>
      <w:bookmarkEnd w:id="32"/>
      <w:bookmarkEnd w:id="33"/>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投标文件报价出现前后不一致的，除专用条款另</w:t>
      </w:r>
      <w:r>
        <w:rPr>
          <w:rFonts w:asciiTheme="majorEastAsia" w:eastAsiaTheme="majorEastAsia" w:hAnsiTheme="majorEastAsia" w:cstheme="majorEastAsia" w:hint="eastAsia"/>
          <w:szCs w:val="21"/>
        </w:rPr>
        <w:t>有规定外，按照下列规定修正：</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34.1</w:t>
      </w:r>
      <w:r>
        <w:rPr>
          <w:rFonts w:asciiTheme="majorEastAsia" w:eastAsiaTheme="majorEastAsia" w:hAnsiTheme="majorEastAsia" w:cstheme="majorEastAsia" w:hint="eastAsia"/>
          <w:szCs w:val="21"/>
        </w:rPr>
        <w:t>投标文件中开标一览表内容与投标文件中相应内容不一致的，以开标一览表为准；</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34.2</w:t>
      </w:r>
      <w:r>
        <w:rPr>
          <w:rFonts w:asciiTheme="majorEastAsia" w:eastAsiaTheme="majorEastAsia" w:hAnsiTheme="majorEastAsia" w:cstheme="majorEastAsia" w:hint="eastAsia"/>
          <w:szCs w:val="21"/>
        </w:rPr>
        <w:t>大写金额和小写金额不一致的，以大写金额为准；</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34.3</w:t>
      </w:r>
      <w:r>
        <w:rPr>
          <w:rFonts w:asciiTheme="majorEastAsia" w:eastAsiaTheme="majorEastAsia" w:hAnsiTheme="majorEastAsia" w:cstheme="majorEastAsia" w:hint="eastAsia"/>
          <w:szCs w:val="21"/>
        </w:rPr>
        <w:t>单价金额小数点或者百分比有明显错位，以开标一览表的总价为准，并修改单价；</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34.4</w:t>
      </w:r>
      <w:r>
        <w:rPr>
          <w:rFonts w:asciiTheme="majorEastAsia" w:eastAsiaTheme="majorEastAsia" w:hAnsiTheme="majorEastAsia" w:cstheme="majorEastAsia" w:hint="eastAsia"/>
          <w:szCs w:val="21"/>
        </w:rPr>
        <w:t>总价金额与按单价汇总金额不一致的，以单价金额计算结果为准。</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34.5</w:t>
      </w:r>
      <w:r>
        <w:rPr>
          <w:rFonts w:asciiTheme="majorEastAsia" w:eastAsiaTheme="majorEastAsia" w:hAnsiTheme="majorEastAsia" w:cstheme="majorEastAsia" w:hint="eastAsia"/>
          <w:szCs w:val="21"/>
        </w:rPr>
        <w:t>同时出现两种以上不一致的，按照前款规定的顺序修正。修正后的报价按照本通用条款</w:t>
      </w:r>
      <w:r>
        <w:rPr>
          <w:rFonts w:asciiTheme="majorEastAsia" w:eastAsiaTheme="majorEastAsia" w:hAnsiTheme="majorEastAsia" w:cstheme="majorEastAsia" w:hint="eastAsia"/>
          <w:szCs w:val="21"/>
        </w:rPr>
        <w:t>33</w:t>
      </w:r>
      <w:r>
        <w:rPr>
          <w:rFonts w:asciiTheme="majorEastAsia" w:eastAsiaTheme="majorEastAsia" w:hAnsiTheme="majorEastAsia" w:cstheme="majorEastAsia" w:hint="eastAsia"/>
          <w:szCs w:val="21"/>
        </w:rPr>
        <w:t>条的规定，经投标人确认后产生约束力，投标人不确认的，其投标无效。</w:t>
      </w:r>
    </w:p>
    <w:p w:rsidR="008C0A47">
      <w:pPr>
        <w:spacing w:line="440" w:lineRule="exact"/>
        <w:ind w:firstLine="480" w:firstLineChars="200"/>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35</w:t>
      </w:r>
      <w:r>
        <w:rPr>
          <w:rFonts w:asciiTheme="majorEastAsia" w:eastAsiaTheme="majorEastAsia" w:hAnsiTheme="majorEastAsia" w:cstheme="majorEastAsia" w:hint="eastAsia"/>
          <w:b/>
          <w:szCs w:val="21"/>
        </w:rPr>
        <w:t>．投标文件的比较与评价</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评审委员会将按照《深圳经济特区政府采购条例》、《深圳经济特区政府采购条例实施细则》及《深圳市政府采购评审委员会）和评标方法暂行规定》，参照相关法律、法规、规定，仅对通过资格性审查和符合性审查的投标文件进行综合比较与评价。</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评审委员会成员对需要共同认定的事项存在争议的，应当按照少数服从多数的原则</w:t>
      </w:r>
      <w:r>
        <w:rPr>
          <w:rFonts w:asciiTheme="majorEastAsia" w:eastAsiaTheme="majorEastAsia" w:hAnsiTheme="majorEastAsia" w:cstheme="majorEastAsia" w:hint="eastAsia"/>
          <w:szCs w:val="21"/>
        </w:rPr>
        <w:t>作出</w:t>
      </w:r>
      <w:r>
        <w:rPr>
          <w:rFonts w:asciiTheme="majorEastAsia" w:eastAsiaTheme="majorEastAsia" w:hAnsiTheme="majorEastAsia" w:cstheme="majorEastAsia" w:hint="eastAsia"/>
          <w:szCs w:val="21"/>
        </w:rPr>
        <w:t>结论。持不同意见的评审委员会成员</w:t>
      </w:r>
      <w:r>
        <w:rPr>
          <w:rFonts w:asciiTheme="majorEastAsia" w:eastAsiaTheme="majorEastAsia" w:hAnsiTheme="majorEastAsia" w:cstheme="majorEastAsia" w:hint="eastAsia"/>
          <w:szCs w:val="21"/>
        </w:rPr>
        <w:t>应当在评标报告上签署不同意见及理由，否则视为同意评标报告。</w:t>
      </w:r>
    </w:p>
    <w:p w:rsidR="008C0A47">
      <w:pPr>
        <w:spacing w:line="440" w:lineRule="exact"/>
        <w:ind w:firstLine="480" w:firstLineChars="200"/>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 xml:space="preserve">36. </w:t>
      </w:r>
      <w:r>
        <w:rPr>
          <w:rFonts w:asciiTheme="majorEastAsia" w:eastAsiaTheme="majorEastAsia" w:hAnsiTheme="majorEastAsia" w:cstheme="majorEastAsia" w:hint="eastAsia"/>
          <w:b/>
          <w:szCs w:val="21"/>
        </w:rPr>
        <w:t>实地考察、演示或设备测试</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36.1</w:t>
      </w:r>
      <w:r>
        <w:rPr>
          <w:rFonts w:asciiTheme="majorEastAsia" w:eastAsiaTheme="majorEastAsia" w:hAnsiTheme="majorEastAsia" w:cstheme="majorEastAsia" w:hint="eastAsia"/>
          <w:szCs w:val="21"/>
        </w:rPr>
        <w:t>在招标过程中，评审委员会有权决定是否对本项目投标人进行现场勘察或实地考察或检验有关证明材料的原件。投标人应随时做好接受检查的准备。</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36.2</w:t>
      </w:r>
      <w:r>
        <w:rPr>
          <w:rFonts w:asciiTheme="majorEastAsia" w:eastAsiaTheme="majorEastAsia" w:hAnsiTheme="majorEastAsia" w:cstheme="majorEastAsia" w:hint="eastAsia"/>
          <w:szCs w:val="21"/>
        </w:rPr>
        <w:t>若招标文件要求进行现场演示或设备测试的，投标人应做好相应准备。</w:t>
      </w:r>
    </w:p>
    <w:p w:rsidR="008C0A47">
      <w:pPr>
        <w:spacing w:line="440" w:lineRule="exact"/>
        <w:ind w:firstLine="480" w:firstLineChars="200"/>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37</w:t>
      </w:r>
      <w:r>
        <w:rPr>
          <w:rFonts w:asciiTheme="majorEastAsia" w:eastAsiaTheme="majorEastAsia" w:hAnsiTheme="majorEastAsia" w:cstheme="majorEastAsia" w:hint="eastAsia"/>
          <w:b/>
          <w:szCs w:val="21"/>
        </w:rPr>
        <w:t>．</w:t>
      </w:r>
      <w:r>
        <w:rPr>
          <w:rFonts w:asciiTheme="majorEastAsia" w:eastAsiaTheme="majorEastAsia" w:hAnsiTheme="majorEastAsia" w:cstheme="majorEastAsia" w:hint="eastAsia"/>
          <w:b/>
          <w:bCs/>
          <w:szCs w:val="21"/>
        </w:rPr>
        <w:t>深圳经济特区政府采购条例实施细则规定的</w:t>
      </w:r>
      <w:r>
        <w:rPr>
          <w:rFonts w:asciiTheme="majorEastAsia" w:eastAsiaTheme="majorEastAsia" w:hAnsiTheme="majorEastAsia" w:cstheme="majorEastAsia" w:hint="eastAsia"/>
          <w:b/>
          <w:szCs w:val="21"/>
        </w:rPr>
        <w:t>评标方法</w:t>
      </w:r>
    </w:p>
    <w:p w:rsidR="008C0A47">
      <w:pPr>
        <w:spacing w:line="440" w:lineRule="exact"/>
        <w:ind w:firstLine="470" w:firstLineChars="196"/>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37.1</w:t>
      </w:r>
      <w:r>
        <w:rPr>
          <w:rFonts w:asciiTheme="majorEastAsia" w:eastAsiaTheme="majorEastAsia" w:hAnsiTheme="majorEastAsia" w:cstheme="majorEastAsia" w:hint="eastAsia"/>
          <w:b/>
          <w:bCs/>
          <w:szCs w:val="21"/>
        </w:rPr>
        <w:t>评标方法的三种类型：</w:t>
      </w:r>
    </w:p>
    <w:p w:rsidR="008C0A47">
      <w:pPr>
        <w:spacing w:line="440" w:lineRule="exact"/>
        <w:ind w:firstLine="470" w:firstLineChars="196"/>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37.1.1</w:t>
      </w:r>
      <w:r>
        <w:rPr>
          <w:rFonts w:asciiTheme="majorEastAsia" w:eastAsiaTheme="majorEastAsia" w:hAnsiTheme="majorEastAsia" w:cstheme="majorEastAsia" w:hint="eastAsia"/>
          <w:b/>
          <w:bCs/>
          <w:szCs w:val="21"/>
        </w:rPr>
        <w:t>最低价法</w:t>
      </w:r>
    </w:p>
    <w:p w:rsidR="008C0A47">
      <w:pPr>
        <w:spacing w:line="440" w:lineRule="exact"/>
        <w:ind w:firstLine="470" w:firstLineChars="196"/>
        <w:rPr>
          <w:rFonts w:asciiTheme="majorEastAsia" w:eastAsiaTheme="majorEastAsia" w:hAnsiTheme="majorEastAsia" w:cstheme="majorEastAsia"/>
          <w:bCs/>
          <w:szCs w:val="21"/>
        </w:rPr>
      </w:pPr>
      <w:r>
        <w:rPr>
          <w:rFonts w:asciiTheme="majorEastAsia" w:eastAsiaTheme="majorEastAsia" w:hAnsiTheme="majorEastAsia" w:cstheme="majorEastAsia" w:hint="eastAsia"/>
          <w:szCs w:val="21"/>
        </w:rPr>
        <w:t>最低价法，是指</w:t>
      </w:r>
      <w:r>
        <w:rPr>
          <w:rFonts w:asciiTheme="majorEastAsia" w:eastAsiaTheme="majorEastAsia" w:hAnsiTheme="majorEastAsia" w:cstheme="majorEastAsia" w:hint="eastAsia"/>
          <w:kern w:val="0"/>
          <w:szCs w:val="21"/>
        </w:rPr>
        <w:t>完全满足招标文件的实质性要求，按照报价由低到高的顺序，依据招标</w:t>
      </w:r>
      <w:r>
        <w:rPr>
          <w:rFonts w:asciiTheme="majorEastAsia" w:eastAsiaTheme="majorEastAsia" w:hAnsiTheme="majorEastAsia" w:cstheme="majorEastAsia" w:hint="eastAsia"/>
          <w:kern w:val="0"/>
          <w:szCs w:val="21"/>
        </w:rPr>
        <w:t>文件中规定的数量或者比例推荐候选中标供应商</w:t>
      </w:r>
      <w:r>
        <w:rPr>
          <w:rFonts w:asciiTheme="majorEastAsia" w:eastAsiaTheme="majorEastAsia" w:hAnsiTheme="majorEastAsia" w:cstheme="majorEastAsia" w:hint="eastAsia"/>
          <w:szCs w:val="21"/>
        </w:rPr>
        <w:t>。</w:t>
      </w:r>
    </w:p>
    <w:p w:rsidR="008C0A47">
      <w:pPr>
        <w:spacing w:line="440" w:lineRule="exact"/>
        <w:ind w:firstLine="470" w:firstLineChars="196"/>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37.1.2</w:t>
      </w:r>
      <w:r>
        <w:rPr>
          <w:rFonts w:asciiTheme="majorEastAsia" w:eastAsiaTheme="majorEastAsia" w:hAnsiTheme="majorEastAsia" w:cstheme="majorEastAsia" w:hint="eastAsia"/>
          <w:b/>
          <w:bCs/>
          <w:szCs w:val="21"/>
        </w:rPr>
        <w:t>综合评分法</w:t>
      </w:r>
    </w:p>
    <w:p w:rsidR="008C0A47">
      <w:pPr>
        <w:spacing w:line="440" w:lineRule="exact"/>
        <w:ind w:firstLine="470" w:firstLineChars="196"/>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szCs w:val="21"/>
        </w:rPr>
        <w:t>综合评分法，</w:t>
      </w:r>
      <w:r>
        <w:rPr>
          <w:rFonts w:asciiTheme="majorEastAsia" w:eastAsiaTheme="majorEastAsia" w:hAnsiTheme="majorEastAsia" w:cstheme="majorEastAsia" w:hint="eastAsia"/>
          <w:kern w:val="0"/>
          <w:szCs w:val="21"/>
        </w:rPr>
        <w:t>在最大限度地满足招标文件实质性要求的前提下，按照招标文件中规定的各项因素进行综合评审，评标总得分排名前列的投标人，作为推荐的候选中标供应商。</w:t>
      </w:r>
    </w:p>
    <w:p w:rsidR="008C0A47">
      <w:pPr>
        <w:spacing w:line="440" w:lineRule="exact"/>
        <w:ind w:firstLine="470" w:firstLineChars="196"/>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37.1.3</w:t>
      </w:r>
      <w:r>
        <w:rPr>
          <w:rFonts w:asciiTheme="majorEastAsia" w:eastAsiaTheme="majorEastAsia" w:hAnsiTheme="majorEastAsia" w:cstheme="majorEastAsia" w:hint="eastAsia"/>
          <w:b/>
          <w:bCs/>
          <w:szCs w:val="21"/>
        </w:rPr>
        <w:t>定性评审法</w:t>
      </w:r>
    </w:p>
    <w:p w:rsidR="008C0A47">
      <w:pPr>
        <w:spacing w:line="440" w:lineRule="exact"/>
        <w:ind w:firstLine="470" w:firstLineChars="196"/>
        <w:rPr>
          <w:rFonts w:asciiTheme="majorEastAsia" w:eastAsiaTheme="majorEastAsia" w:hAnsiTheme="majorEastAsia" w:cstheme="majorEastAsia"/>
          <w:bCs/>
          <w:szCs w:val="21"/>
        </w:rPr>
      </w:pPr>
      <w:r>
        <w:rPr>
          <w:rFonts w:asciiTheme="majorEastAsia" w:eastAsiaTheme="majorEastAsia" w:hAnsiTheme="majorEastAsia" w:cstheme="majorEastAsia" w:hint="eastAsia"/>
          <w:kern w:val="0"/>
          <w:szCs w:val="21"/>
        </w:rPr>
        <w:t>定性评审法，是指按照招标文件规定的各项因素进行技术商务定性评审，对各投标文件是否满足招标文件实质性要求提出意见，指出投标文件的优点、缺陷、问题以及签订合同前应注意和澄清的事项，并形成评审报告。所有递交的</w:t>
      </w:r>
      <w:r>
        <w:rPr>
          <w:rFonts w:asciiTheme="majorEastAsia" w:eastAsiaTheme="majorEastAsia" w:hAnsiTheme="majorEastAsia" w:cstheme="majorEastAsia" w:hint="eastAsia"/>
          <w:kern w:val="0"/>
          <w:szCs w:val="21"/>
        </w:rPr>
        <w:t>投标文件不被判定为</w:t>
      </w:r>
      <w:r>
        <w:rPr>
          <w:rFonts w:asciiTheme="majorEastAsia" w:eastAsiaTheme="majorEastAsia" w:hAnsiTheme="majorEastAsia" w:cstheme="majorEastAsia" w:hint="eastAsia"/>
          <w:kern w:val="0"/>
          <w:szCs w:val="21"/>
        </w:rPr>
        <w:t>废标或者</w:t>
      </w:r>
      <w:r>
        <w:rPr>
          <w:rFonts w:asciiTheme="majorEastAsia" w:eastAsiaTheme="majorEastAsia" w:hAnsiTheme="majorEastAsia" w:cstheme="majorEastAsia" w:hint="eastAsia"/>
          <w:kern w:val="0"/>
          <w:szCs w:val="21"/>
        </w:rPr>
        <w:t>无效标的投标人，均推荐为候选中标供应商。</w:t>
      </w:r>
    </w:p>
    <w:p w:rsidR="008C0A47">
      <w:pPr>
        <w:spacing w:line="440" w:lineRule="exact"/>
        <w:ind w:firstLine="470" w:firstLineChars="196"/>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 xml:space="preserve">37.2 </w:t>
      </w:r>
      <w:r>
        <w:rPr>
          <w:rFonts w:asciiTheme="majorEastAsia" w:eastAsiaTheme="majorEastAsia" w:hAnsiTheme="majorEastAsia" w:cstheme="majorEastAsia" w:hint="eastAsia"/>
          <w:b/>
          <w:bCs/>
          <w:szCs w:val="21"/>
        </w:rPr>
        <w:t>本项目采用的评标方法见本项目招标文第一册“专用条款”的相关内容。</w:t>
      </w:r>
    </w:p>
    <w:p w:rsidR="008C0A47">
      <w:pPr>
        <w:spacing w:line="440" w:lineRule="exact"/>
        <w:ind w:firstLine="470" w:firstLineChars="196"/>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37.3</w:t>
      </w:r>
      <w:r>
        <w:rPr>
          <w:rFonts w:asciiTheme="majorEastAsia" w:eastAsiaTheme="majorEastAsia" w:hAnsiTheme="majorEastAsia" w:cstheme="majorEastAsia" w:hint="eastAsia"/>
          <w:b/>
          <w:bCs/>
          <w:szCs w:val="21"/>
        </w:rPr>
        <w:t>重新评审的情形</w:t>
      </w:r>
    </w:p>
    <w:p w:rsidR="008C0A47">
      <w:pPr>
        <w:spacing w:line="440" w:lineRule="exact"/>
        <w:ind w:firstLine="470" w:firstLineChars="196"/>
        <w:rPr>
          <w:rFonts w:asciiTheme="majorEastAsia" w:eastAsiaTheme="majorEastAsia" w:hAnsiTheme="majorEastAsia" w:cstheme="majorEastAsia"/>
          <w:b/>
          <w:bCs/>
          <w:szCs w:val="21"/>
        </w:rPr>
      </w:pPr>
      <w:r>
        <w:rPr>
          <w:rFonts w:asciiTheme="majorEastAsia" w:eastAsiaTheme="majorEastAsia" w:hAnsiTheme="majorEastAsia" w:cstheme="majorEastAsia" w:hint="eastAsia"/>
          <w:kern w:val="0"/>
          <w:szCs w:val="21"/>
        </w:rPr>
        <w:t>评标结果汇总完成后，除下列情形外，任何人不得修改评标结果：</w:t>
      </w:r>
    </w:p>
    <w:p w:rsidR="008C0A47">
      <w:pPr>
        <w:spacing w:line="440" w:lineRule="exact"/>
        <w:ind w:firstLine="470" w:firstLineChars="196"/>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37.3.1</w:t>
      </w:r>
      <w:r>
        <w:rPr>
          <w:rFonts w:asciiTheme="majorEastAsia" w:eastAsiaTheme="majorEastAsia" w:hAnsiTheme="majorEastAsia" w:cstheme="majorEastAsia" w:hint="eastAsia"/>
          <w:kern w:val="0"/>
          <w:szCs w:val="21"/>
        </w:rPr>
        <w:t>分值汇总计算错误的；</w:t>
      </w:r>
    </w:p>
    <w:p w:rsidR="008C0A47">
      <w:pPr>
        <w:spacing w:line="440" w:lineRule="exact"/>
        <w:ind w:firstLine="470" w:firstLineChars="196"/>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37.3.2</w:t>
      </w:r>
      <w:r>
        <w:rPr>
          <w:rFonts w:asciiTheme="majorEastAsia" w:eastAsiaTheme="majorEastAsia" w:hAnsiTheme="majorEastAsia" w:cstheme="majorEastAsia" w:hint="eastAsia"/>
          <w:kern w:val="0"/>
          <w:szCs w:val="21"/>
        </w:rPr>
        <w:t>分项评分超出评分标准范围的；</w:t>
      </w:r>
    </w:p>
    <w:p w:rsidR="008C0A47">
      <w:pPr>
        <w:spacing w:line="440" w:lineRule="exact"/>
        <w:ind w:firstLine="470" w:firstLineChars="196"/>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37.3.3</w:t>
      </w:r>
      <w:r>
        <w:rPr>
          <w:rFonts w:asciiTheme="majorEastAsia" w:eastAsiaTheme="majorEastAsia" w:hAnsiTheme="majorEastAsia" w:cstheme="majorEastAsia" w:hint="eastAsia"/>
          <w:kern w:val="0"/>
          <w:szCs w:val="21"/>
        </w:rPr>
        <w:t>评审委员会成员对客观评审因素评分不一致的；</w:t>
      </w:r>
    </w:p>
    <w:p w:rsidR="008C0A47">
      <w:pPr>
        <w:spacing w:line="440" w:lineRule="exact"/>
        <w:ind w:firstLine="470" w:firstLineChars="196"/>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37.3.4</w:t>
      </w:r>
      <w:r>
        <w:rPr>
          <w:rFonts w:asciiTheme="majorEastAsia" w:eastAsiaTheme="majorEastAsia" w:hAnsiTheme="majorEastAsia" w:cstheme="majorEastAsia" w:hint="eastAsia"/>
          <w:kern w:val="0"/>
          <w:szCs w:val="21"/>
        </w:rPr>
        <w:t>经评审委员会认定评分畸高、</w:t>
      </w:r>
      <w:r>
        <w:rPr>
          <w:rFonts w:asciiTheme="majorEastAsia" w:eastAsiaTheme="majorEastAsia" w:hAnsiTheme="majorEastAsia" w:cstheme="majorEastAsia" w:hint="eastAsia"/>
          <w:kern w:val="0"/>
          <w:szCs w:val="21"/>
        </w:rPr>
        <w:t>畸</w:t>
      </w:r>
      <w:r>
        <w:rPr>
          <w:rFonts w:asciiTheme="majorEastAsia" w:eastAsiaTheme="majorEastAsia" w:hAnsiTheme="majorEastAsia" w:cstheme="majorEastAsia" w:hint="eastAsia"/>
          <w:kern w:val="0"/>
          <w:szCs w:val="21"/>
        </w:rPr>
        <w:t>低的。</w:t>
      </w:r>
    </w:p>
    <w:p w:rsidR="008C0A47">
      <w:pPr>
        <w:spacing w:line="440" w:lineRule="exact"/>
        <w:ind w:firstLine="470" w:firstLineChars="196"/>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评标报告签署前，经复核发现存在以上情形之一的，评审委员会应当当场修改评标结果，并在评标报告中记载；评标报</w:t>
      </w:r>
      <w:r>
        <w:rPr>
          <w:rFonts w:asciiTheme="majorEastAsia" w:eastAsiaTheme="majorEastAsia" w:hAnsiTheme="majorEastAsia" w:cstheme="majorEastAsia" w:hint="eastAsia"/>
          <w:kern w:val="0"/>
          <w:szCs w:val="21"/>
        </w:rPr>
        <w:t>告签署后，采购人或者采购代理机构发现存在以上情形之一的，应当组织原评审委员会进行重新评审，重新评审改变评标结果的，书面报告本级财政部门。</w:t>
      </w:r>
    </w:p>
    <w:p w:rsidR="008C0A47">
      <w:pPr>
        <w:spacing w:line="440" w:lineRule="exact"/>
        <w:ind w:firstLine="470" w:firstLineChars="196"/>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投标人对本条第一款情形提出质疑的，采购人或者采购代理机构可以组织原评审委员会进行重新评审，重新评审改变评标结果的，应当书面报告本级财政部门。</w:t>
      </w:r>
    </w:p>
    <w:p w:rsidR="008C0A47">
      <w:pPr>
        <w:spacing w:line="440" w:lineRule="exact"/>
        <w:ind w:firstLine="470" w:firstLineChars="196"/>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 xml:space="preserve"> 37.4</w:t>
      </w:r>
      <w:r>
        <w:rPr>
          <w:rFonts w:asciiTheme="majorEastAsia" w:eastAsiaTheme="majorEastAsia" w:hAnsiTheme="majorEastAsia" w:cstheme="majorEastAsia" w:hint="eastAsia"/>
          <w:b/>
          <w:bCs/>
          <w:szCs w:val="21"/>
        </w:rPr>
        <w:t>重新组建评审委员会的情形</w:t>
      </w:r>
    </w:p>
    <w:p w:rsidR="008C0A47">
      <w:pPr>
        <w:spacing w:line="440" w:lineRule="exact"/>
        <w:ind w:firstLine="470" w:firstLineChars="196"/>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评审委员会或者其成员存在下列情形导致评标结果无效的，重新组建评审委员会进行评标，并书面报告本级财政部门：</w:t>
      </w:r>
    </w:p>
    <w:p w:rsidR="008C0A47">
      <w:pPr>
        <w:spacing w:line="440" w:lineRule="exact"/>
        <w:ind w:firstLine="470" w:firstLineChars="196"/>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37.4.1</w:t>
      </w:r>
      <w:r>
        <w:rPr>
          <w:rFonts w:asciiTheme="majorEastAsia" w:eastAsiaTheme="majorEastAsia" w:hAnsiTheme="majorEastAsia" w:cstheme="majorEastAsia" w:hint="eastAsia"/>
          <w:kern w:val="0"/>
          <w:szCs w:val="21"/>
        </w:rPr>
        <w:t>评审委员会组成不符合《政府采购货物和服务招标投标管理办法》规定的；</w:t>
      </w:r>
    </w:p>
    <w:p w:rsidR="008C0A47">
      <w:pPr>
        <w:spacing w:line="440" w:lineRule="exact"/>
        <w:ind w:firstLine="470" w:firstLineChars="196"/>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37.4.2</w:t>
      </w:r>
      <w:r>
        <w:rPr>
          <w:rFonts w:asciiTheme="majorEastAsia" w:eastAsiaTheme="majorEastAsia" w:hAnsiTheme="majorEastAsia" w:cstheme="majorEastAsia" w:hint="eastAsia"/>
          <w:kern w:val="0"/>
          <w:szCs w:val="21"/>
        </w:rPr>
        <w:t>有《政府采购货物和服务招标投标管理办法》第六十二条第一至五项情形的；</w:t>
      </w:r>
    </w:p>
    <w:p w:rsidR="008C0A47">
      <w:pPr>
        <w:spacing w:line="440" w:lineRule="exact"/>
        <w:ind w:firstLine="470" w:firstLineChars="196"/>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37.4.3</w:t>
      </w:r>
      <w:r>
        <w:rPr>
          <w:rFonts w:asciiTheme="majorEastAsia" w:eastAsiaTheme="majorEastAsia" w:hAnsiTheme="majorEastAsia" w:cstheme="majorEastAsia" w:hint="eastAsia"/>
          <w:kern w:val="0"/>
          <w:szCs w:val="21"/>
        </w:rPr>
        <w:t>评审委员会及其成员独立评标受到非法干预的；</w:t>
      </w:r>
    </w:p>
    <w:p w:rsidR="008C0A47">
      <w:pPr>
        <w:spacing w:line="440" w:lineRule="exact"/>
        <w:ind w:firstLine="470" w:firstLineChars="196"/>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37.4.4</w:t>
      </w:r>
      <w:r>
        <w:rPr>
          <w:rFonts w:asciiTheme="majorEastAsia" w:eastAsiaTheme="majorEastAsia" w:hAnsiTheme="majorEastAsia" w:cstheme="majorEastAsia" w:hint="eastAsia"/>
          <w:kern w:val="0"/>
          <w:szCs w:val="21"/>
        </w:rPr>
        <w:t>有政府采购法实施条例第七十五条规定的违法行为的。</w:t>
      </w:r>
    </w:p>
    <w:p w:rsidR="008C0A47">
      <w:pPr>
        <w:spacing w:line="440" w:lineRule="exact"/>
        <w:ind w:firstLine="470" w:firstLineChars="196"/>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有违法违规行为的原评审委员会成员不得参加重新组建的评审委员会。</w:t>
      </w:r>
    </w:p>
    <w:p w:rsidR="008C0A47">
      <w:pPr>
        <w:pStyle w:val="Heading2"/>
        <w:numPr>
          <w:ilvl w:val="0"/>
          <w:numId w:val="2"/>
        </w:numPr>
        <w:spacing w:before="120" w:after="120" w:line="440" w:lineRule="exact"/>
        <w:ind w:left="482" w:hanging="482"/>
        <w:rPr>
          <w:rFonts w:ascii="微软雅黑" w:eastAsia="微软雅黑" w:hAnsi="微软雅黑" w:cs="微软雅黑"/>
          <w:b/>
          <w:bCs/>
          <w:szCs w:val="24"/>
        </w:rPr>
      </w:pPr>
      <w:r>
        <w:rPr>
          <w:rFonts w:ascii="微软雅黑" w:eastAsia="微软雅黑" w:hAnsi="微软雅黑" w:cs="微软雅黑" w:hint="eastAsia"/>
          <w:b/>
          <w:bCs/>
          <w:szCs w:val="24"/>
        </w:rPr>
        <w:t xml:space="preserve">  </w:t>
      </w:r>
      <w:r>
        <w:rPr>
          <w:rFonts w:ascii="微软雅黑" w:eastAsia="微软雅黑" w:hAnsi="微软雅黑" w:cs="微软雅黑" w:hint="eastAsia"/>
          <w:b/>
          <w:bCs/>
          <w:szCs w:val="24"/>
        </w:rPr>
        <w:t>定标及公示</w:t>
      </w:r>
    </w:p>
    <w:p w:rsidR="008C0A47">
      <w:pPr>
        <w:spacing w:line="440" w:lineRule="exact"/>
        <w:ind w:firstLine="480" w:firstLineChars="200"/>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38</w:t>
      </w:r>
      <w:r>
        <w:rPr>
          <w:rFonts w:asciiTheme="majorEastAsia" w:eastAsiaTheme="majorEastAsia" w:hAnsiTheme="majorEastAsia" w:cstheme="majorEastAsia" w:hint="eastAsia"/>
          <w:b/>
          <w:szCs w:val="21"/>
        </w:rPr>
        <w:t>．定标方法</w:t>
      </w:r>
    </w:p>
    <w:p w:rsidR="008C0A47">
      <w:pPr>
        <w:spacing w:line="440" w:lineRule="exact"/>
        <w:ind w:firstLine="470" w:firstLineChars="196"/>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38.1</w:t>
      </w:r>
      <w:r>
        <w:rPr>
          <w:rFonts w:asciiTheme="majorEastAsia" w:eastAsiaTheme="majorEastAsia" w:hAnsiTheme="majorEastAsia" w:cstheme="majorEastAsia" w:hint="eastAsia"/>
          <w:b/>
          <w:szCs w:val="21"/>
        </w:rPr>
        <w:t>非评定分离项目定标方法（授权评标委员会确定中标单位）</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38.1.1</w:t>
      </w:r>
      <w:r>
        <w:rPr>
          <w:rFonts w:asciiTheme="majorEastAsia" w:eastAsiaTheme="majorEastAsia" w:hAnsiTheme="majorEastAsia" w:cstheme="majorEastAsia" w:hint="eastAsia"/>
          <w:szCs w:val="21"/>
        </w:rPr>
        <w:t>评审委员会依据本项目招标文件所约定的评标方法进行评审和比较，向采购代理机构提交书面评标报告，并根据评标方法比较评价结果从优</w:t>
      </w:r>
      <w:r>
        <w:rPr>
          <w:rFonts w:asciiTheme="majorEastAsia" w:eastAsiaTheme="majorEastAsia" w:hAnsiTheme="majorEastAsia" w:cstheme="majorEastAsia" w:hint="eastAsia"/>
          <w:szCs w:val="21"/>
        </w:rPr>
        <w:t>到劣进行</w:t>
      </w:r>
      <w:r>
        <w:rPr>
          <w:rFonts w:asciiTheme="majorEastAsia" w:eastAsiaTheme="majorEastAsia" w:hAnsiTheme="majorEastAsia" w:cstheme="majorEastAsia" w:hint="eastAsia"/>
          <w:szCs w:val="21"/>
        </w:rPr>
        <w:t>排序，并推荐</w:t>
      </w:r>
      <w:r>
        <w:rPr>
          <w:rFonts w:asciiTheme="majorEastAsia" w:eastAsiaTheme="majorEastAsia" w:hAnsiTheme="majorEastAsia" w:cstheme="majorEastAsia" w:hint="eastAsia"/>
          <w:b/>
          <w:szCs w:val="21"/>
        </w:rPr>
        <w:t>排名前三</w:t>
      </w:r>
      <w:r>
        <w:rPr>
          <w:rFonts w:asciiTheme="majorEastAsia" w:eastAsiaTheme="majorEastAsia" w:hAnsiTheme="majorEastAsia" w:cstheme="majorEastAsia" w:hint="eastAsia"/>
          <w:szCs w:val="21"/>
        </w:rPr>
        <w:t>的投标单位为候选人中标供应商。</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38.1.2</w:t>
      </w:r>
      <w:r>
        <w:rPr>
          <w:rFonts w:asciiTheme="majorEastAsia" w:eastAsiaTheme="majorEastAsia" w:hAnsiTheme="majorEastAsia" w:cstheme="majorEastAsia" w:hint="eastAsia"/>
          <w:szCs w:val="21"/>
        </w:rPr>
        <w:t>采用最低价法的，评标结果按投标报价由低到高排序；投标报价相同的，按技术指标优劣顺序排列；技术指标仍然相同的，则采用抽签方式确定排序，具体操作办法及流程由评标委员会确定。采购方授权评标委员会，确定投标报价最低且排名第一的投标供应商为中标单位。</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w:t>
      </w:r>
      <w:r>
        <w:rPr>
          <w:rFonts w:asciiTheme="majorEastAsia" w:eastAsiaTheme="majorEastAsia" w:hAnsiTheme="majorEastAsia" w:cstheme="majorEastAsia" w:hint="eastAsia"/>
          <w:szCs w:val="21"/>
        </w:rPr>
        <w:t>8.1.3</w:t>
      </w:r>
      <w:r>
        <w:rPr>
          <w:rFonts w:asciiTheme="majorEastAsia" w:eastAsiaTheme="majorEastAsia" w:hAnsiTheme="majorEastAsia" w:cstheme="majorEastAsia" w:hint="eastAsia"/>
          <w:szCs w:val="21"/>
        </w:rPr>
        <w:t>采用综合评分法的，</w:t>
      </w:r>
      <w:r>
        <w:rPr>
          <w:rFonts w:asciiTheme="majorEastAsia" w:eastAsiaTheme="majorEastAsia" w:hAnsiTheme="majorEastAsia" w:cstheme="majorEastAsia" w:hint="eastAsia"/>
          <w:bCs/>
          <w:szCs w:val="21"/>
        </w:rPr>
        <w:t>每个投标单位的评标总得分以</w:t>
      </w:r>
      <w:r>
        <w:rPr>
          <w:rFonts w:asciiTheme="majorEastAsia" w:eastAsiaTheme="majorEastAsia" w:hAnsiTheme="majorEastAsia" w:cstheme="majorEastAsia" w:hint="eastAsia"/>
          <w:szCs w:val="21"/>
        </w:rPr>
        <w:t>所有评标委员会成员的独立评分汇总</w:t>
      </w:r>
      <w:r>
        <w:rPr>
          <w:rFonts w:asciiTheme="majorEastAsia" w:eastAsiaTheme="majorEastAsia" w:hAnsiTheme="majorEastAsia" w:cstheme="majorEastAsia" w:hint="eastAsia"/>
          <w:bCs/>
          <w:szCs w:val="21"/>
        </w:rPr>
        <w:t>后确定，评标总得分相同的，按投标报价由低到高</w:t>
      </w:r>
      <w:r>
        <w:rPr>
          <w:rFonts w:asciiTheme="majorEastAsia" w:eastAsiaTheme="majorEastAsia" w:hAnsiTheme="majorEastAsia" w:cstheme="majorEastAsia" w:hint="eastAsia"/>
          <w:szCs w:val="21"/>
        </w:rPr>
        <w:t>顺序排列</w:t>
      </w:r>
      <w:r>
        <w:rPr>
          <w:rFonts w:asciiTheme="majorEastAsia" w:eastAsiaTheme="majorEastAsia" w:hAnsiTheme="majorEastAsia" w:cstheme="majorEastAsia" w:hint="eastAsia"/>
          <w:bCs/>
          <w:szCs w:val="21"/>
        </w:rPr>
        <w:t>；评标总得分且投标报价相同的，按技术指标（技术部分）得分优劣顺序排列</w:t>
      </w:r>
      <w:r>
        <w:rPr>
          <w:rFonts w:asciiTheme="majorEastAsia" w:eastAsiaTheme="majorEastAsia" w:hAnsiTheme="majorEastAsia" w:cstheme="majorEastAsia" w:hint="eastAsia"/>
          <w:szCs w:val="21"/>
        </w:rPr>
        <w:t>；如技术指标（技术部分）得分仍然相同的，则采用抽签方式确定排序，具体操作办法及流程由评标委员会确定。</w:t>
      </w:r>
      <w:r>
        <w:rPr>
          <w:rFonts w:asciiTheme="majorEastAsia" w:eastAsiaTheme="majorEastAsia" w:hAnsiTheme="majorEastAsia" w:cstheme="majorEastAsia" w:hint="eastAsia"/>
          <w:bCs/>
          <w:szCs w:val="21"/>
        </w:rPr>
        <w:t>采购方授权评标委员会，确定评标总得分最高且排名第一的投标人为中标单位。</w:t>
      </w:r>
    </w:p>
    <w:p w:rsidR="008C0A47">
      <w:pPr>
        <w:spacing w:line="440" w:lineRule="exact"/>
        <w:ind w:firstLine="470" w:firstLineChars="196"/>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38.2</w:t>
      </w:r>
      <w:r>
        <w:rPr>
          <w:rFonts w:asciiTheme="majorEastAsia" w:eastAsiaTheme="majorEastAsia" w:hAnsiTheme="majorEastAsia" w:cstheme="majorEastAsia" w:hint="eastAsia"/>
          <w:b/>
          <w:szCs w:val="21"/>
        </w:rPr>
        <w:t>评定分离项目定标方法</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38.2.1</w:t>
      </w:r>
      <w:r>
        <w:rPr>
          <w:rFonts w:asciiTheme="majorEastAsia" w:eastAsiaTheme="majorEastAsia" w:hAnsiTheme="majorEastAsia" w:cstheme="majorEastAsia" w:hint="eastAsia"/>
          <w:szCs w:val="21"/>
        </w:rPr>
        <w:t>根据《深圳经济特区政府采购条例实施细则》等有关规定，本项目采用评标和定标分离办法，即评审委员</w:t>
      </w:r>
      <w:r>
        <w:rPr>
          <w:rFonts w:asciiTheme="majorEastAsia" w:eastAsiaTheme="majorEastAsia" w:hAnsiTheme="majorEastAsia" w:cstheme="majorEastAsia" w:hint="eastAsia"/>
          <w:szCs w:val="21"/>
        </w:rPr>
        <w:t>会按照本项目规定的评审方法对投标文件进行评审、推荐候选中标供应商并出具书面评审报告，由采购人根据评审委员会出具的评审报告和推荐的候选中标供应商确定中标供应商。</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38.2.2</w:t>
      </w:r>
      <w:r>
        <w:rPr>
          <w:rFonts w:asciiTheme="majorEastAsia" w:eastAsiaTheme="majorEastAsia" w:hAnsiTheme="majorEastAsia" w:cstheme="majorEastAsia" w:hint="eastAsia"/>
          <w:szCs w:val="21"/>
        </w:rPr>
        <w:t>评审委员会采用综合评分法评审，并按照</w:t>
      </w:r>
      <w:r>
        <w:rPr>
          <w:rFonts w:asciiTheme="majorEastAsia" w:eastAsiaTheme="majorEastAsia" w:hAnsiTheme="majorEastAsia" w:cstheme="majorEastAsia" w:hint="eastAsia"/>
          <w:szCs w:val="21"/>
        </w:rPr>
        <w:t>38.1.3</w:t>
      </w:r>
      <w:r>
        <w:rPr>
          <w:rFonts w:asciiTheme="majorEastAsia" w:eastAsiaTheme="majorEastAsia" w:hAnsiTheme="majorEastAsia" w:cstheme="majorEastAsia" w:hint="eastAsia"/>
          <w:szCs w:val="21"/>
        </w:rPr>
        <w:t>规定的评分汇总排序结果，推荐</w:t>
      </w:r>
      <w:r>
        <w:rPr>
          <w:rFonts w:asciiTheme="majorEastAsia" w:eastAsiaTheme="majorEastAsia" w:hAnsiTheme="majorEastAsia" w:cstheme="majorEastAsia" w:hint="eastAsia"/>
          <w:b/>
          <w:szCs w:val="21"/>
        </w:rPr>
        <w:t>排名前三</w:t>
      </w:r>
      <w:r>
        <w:rPr>
          <w:rFonts w:asciiTheme="majorEastAsia" w:eastAsiaTheme="majorEastAsia" w:hAnsiTheme="majorEastAsia" w:cstheme="majorEastAsia" w:hint="eastAsia"/>
          <w:szCs w:val="21"/>
        </w:rPr>
        <w:t>的投标单位为候选中标供应商。</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38.2.3</w:t>
      </w:r>
      <w:r>
        <w:rPr>
          <w:rFonts w:asciiTheme="majorEastAsia" w:eastAsiaTheme="majorEastAsia" w:hAnsiTheme="majorEastAsia" w:cstheme="majorEastAsia" w:hint="eastAsia"/>
          <w:szCs w:val="21"/>
        </w:rPr>
        <w:t>采购人采用自定法定标，按照《深圳市政府采购评标定标分离管理办法》的相关规定执行。</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38.3</w:t>
      </w:r>
      <w:r>
        <w:rPr>
          <w:rFonts w:asciiTheme="majorEastAsia" w:eastAsiaTheme="majorEastAsia" w:hAnsiTheme="majorEastAsia" w:cstheme="majorEastAsia" w:hint="eastAsia"/>
          <w:szCs w:val="21"/>
        </w:rPr>
        <w:t>专用条款另有规定的，按专用条款相关要求定标。</w:t>
      </w:r>
    </w:p>
    <w:p w:rsidR="008C0A47">
      <w:pPr>
        <w:spacing w:line="440" w:lineRule="exact"/>
        <w:ind w:firstLine="480" w:firstLineChars="200"/>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39</w:t>
      </w:r>
      <w:r>
        <w:rPr>
          <w:rFonts w:asciiTheme="majorEastAsia" w:eastAsiaTheme="majorEastAsia" w:hAnsiTheme="majorEastAsia" w:cstheme="majorEastAsia" w:hint="eastAsia"/>
          <w:b/>
          <w:szCs w:val="21"/>
        </w:rPr>
        <w:t>．编写评标报告</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评标报告是评审委员会根据全体评标成员签字的原始评标记录和评</w:t>
      </w:r>
      <w:r>
        <w:rPr>
          <w:rFonts w:asciiTheme="majorEastAsia" w:eastAsiaTheme="majorEastAsia" w:hAnsiTheme="majorEastAsia" w:cstheme="majorEastAsia" w:hint="eastAsia"/>
          <w:szCs w:val="21"/>
        </w:rPr>
        <w:t>标结果编写的报告，评标报告由评审委员会全体成员签字。对评标结论持有异议的评审委员会成员可以书面方式阐述其不同意见和理由。评审委员会成员拒绝在评标报告上签字且不陈述其不同意见和理由的，视为同意评标结论。评审委员会应当对此</w:t>
      </w:r>
      <w:r>
        <w:rPr>
          <w:rFonts w:asciiTheme="majorEastAsia" w:eastAsiaTheme="majorEastAsia" w:hAnsiTheme="majorEastAsia" w:cstheme="majorEastAsia" w:hint="eastAsia"/>
          <w:szCs w:val="21"/>
        </w:rPr>
        <w:t>作出</w:t>
      </w:r>
      <w:r>
        <w:rPr>
          <w:rFonts w:asciiTheme="majorEastAsia" w:eastAsiaTheme="majorEastAsia" w:hAnsiTheme="majorEastAsia" w:cstheme="majorEastAsia" w:hint="eastAsia"/>
          <w:szCs w:val="21"/>
        </w:rPr>
        <w:t>书面说明并记录存档。</w:t>
      </w:r>
    </w:p>
    <w:p w:rsidR="008C0A47">
      <w:pPr>
        <w:spacing w:line="440" w:lineRule="exact"/>
        <w:ind w:firstLine="480" w:firstLineChars="200"/>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40</w:t>
      </w:r>
      <w:r>
        <w:rPr>
          <w:rFonts w:asciiTheme="majorEastAsia" w:eastAsiaTheme="majorEastAsia" w:hAnsiTheme="majorEastAsia" w:cstheme="majorEastAsia" w:hint="eastAsia"/>
          <w:b/>
          <w:szCs w:val="21"/>
        </w:rPr>
        <w:t>．中标公告</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40.1</w:t>
      </w:r>
      <w:r>
        <w:rPr>
          <w:rFonts w:asciiTheme="majorEastAsia" w:eastAsiaTheme="majorEastAsia" w:hAnsiTheme="majorEastAsia" w:cstheme="majorEastAsia" w:hint="eastAsia"/>
          <w:szCs w:val="21"/>
        </w:rPr>
        <w:t>为体现“公开、公平、公正”的原则，评标结束后，采购代理机构将在</w:t>
      </w:r>
      <w:r>
        <w:rPr>
          <w:rFonts w:ascii="宋体" w:hAnsi="宋体" w:cs="宋体" w:hint="eastAsia"/>
          <w:szCs w:val="21"/>
        </w:rPr>
        <w:t>深圳政府采购智慧平台</w:t>
      </w:r>
      <w:r>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http://zfcg.szggzy.com:8081/</w:t>
      </w:r>
      <w:r>
        <w:rPr>
          <w:rFonts w:asciiTheme="minorEastAsia" w:eastAsiaTheme="minorEastAsia" w:hAnsiTheme="minorEastAsia" w:cs="宋体" w:hint="eastAsia"/>
          <w:szCs w:val="21"/>
        </w:rPr>
        <w:t>）</w:t>
      </w:r>
      <w:r>
        <w:rPr>
          <w:rFonts w:asciiTheme="majorEastAsia" w:eastAsiaTheme="majorEastAsia" w:hAnsiTheme="majorEastAsia" w:cstheme="majorEastAsia" w:hint="eastAsia"/>
          <w:szCs w:val="21"/>
        </w:rPr>
        <w:t>上发布中标结果公告</w:t>
      </w:r>
      <w:r>
        <w:rPr>
          <w:rFonts w:hint="eastAsia"/>
          <w:color w:val="000000"/>
          <w:szCs w:val="21"/>
        </w:rPr>
        <w:t>，公示期为不少于</w:t>
      </w:r>
      <w:r>
        <w:rPr>
          <w:rFonts w:hint="eastAsia"/>
          <w:color w:val="000000"/>
          <w:szCs w:val="21"/>
        </w:rPr>
        <w:t>3</w:t>
      </w:r>
      <w:r>
        <w:rPr>
          <w:rFonts w:hint="eastAsia"/>
          <w:color w:val="000000"/>
          <w:szCs w:val="21"/>
        </w:rPr>
        <w:t>日</w:t>
      </w:r>
      <w:r>
        <w:rPr>
          <w:rFonts w:asciiTheme="majorEastAsia" w:eastAsiaTheme="majorEastAsia" w:hAnsiTheme="majorEastAsia" w:cstheme="majorEastAsia" w:hint="eastAsia"/>
          <w:szCs w:val="21"/>
        </w:rPr>
        <w:t>。供应商如对评标结果有异议，可在公示期内向采购代理机构提出。若在公示期内未提出异议，则视为认同该评标结果。</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40.2</w:t>
      </w:r>
      <w:r>
        <w:rPr>
          <w:rFonts w:asciiTheme="majorEastAsia" w:eastAsiaTheme="majorEastAsia" w:hAnsiTheme="majorEastAsia" w:cstheme="majorEastAsia" w:hint="eastAsia"/>
          <w:szCs w:val="21"/>
        </w:rPr>
        <w:t>质疑投诉人应保证质疑投诉内容的真实性和可靠性，并承担相应的法律责任。</w:t>
      </w:r>
    </w:p>
    <w:p w:rsidR="008C0A47">
      <w:pPr>
        <w:spacing w:line="440" w:lineRule="exact"/>
        <w:ind w:firstLine="480" w:firstLineChars="200"/>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41</w:t>
      </w:r>
      <w:r>
        <w:rPr>
          <w:rFonts w:asciiTheme="majorEastAsia" w:eastAsiaTheme="majorEastAsia" w:hAnsiTheme="majorEastAsia" w:cstheme="majorEastAsia" w:hint="eastAsia"/>
          <w:b/>
          <w:szCs w:val="21"/>
        </w:rPr>
        <w:t>．中标通知书</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41.1</w:t>
      </w:r>
      <w:r>
        <w:rPr>
          <w:rFonts w:asciiTheme="majorEastAsia" w:eastAsiaTheme="majorEastAsia" w:hAnsiTheme="majorEastAsia" w:cstheme="majorEastAsia" w:hint="eastAsia"/>
          <w:szCs w:val="21"/>
        </w:rPr>
        <w:t>中标公告公布以后，公示期内无异议或异议不成立的，采购代理机构可按规定发出《中标通知书》。</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41.2 </w:t>
      </w:r>
      <w:r>
        <w:rPr>
          <w:rFonts w:asciiTheme="majorEastAsia" w:eastAsiaTheme="majorEastAsia" w:hAnsiTheme="majorEastAsia" w:cstheme="majorEastAsia" w:hint="eastAsia"/>
          <w:szCs w:val="21"/>
        </w:rPr>
        <w:t>中标通知书是合同的重要组成部分。</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41.3</w:t>
      </w:r>
      <w:r>
        <w:rPr>
          <w:rFonts w:asciiTheme="majorEastAsia" w:eastAsiaTheme="majorEastAsia" w:hAnsiTheme="majorEastAsia" w:cstheme="majorEastAsia" w:hint="eastAsia"/>
          <w:szCs w:val="21"/>
        </w:rPr>
        <w:t>因质疑投诉或其它原因导致项目结果变更或采购终止的，采购代理机构有权吊销中标通知书或终止采购合同。</w:t>
      </w:r>
    </w:p>
    <w:p w:rsidR="008C0A47">
      <w:pPr>
        <w:pStyle w:val="Heading2"/>
        <w:numPr>
          <w:ilvl w:val="0"/>
          <w:numId w:val="2"/>
        </w:numPr>
        <w:spacing w:before="120" w:after="120" w:line="440" w:lineRule="exact"/>
        <w:ind w:left="482" w:hanging="482"/>
        <w:rPr>
          <w:rFonts w:ascii="微软雅黑" w:eastAsia="微软雅黑" w:hAnsi="微软雅黑" w:cs="微软雅黑"/>
          <w:b/>
          <w:bCs/>
          <w:szCs w:val="24"/>
        </w:rPr>
      </w:pPr>
      <w:r>
        <w:rPr>
          <w:rFonts w:ascii="微软雅黑" w:eastAsia="微软雅黑" w:hAnsi="微软雅黑" w:cs="微软雅黑" w:hint="eastAsia"/>
          <w:b/>
          <w:bCs/>
          <w:szCs w:val="24"/>
        </w:rPr>
        <w:t xml:space="preserve">  </w:t>
      </w:r>
      <w:r>
        <w:rPr>
          <w:rFonts w:ascii="微软雅黑" w:eastAsia="微软雅黑" w:hAnsi="微软雅黑" w:cs="微软雅黑" w:hint="eastAsia"/>
          <w:b/>
          <w:bCs/>
          <w:szCs w:val="24"/>
        </w:rPr>
        <w:t>公开招标失败的后续处理</w:t>
      </w:r>
    </w:p>
    <w:p w:rsidR="008C0A47">
      <w:pPr>
        <w:spacing w:line="440" w:lineRule="exact"/>
        <w:ind w:firstLine="480" w:firstLineChars="200"/>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42</w:t>
      </w:r>
      <w:r>
        <w:rPr>
          <w:rFonts w:asciiTheme="majorEastAsia" w:eastAsiaTheme="majorEastAsia" w:hAnsiTheme="majorEastAsia" w:cstheme="majorEastAsia" w:hint="eastAsia"/>
          <w:b/>
          <w:szCs w:val="21"/>
        </w:rPr>
        <w:t>．公开招标失败的处理</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42.1</w:t>
      </w:r>
      <w:r>
        <w:rPr>
          <w:rFonts w:asciiTheme="majorEastAsia" w:eastAsiaTheme="majorEastAsia" w:hAnsiTheme="majorEastAsia" w:cstheme="majorEastAsia" w:hint="eastAsia"/>
          <w:szCs w:val="21"/>
        </w:rPr>
        <w:t>本项目公开招标过程中若由于投标截止后实际递交投标文件的供应商数量不足、经评审委员会评审对招标文件作实质响应的供应商不足等原因造成公开招标失败，可由采购代理机构重新组织采购。</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42.2</w:t>
      </w:r>
      <w:r>
        <w:rPr>
          <w:rFonts w:asciiTheme="majorEastAsia" w:eastAsiaTheme="majorEastAsia" w:hAnsiTheme="majorEastAsia" w:cstheme="majorEastAsia" w:hint="eastAsia"/>
          <w:szCs w:val="21"/>
        </w:rPr>
        <w:t>对公开招标失败的项目，评审委员会在出具该项目招标失败结论的同时，提出重新采购组织形式的建议，以及进一步完善招标文件的资格、技术、商务要求的修改建议。</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42.3</w:t>
      </w:r>
      <w:r>
        <w:rPr>
          <w:rFonts w:asciiTheme="majorEastAsia" w:eastAsiaTheme="majorEastAsia" w:hAnsiTheme="majorEastAsia" w:cstheme="majorEastAsia" w:hint="eastAsia"/>
          <w:szCs w:val="21"/>
        </w:rPr>
        <w:t>重新</w:t>
      </w:r>
      <w:r>
        <w:rPr>
          <w:rFonts w:asciiTheme="majorEastAsia" w:eastAsiaTheme="majorEastAsia" w:hAnsiTheme="majorEastAsia" w:cstheme="majorEastAsia" w:hint="eastAsia"/>
          <w:szCs w:val="21"/>
        </w:rPr>
        <w:t>组织采购有以下两种组织形式：</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1</w:t>
      </w:r>
      <w:r>
        <w:rPr>
          <w:rFonts w:asciiTheme="majorEastAsia" w:eastAsiaTheme="majorEastAsia" w:hAnsiTheme="majorEastAsia" w:cstheme="majorEastAsia" w:hint="eastAsia"/>
          <w:szCs w:val="21"/>
        </w:rPr>
        <w:t>）由采购代理机构重新组织公开招标；</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2</w:t>
      </w:r>
      <w:r>
        <w:rPr>
          <w:rFonts w:asciiTheme="majorEastAsia" w:eastAsiaTheme="majorEastAsia" w:hAnsiTheme="majorEastAsia" w:cstheme="majorEastAsia" w:hint="eastAsia"/>
          <w:szCs w:val="21"/>
        </w:rPr>
        <w:t>）根据实际情况需要向政府采购监督管理部门提出非公开招标方式申请，经政府采购监督管理部门批准，公开招标失败采购项目可转为竞争性谈判或单一来源谈判方式采购。</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42.4</w:t>
      </w:r>
      <w:r>
        <w:rPr>
          <w:rFonts w:asciiTheme="majorEastAsia" w:eastAsiaTheme="majorEastAsia" w:hAnsiTheme="majorEastAsia" w:cstheme="majorEastAsia" w:hint="eastAsia"/>
          <w:szCs w:val="21"/>
        </w:rPr>
        <w:t>公开招标失败的采购项目重新组织公开招标，由采购代理机构重新按公开招标流程组织采购活动。</w:t>
      </w:r>
    </w:p>
    <w:p w:rsidR="008C0A47">
      <w:pPr>
        <w:spacing w:line="44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    42.5</w:t>
      </w:r>
      <w:r>
        <w:rPr>
          <w:rFonts w:asciiTheme="majorEastAsia" w:eastAsiaTheme="majorEastAsia" w:hAnsiTheme="majorEastAsia" w:cstheme="majorEastAsia" w:hint="eastAsia"/>
          <w:szCs w:val="21"/>
        </w:rPr>
        <w:t>公开招标失败的采购项目经政府采购监督管理部门批准转为竞争性谈判或单一来源谈判方式采购的，按规定要求组织政府采购工作。</w:t>
      </w:r>
    </w:p>
    <w:p w:rsidR="008C0A47">
      <w:pPr>
        <w:pStyle w:val="Heading2"/>
        <w:numPr>
          <w:ilvl w:val="0"/>
          <w:numId w:val="2"/>
        </w:numPr>
        <w:spacing w:before="120" w:after="120" w:line="440" w:lineRule="exact"/>
        <w:ind w:left="482" w:hanging="482"/>
        <w:rPr>
          <w:rFonts w:ascii="微软雅黑" w:eastAsia="微软雅黑" w:hAnsi="微软雅黑" w:cs="微软雅黑"/>
          <w:b/>
          <w:bCs/>
          <w:szCs w:val="24"/>
        </w:rPr>
      </w:pPr>
      <w:r>
        <w:rPr>
          <w:rFonts w:ascii="微软雅黑" w:eastAsia="微软雅黑" w:hAnsi="微软雅黑" w:cs="微软雅黑" w:hint="eastAsia"/>
          <w:b/>
          <w:bCs/>
          <w:szCs w:val="24"/>
        </w:rPr>
        <w:t xml:space="preserve">  </w:t>
      </w:r>
      <w:r>
        <w:rPr>
          <w:rFonts w:ascii="微软雅黑" w:eastAsia="微软雅黑" w:hAnsi="微软雅黑" w:cs="微软雅黑" w:hint="eastAsia"/>
          <w:b/>
          <w:bCs/>
          <w:szCs w:val="24"/>
        </w:rPr>
        <w:t>合同的授予与备案</w:t>
      </w:r>
    </w:p>
    <w:p w:rsidR="008C0A47">
      <w:pPr>
        <w:spacing w:line="440" w:lineRule="exact"/>
        <w:ind w:firstLine="480" w:firstLineChars="200"/>
        <w:rPr>
          <w:rFonts w:asciiTheme="majorEastAsia" w:eastAsiaTheme="majorEastAsia" w:hAnsiTheme="majorEastAsia" w:cstheme="majorEastAsia"/>
          <w:b/>
          <w:szCs w:val="21"/>
        </w:rPr>
      </w:pPr>
      <w:bookmarkStart w:id="34" w:name="_Toc73518157"/>
      <w:bookmarkStart w:id="35" w:name="_Toc73517679"/>
      <w:bookmarkStart w:id="36" w:name="_Toc100052408"/>
      <w:bookmarkStart w:id="37" w:name="_Toc73521674"/>
      <w:bookmarkStart w:id="38" w:name="_Toc73521586"/>
      <w:r>
        <w:rPr>
          <w:rFonts w:asciiTheme="majorEastAsia" w:eastAsiaTheme="majorEastAsia" w:hAnsiTheme="majorEastAsia" w:cstheme="majorEastAsia" w:hint="eastAsia"/>
          <w:b/>
          <w:szCs w:val="21"/>
        </w:rPr>
        <w:t>43</w:t>
      </w:r>
      <w:r>
        <w:rPr>
          <w:rFonts w:asciiTheme="majorEastAsia" w:eastAsiaTheme="majorEastAsia" w:hAnsiTheme="majorEastAsia" w:cstheme="majorEastAsia" w:hint="eastAsia"/>
          <w:b/>
          <w:szCs w:val="21"/>
        </w:rPr>
        <w:t>．合同授予标准</w:t>
      </w:r>
      <w:bookmarkEnd w:id="34"/>
      <w:bookmarkEnd w:id="35"/>
      <w:bookmarkEnd w:id="36"/>
      <w:bookmarkEnd w:id="37"/>
      <w:bookmarkEnd w:id="38"/>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本项目的合同</w:t>
      </w:r>
      <w:r>
        <w:rPr>
          <w:rFonts w:asciiTheme="majorEastAsia" w:eastAsiaTheme="majorEastAsia" w:hAnsiTheme="majorEastAsia" w:cstheme="majorEastAsia" w:hint="eastAsia"/>
          <w:szCs w:val="21"/>
        </w:rPr>
        <w:t>将授予按本招标文件规定评审确定的中标人。</w:t>
      </w:r>
    </w:p>
    <w:p w:rsidR="008C0A47">
      <w:pPr>
        <w:spacing w:line="440" w:lineRule="exact"/>
        <w:ind w:firstLine="480" w:firstLineChars="200"/>
        <w:rPr>
          <w:rFonts w:asciiTheme="majorEastAsia" w:eastAsiaTheme="majorEastAsia" w:hAnsiTheme="majorEastAsia" w:cstheme="majorEastAsia"/>
          <w:b/>
          <w:szCs w:val="21"/>
        </w:rPr>
      </w:pPr>
      <w:bookmarkStart w:id="39" w:name="_Toc73518158"/>
      <w:bookmarkStart w:id="40" w:name="_Toc100052409"/>
      <w:bookmarkStart w:id="41" w:name="_Toc73521675"/>
      <w:bookmarkStart w:id="42" w:name="_Toc73517680"/>
      <w:bookmarkStart w:id="43" w:name="_Toc73521587"/>
      <w:r>
        <w:rPr>
          <w:rFonts w:asciiTheme="majorEastAsia" w:eastAsiaTheme="majorEastAsia" w:hAnsiTheme="majorEastAsia" w:cstheme="majorEastAsia" w:hint="eastAsia"/>
          <w:b/>
          <w:szCs w:val="21"/>
        </w:rPr>
        <w:t>44</w:t>
      </w:r>
      <w:r>
        <w:rPr>
          <w:rFonts w:asciiTheme="majorEastAsia" w:eastAsiaTheme="majorEastAsia" w:hAnsiTheme="majorEastAsia" w:cstheme="majorEastAsia" w:hint="eastAsia"/>
          <w:b/>
          <w:szCs w:val="21"/>
        </w:rPr>
        <w:t>．</w:t>
      </w:r>
      <w:bookmarkEnd w:id="39"/>
      <w:bookmarkEnd w:id="40"/>
      <w:bookmarkEnd w:id="41"/>
      <w:bookmarkEnd w:id="42"/>
      <w:bookmarkEnd w:id="43"/>
      <w:r>
        <w:rPr>
          <w:rFonts w:asciiTheme="majorEastAsia" w:eastAsiaTheme="majorEastAsia" w:hAnsiTheme="majorEastAsia" w:cstheme="majorEastAsia" w:hint="eastAsia"/>
          <w:b/>
          <w:szCs w:val="21"/>
        </w:rPr>
        <w:t>接受和拒绝</w:t>
      </w:r>
      <w:r>
        <w:rPr>
          <w:rFonts w:asciiTheme="majorEastAsia" w:eastAsiaTheme="majorEastAsia" w:hAnsiTheme="majorEastAsia" w:cstheme="majorEastAsia" w:hint="eastAsia"/>
          <w:b/>
          <w:szCs w:val="21"/>
        </w:rPr>
        <w:t>任何或</w:t>
      </w:r>
      <w:r>
        <w:rPr>
          <w:rFonts w:asciiTheme="majorEastAsia" w:eastAsiaTheme="majorEastAsia" w:hAnsiTheme="majorEastAsia" w:cstheme="majorEastAsia" w:hint="eastAsia"/>
          <w:b/>
          <w:szCs w:val="21"/>
        </w:rPr>
        <w:t>所有投标的权力</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采购代理机构和采购人保留在投标之前任何时候接受或拒绝任何投标或所有投标，以及宣布招标无效的权力，对受影响的投标人不承担任何责任，也无义务向受影响的投标人解释</w:t>
      </w:r>
      <w:r>
        <w:rPr>
          <w:rFonts w:asciiTheme="majorEastAsia" w:eastAsiaTheme="majorEastAsia" w:hAnsiTheme="majorEastAsia" w:cstheme="majorEastAsia" w:hint="eastAsia"/>
          <w:szCs w:val="21"/>
        </w:rPr>
        <w:t>采取这一行动的理由。</w:t>
      </w:r>
    </w:p>
    <w:p w:rsidR="008C0A47">
      <w:pPr>
        <w:spacing w:line="440" w:lineRule="exact"/>
        <w:ind w:firstLine="480" w:firstLineChars="200"/>
        <w:rPr>
          <w:rFonts w:asciiTheme="majorEastAsia" w:eastAsiaTheme="majorEastAsia" w:hAnsiTheme="majorEastAsia" w:cstheme="majorEastAsia"/>
          <w:b/>
          <w:szCs w:val="21"/>
        </w:rPr>
      </w:pPr>
      <w:bookmarkStart w:id="44" w:name="_Toc73518160"/>
      <w:bookmarkStart w:id="45" w:name="_Toc73521677"/>
      <w:bookmarkStart w:id="46" w:name="_Toc73521589"/>
      <w:bookmarkStart w:id="47" w:name="_Toc100052410"/>
      <w:bookmarkStart w:id="48" w:name="_Toc73517682"/>
      <w:r>
        <w:rPr>
          <w:rFonts w:asciiTheme="majorEastAsia" w:eastAsiaTheme="majorEastAsia" w:hAnsiTheme="majorEastAsia" w:cstheme="majorEastAsia" w:hint="eastAsia"/>
          <w:b/>
          <w:szCs w:val="21"/>
        </w:rPr>
        <w:t>45</w:t>
      </w:r>
      <w:r>
        <w:rPr>
          <w:rFonts w:asciiTheme="majorEastAsia" w:eastAsiaTheme="majorEastAsia" w:hAnsiTheme="majorEastAsia" w:cstheme="majorEastAsia" w:hint="eastAsia"/>
          <w:b/>
          <w:szCs w:val="21"/>
        </w:rPr>
        <w:t>．合同协议书的签订</w:t>
      </w:r>
      <w:bookmarkEnd w:id="44"/>
      <w:bookmarkEnd w:id="45"/>
      <w:bookmarkEnd w:id="46"/>
      <w:bookmarkEnd w:id="47"/>
      <w:bookmarkEnd w:id="48"/>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45.1</w:t>
      </w:r>
      <w:r>
        <w:rPr>
          <w:rFonts w:asciiTheme="majorEastAsia" w:eastAsiaTheme="majorEastAsia" w:hAnsiTheme="majorEastAsia" w:cstheme="majorEastAsia" w:hint="eastAsia"/>
          <w:szCs w:val="21"/>
        </w:rPr>
        <w:t>中标人将于中标通知书发出之日起十个工作日内，按照采购文件（招标文件和投标文件等）内容与采购人签订政府采购合同；合同的实质性内容应当符合招标文件的规定；</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45.2</w:t>
      </w:r>
      <w:r>
        <w:rPr>
          <w:rFonts w:asciiTheme="majorEastAsia" w:eastAsiaTheme="majorEastAsia" w:hAnsiTheme="majorEastAsia" w:cstheme="majorEastAsia" w:hint="eastAsia"/>
          <w:szCs w:val="21"/>
        </w:rPr>
        <w:t>中标人如不按本通用条款第</w:t>
      </w:r>
      <w:r>
        <w:rPr>
          <w:rFonts w:asciiTheme="majorEastAsia" w:eastAsiaTheme="majorEastAsia" w:hAnsiTheme="majorEastAsia" w:cstheme="majorEastAsia" w:hint="eastAsia"/>
          <w:szCs w:val="21"/>
        </w:rPr>
        <w:t>45.1</w:t>
      </w:r>
      <w:r>
        <w:rPr>
          <w:rFonts w:asciiTheme="majorEastAsia" w:eastAsiaTheme="majorEastAsia" w:hAnsiTheme="majorEastAsia" w:cstheme="majorEastAsia" w:hint="eastAsia"/>
          <w:szCs w:val="21"/>
        </w:rPr>
        <w:t>款的规定与采购人签订合同，</w:t>
      </w:r>
      <w:r>
        <w:rPr>
          <w:rFonts w:asciiTheme="majorEastAsia" w:eastAsiaTheme="majorEastAsia" w:hAnsiTheme="majorEastAsia" w:cstheme="majorEastAsia" w:hint="eastAsia"/>
          <w:kern w:val="0"/>
          <w:szCs w:val="21"/>
        </w:rPr>
        <w:t>情节</w:t>
      </w:r>
      <w:r>
        <w:rPr>
          <w:rFonts w:asciiTheme="majorEastAsia" w:eastAsiaTheme="majorEastAsia" w:hAnsiTheme="majorEastAsia" w:cstheme="majorEastAsia" w:hint="eastAsia"/>
          <w:kern w:val="0"/>
          <w:szCs w:val="21"/>
        </w:rPr>
        <w:t>严重的，并由主管部门记入供应商诚信档案，予以通报</w:t>
      </w:r>
      <w:r>
        <w:rPr>
          <w:rFonts w:asciiTheme="majorEastAsia" w:eastAsiaTheme="majorEastAsia" w:hAnsiTheme="majorEastAsia" w:cstheme="majorEastAsia" w:hint="eastAsia"/>
          <w:szCs w:val="21"/>
        </w:rPr>
        <w:t>；</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45.3</w:t>
      </w:r>
      <w:r>
        <w:rPr>
          <w:rFonts w:asciiTheme="majorEastAsia" w:eastAsiaTheme="majorEastAsia" w:hAnsiTheme="majorEastAsia" w:cstheme="majorEastAsia" w:hint="eastAsia"/>
          <w:szCs w:val="21"/>
        </w:rPr>
        <w:t>中标人应当按照合同约定履行义务，完成中标项目，不得将中标项目转让（转包）给他人。</w:t>
      </w:r>
    </w:p>
    <w:p w:rsidR="008C0A47">
      <w:pPr>
        <w:spacing w:line="440" w:lineRule="exact"/>
        <w:ind w:firstLine="480" w:firstLineChars="200"/>
        <w:rPr>
          <w:rFonts w:asciiTheme="majorEastAsia" w:eastAsiaTheme="majorEastAsia" w:hAnsiTheme="majorEastAsia" w:cstheme="majorEastAsia"/>
          <w:b/>
          <w:szCs w:val="21"/>
        </w:rPr>
      </w:pPr>
      <w:bookmarkStart w:id="49" w:name="_Toc73518161"/>
      <w:bookmarkStart w:id="50" w:name="_Toc73521678"/>
      <w:bookmarkStart w:id="51" w:name="_Toc73517683"/>
      <w:bookmarkStart w:id="52" w:name="_Toc100052411"/>
      <w:bookmarkStart w:id="53" w:name="_Toc73521590"/>
      <w:r>
        <w:rPr>
          <w:rFonts w:asciiTheme="majorEastAsia" w:eastAsiaTheme="majorEastAsia" w:hAnsiTheme="majorEastAsia" w:cstheme="majorEastAsia" w:hint="eastAsia"/>
          <w:b/>
          <w:szCs w:val="21"/>
        </w:rPr>
        <w:t>46</w:t>
      </w:r>
      <w:r>
        <w:rPr>
          <w:rFonts w:asciiTheme="majorEastAsia" w:eastAsiaTheme="majorEastAsia" w:hAnsiTheme="majorEastAsia" w:cstheme="majorEastAsia" w:hint="eastAsia"/>
          <w:b/>
          <w:szCs w:val="21"/>
        </w:rPr>
        <w:t>．履约担保</w:t>
      </w:r>
      <w:bookmarkEnd w:id="49"/>
      <w:bookmarkEnd w:id="50"/>
      <w:bookmarkEnd w:id="51"/>
      <w:bookmarkEnd w:id="52"/>
      <w:bookmarkEnd w:id="53"/>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46.1</w:t>
      </w:r>
      <w:r>
        <w:rPr>
          <w:rFonts w:asciiTheme="majorEastAsia" w:eastAsiaTheme="majorEastAsia" w:hAnsiTheme="majorEastAsia" w:cstheme="majorEastAsia" w:hint="eastAsia"/>
          <w:szCs w:val="21"/>
        </w:rPr>
        <w:t>在签订项目合同的同时，中标人应按“对通用条款的补充内容”中规定的金额向采购人提交履约保证金；</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46.2</w:t>
      </w:r>
      <w:r>
        <w:rPr>
          <w:rFonts w:asciiTheme="majorEastAsia" w:eastAsiaTheme="majorEastAsia" w:hAnsiTheme="majorEastAsia" w:cstheme="majorEastAsia" w:hint="eastAsia"/>
          <w:szCs w:val="21"/>
        </w:rPr>
        <w:t>如果中标人不能按“对通用条款的补充内容”中规定的金额向采购人提交履约保证金，采购人将有充分的理由通过政府采购监督管理部门废除中标，给采购人造成的损失应当予以赔偿；</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46.3</w:t>
      </w:r>
      <w:r>
        <w:rPr>
          <w:rFonts w:asciiTheme="majorEastAsia" w:eastAsiaTheme="majorEastAsia" w:hAnsiTheme="majorEastAsia" w:cstheme="majorEastAsia" w:hint="eastAsia"/>
          <w:szCs w:val="21"/>
        </w:rPr>
        <w:t>项目服务期满之后</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经验收合格后，采购人在七日内办理解除履约担保手续。</w:t>
      </w:r>
    </w:p>
    <w:p w:rsidR="008C0A47">
      <w:pPr>
        <w:spacing w:line="440" w:lineRule="exact"/>
        <w:ind w:firstLine="480" w:firstLineChars="200"/>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 xml:space="preserve">47. </w:t>
      </w:r>
      <w:r>
        <w:rPr>
          <w:rFonts w:asciiTheme="majorEastAsia" w:eastAsiaTheme="majorEastAsia" w:hAnsiTheme="majorEastAsia" w:cstheme="majorEastAsia" w:hint="eastAsia"/>
          <w:b/>
          <w:szCs w:val="21"/>
        </w:rPr>
        <w:t>合同的备案</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采购人与中标人应于合同签订之日起十日内，由采购人或委托中标人将采购合同副本抄送合同备案工作实施机构备案。</w:t>
      </w:r>
    </w:p>
    <w:p w:rsidR="008C0A47">
      <w:pPr>
        <w:spacing w:line="440" w:lineRule="exact"/>
        <w:ind w:firstLine="480" w:firstLineChars="200"/>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 xml:space="preserve">48. </w:t>
      </w:r>
      <w:r>
        <w:rPr>
          <w:rFonts w:asciiTheme="majorEastAsia" w:eastAsiaTheme="majorEastAsia" w:hAnsiTheme="majorEastAsia" w:cstheme="majorEastAsia" w:hint="eastAsia"/>
          <w:b/>
          <w:szCs w:val="21"/>
        </w:rPr>
        <w:t>合同的变更</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合同变更事宜按《深圳市财政局</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深圳市政府采购中心关于进一步加强市本级政府采购合同备案管理工作的通知》（</w:t>
      </w:r>
      <w:r>
        <w:rPr>
          <w:rFonts w:asciiTheme="majorEastAsia" w:eastAsiaTheme="majorEastAsia" w:hAnsiTheme="majorEastAsia" w:cstheme="majorEastAsia" w:hint="eastAsia"/>
          <w:szCs w:val="21"/>
        </w:rPr>
        <w:t>深财购〔</w:t>
      </w:r>
      <w:r>
        <w:rPr>
          <w:rFonts w:asciiTheme="majorEastAsia" w:eastAsiaTheme="majorEastAsia" w:hAnsiTheme="majorEastAsia" w:cstheme="majorEastAsia" w:hint="eastAsia"/>
          <w:szCs w:val="21"/>
        </w:rPr>
        <w:t>2019</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43</w:t>
      </w:r>
      <w:r>
        <w:rPr>
          <w:rFonts w:asciiTheme="majorEastAsia" w:eastAsiaTheme="majorEastAsia" w:hAnsiTheme="majorEastAsia" w:cstheme="majorEastAsia" w:hint="eastAsia"/>
          <w:szCs w:val="21"/>
        </w:rPr>
        <w:t>号）相关规定执行。</w:t>
      </w:r>
    </w:p>
    <w:p w:rsidR="008C0A47">
      <w:pPr>
        <w:spacing w:line="440" w:lineRule="exact"/>
        <w:ind w:firstLine="480" w:firstLineChars="200"/>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 xml:space="preserve">49. </w:t>
      </w:r>
      <w:r>
        <w:rPr>
          <w:rFonts w:asciiTheme="majorEastAsia" w:eastAsiaTheme="majorEastAsia" w:hAnsiTheme="majorEastAsia" w:cstheme="majorEastAsia" w:hint="eastAsia"/>
          <w:b/>
          <w:szCs w:val="21"/>
        </w:rPr>
        <w:t>履约抽检及情况的反馈</w:t>
      </w:r>
    </w:p>
    <w:p w:rsidR="008C0A47">
      <w:pPr>
        <w:spacing w:line="440" w:lineRule="exact"/>
        <w:ind w:right="176" w:firstLine="420"/>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49.1</w:t>
      </w:r>
      <w:r>
        <w:rPr>
          <w:rFonts w:asciiTheme="majorEastAsia" w:eastAsiaTheme="majorEastAsia" w:hAnsiTheme="majorEastAsia" w:cstheme="majorEastAsia" w:hint="eastAsia"/>
          <w:szCs w:val="21"/>
        </w:rPr>
        <w:t>供应商必须诚信履约，采购人必须对采购项目实施组织履约验收。必要时，深圳市政府采购中心将对采购项目进行履约抽</w:t>
      </w:r>
      <w:r>
        <w:rPr>
          <w:rFonts w:asciiTheme="majorEastAsia" w:eastAsiaTheme="majorEastAsia" w:hAnsiTheme="majorEastAsia" w:cstheme="majorEastAsia" w:hint="eastAsia"/>
          <w:szCs w:val="21"/>
        </w:rPr>
        <w:t>检评价。如未按合同履约，将按《深圳经济特区政府采购条例》第五十七条有关规定、《深圳市政府采购供应商诚信管理暂行办法》及其操作细则进行处理。</w:t>
      </w:r>
    </w:p>
    <w:p w:rsidR="008C0A47">
      <w:pPr>
        <w:spacing w:line="440" w:lineRule="exact"/>
        <w:ind w:right="176" w:firstLine="420"/>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49.2</w:t>
      </w:r>
      <w:r>
        <w:rPr>
          <w:rFonts w:asciiTheme="majorEastAsia" w:eastAsiaTheme="majorEastAsia" w:hAnsiTheme="majorEastAsia" w:cstheme="majorEastAsia" w:hint="eastAsia"/>
          <w:szCs w:val="21"/>
        </w:rPr>
        <w:t>采购人和供应商应当在采购合同履行完毕三十日之内将政府采购合同履行情况和相关政府采购建议等反馈至履约评价工作实施机构。</w:t>
      </w:r>
    </w:p>
    <w:p w:rsidR="008C0A47">
      <w:pPr>
        <w:spacing w:line="440" w:lineRule="exact"/>
        <w:ind w:firstLine="480" w:firstLineChars="200"/>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 xml:space="preserve">50. </w:t>
      </w:r>
      <w:r>
        <w:rPr>
          <w:rFonts w:asciiTheme="majorEastAsia" w:eastAsiaTheme="majorEastAsia" w:hAnsiTheme="majorEastAsia" w:cstheme="majorEastAsia" w:hint="eastAsia"/>
          <w:b/>
          <w:szCs w:val="21"/>
        </w:rPr>
        <w:t>宣传</w:t>
      </w:r>
    </w:p>
    <w:p w:rsidR="008C0A47">
      <w:pPr>
        <w:spacing w:line="440" w:lineRule="exact"/>
        <w:ind w:firstLine="480" w:firstLineChars="20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凡与政府采购活动有关的宣传或广告，若当中提及政府采购，必须事先将具体对外宣传方案报财政主管部门和采购代理机构，并征得其同意。对外市场宣传包括但不限于以下形式：</w:t>
      </w:r>
    </w:p>
    <w:p w:rsidR="008C0A47">
      <w:pPr>
        <w:spacing w:line="440" w:lineRule="exact"/>
        <w:ind w:right="176" w:firstLine="420"/>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a.</w:t>
      </w:r>
      <w:r>
        <w:rPr>
          <w:rFonts w:asciiTheme="majorEastAsia" w:eastAsiaTheme="majorEastAsia" w:hAnsiTheme="majorEastAsia" w:cstheme="majorEastAsia" w:hint="eastAsia"/>
          <w:szCs w:val="21"/>
        </w:rPr>
        <w:t>名片、宣传册、广告标语等；</w:t>
      </w:r>
    </w:p>
    <w:p w:rsidR="008C0A47">
      <w:pPr>
        <w:spacing w:line="440" w:lineRule="exact"/>
        <w:ind w:right="176" w:firstLine="420"/>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b.</w:t>
      </w:r>
      <w:r>
        <w:rPr>
          <w:rFonts w:asciiTheme="majorEastAsia" w:eastAsiaTheme="majorEastAsia" w:hAnsiTheme="majorEastAsia" w:cstheme="majorEastAsia" w:hint="eastAsia"/>
          <w:szCs w:val="21"/>
        </w:rPr>
        <w:t>案例介绍、推广等；</w:t>
      </w:r>
    </w:p>
    <w:p w:rsidR="008C0A47">
      <w:pPr>
        <w:spacing w:line="440" w:lineRule="exact"/>
        <w:ind w:right="176" w:firstLine="420"/>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c.</w:t>
      </w:r>
      <w:r>
        <w:rPr>
          <w:rFonts w:asciiTheme="majorEastAsia" w:eastAsiaTheme="majorEastAsia" w:hAnsiTheme="majorEastAsia" w:cstheme="majorEastAsia" w:hint="eastAsia"/>
          <w:szCs w:val="21"/>
        </w:rPr>
        <w:t>工作人员向其</w:t>
      </w:r>
      <w:r>
        <w:rPr>
          <w:rFonts w:asciiTheme="majorEastAsia" w:eastAsiaTheme="majorEastAsia" w:hAnsiTheme="majorEastAsia" w:cstheme="majorEastAsia" w:hint="eastAsia"/>
          <w:szCs w:val="21"/>
        </w:rPr>
        <w:t>他消费群体宣传。</w:t>
      </w:r>
    </w:p>
    <w:p w:rsidR="008C0A47">
      <w:pPr>
        <w:spacing w:line="440" w:lineRule="exact"/>
        <w:ind w:firstLine="480" w:firstLineChars="200"/>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 xml:space="preserve">51. </w:t>
      </w:r>
      <w:r>
        <w:rPr>
          <w:rFonts w:asciiTheme="majorEastAsia" w:eastAsiaTheme="majorEastAsia" w:hAnsiTheme="majorEastAsia" w:cstheme="majorEastAsia" w:hint="eastAsia"/>
          <w:b/>
          <w:szCs w:val="21"/>
        </w:rPr>
        <w:t>供应</w:t>
      </w:r>
      <w:r>
        <w:rPr>
          <w:rFonts w:asciiTheme="majorEastAsia" w:eastAsiaTheme="majorEastAsia" w:hAnsiTheme="majorEastAsia" w:cstheme="majorEastAsia" w:hint="eastAsia"/>
          <w:b/>
          <w:szCs w:val="21"/>
        </w:rPr>
        <w:t>商违法</w:t>
      </w:r>
      <w:r>
        <w:rPr>
          <w:rFonts w:asciiTheme="majorEastAsia" w:eastAsiaTheme="majorEastAsia" w:hAnsiTheme="majorEastAsia" w:cstheme="majorEastAsia" w:hint="eastAsia"/>
          <w:b/>
          <w:szCs w:val="21"/>
        </w:rPr>
        <w:t>责任</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《深圳经济特区政府采购条例》第五十七条</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供应商在政府采购中，有下列行为之一的，一至三年内禁止其参与本市政府采购，并由主管部门记入供应商诚信档案，处以采购金额千分之十以上千</w:t>
      </w:r>
      <w:r>
        <w:rPr>
          <w:rFonts w:asciiTheme="majorEastAsia" w:eastAsiaTheme="majorEastAsia" w:hAnsiTheme="majorEastAsia" w:cstheme="majorEastAsia" w:hint="eastAsia"/>
          <w:szCs w:val="21"/>
        </w:rPr>
        <w:t>分之二十</w:t>
      </w:r>
      <w:r>
        <w:rPr>
          <w:rFonts w:asciiTheme="majorEastAsia" w:eastAsiaTheme="majorEastAsia" w:hAnsiTheme="majorEastAsia" w:cstheme="majorEastAsia" w:hint="eastAsia"/>
          <w:szCs w:val="21"/>
        </w:rPr>
        <w:t>以下的罚款；情节严重的，取消其参与本市政府采购资格，处以采购金额千分之二十以上千</w:t>
      </w:r>
      <w:r>
        <w:rPr>
          <w:rFonts w:asciiTheme="majorEastAsia" w:eastAsiaTheme="majorEastAsia" w:hAnsiTheme="majorEastAsia" w:cstheme="majorEastAsia" w:hint="eastAsia"/>
          <w:szCs w:val="21"/>
        </w:rPr>
        <w:t>分之三十</w:t>
      </w:r>
      <w:r>
        <w:rPr>
          <w:rFonts w:asciiTheme="majorEastAsia" w:eastAsiaTheme="majorEastAsia" w:hAnsiTheme="majorEastAsia" w:cstheme="majorEastAsia" w:hint="eastAsia"/>
          <w:szCs w:val="21"/>
        </w:rPr>
        <w:t>以下的罚款，并由市场监管部门依法吊销其营业执照；给他人造成损失的，依法承担赔偿责任；构成犯罪的，依法追究刑事责任：</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1</w:t>
      </w:r>
      <w:r>
        <w:rPr>
          <w:rFonts w:asciiTheme="majorEastAsia" w:eastAsiaTheme="majorEastAsia" w:hAnsiTheme="majorEastAsia" w:cstheme="majorEastAsia" w:hint="eastAsia"/>
          <w:szCs w:val="21"/>
        </w:rPr>
        <w:t>）在采购活动中应当回避而未回避的；</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2</w:t>
      </w:r>
      <w:r>
        <w:rPr>
          <w:rFonts w:asciiTheme="majorEastAsia" w:eastAsiaTheme="majorEastAsia" w:hAnsiTheme="majorEastAsia" w:cstheme="majorEastAsia" w:hint="eastAsia"/>
          <w:szCs w:val="21"/>
        </w:rPr>
        <w:t>）未按本条例规定签订、履行采购合同，造成严重</w:t>
      </w:r>
      <w:r>
        <w:rPr>
          <w:rFonts w:asciiTheme="majorEastAsia" w:eastAsiaTheme="majorEastAsia" w:hAnsiTheme="majorEastAsia" w:cstheme="majorEastAsia" w:hint="eastAsia"/>
          <w:szCs w:val="21"/>
        </w:rPr>
        <w:t>后果的；</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3</w:t>
      </w:r>
      <w:r>
        <w:rPr>
          <w:rFonts w:asciiTheme="majorEastAsia" w:eastAsiaTheme="majorEastAsia" w:hAnsiTheme="majorEastAsia" w:cstheme="majorEastAsia" w:hint="eastAsia"/>
          <w:szCs w:val="21"/>
        </w:rPr>
        <w:t>）隐瞒真实情况，提供虚假资料的；</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4</w:t>
      </w:r>
      <w:r>
        <w:rPr>
          <w:rFonts w:asciiTheme="majorEastAsia" w:eastAsiaTheme="majorEastAsia" w:hAnsiTheme="majorEastAsia" w:cstheme="majorEastAsia" w:hint="eastAsia"/>
          <w:szCs w:val="21"/>
        </w:rPr>
        <w:t>）以非法手段排斥其他供应商参与竞争的；</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5</w:t>
      </w:r>
      <w:r>
        <w:rPr>
          <w:rFonts w:asciiTheme="majorEastAsia" w:eastAsiaTheme="majorEastAsia" w:hAnsiTheme="majorEastAsia" w:cstheme="majorEastAsia" w:hint="eastAsia"/>
          <w:szCs w:val="21"/>
        </w:rPr>
        <w:t>）与其他采购参加人串通投标的；</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6</w:t>
      </w:r>
      <w:r>
        <w:rPr>
          <w:rFonts w:asciiTheme="majorEastAsia" w:eastAsiaTheme="majorEastAsia" w:hAnsiTheme="majorEastAsia" w:cstheme="majorEastAsia" w:hint="eastAsia"/>
          <w:szCs w:val="21"/>
        </w:rPr>
        <w:t>）恶意投诉的；</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7</w:t>
      </w:r>
      <w:r>
        <w:rPr>
          <w:rFonts w:asciiTheme="majorEastAsia" w:eastAsiaTheme="majorEastAsia" w:hAnsiTheme="majorEastAsia" w:cstheme="majorEastAsia" w:hint="eastAsia"/>
          <w:szCs w:val="21"/>
        </w:rPr>
        <w:t>）向采购项目相关人行贿或者提供其他不当利益的；</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8</w:t>
      </w:r>
      <w:r>
        <w:rPr>
          <w:rFonts w:asciiTheme="majorEastAsia" w:eastAsiaTheme="majorEastAsia" w:hAnsiTheme="majorEastAsia" w:cstheme="majorEastAsia" w:hint="eastAsia"/>
          <w:szCs w:val="21"/>
        </w:rPr>
        <w:t>）阻碍、抗拒主管部门监督检查的；</w:t>
      </w:r>
    </w:p>
    <w:p w:rsidR="008C0A47">
      <w:pPr>
        <w:spacing w:line="440" w:lineRule="exact"/>
        <w:ind w:firstLine="470" w:firstLineChars="19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9</w:t>
      </w:r>
      <w:r>
        <w:rPr>
          <w:rFonts w:asciiTheme="majorEastAsia" w:eastAsiaTheme="majorEastAsia" w:hAnsiTheme="majorEastAsia" w:cstheme="majorEastAsia" w:hint="eastAsia"/>
          <w:szCs w:val="21"/>
        </w:rPr>
        <w:t>）其他违反本条例规定的行为。</w:t>
      </w:r>
    </w:p>
    <w:p w:rsidR="008C0A47">
      <w:pPr>
        <w:pStyle w:val="Heading2"/>
        <w:spacing w:before="120" w:after="120" w:line="440" w:lineRule="exact"/>
        <w:rPr>
          <w:rFonts w:ascii="微软雅黑" w:eastAsia="微软雅黑" w:hAnsi="微软雅黑" w:cs="微软雅黑"/>
          <w:b/>
          <w:bCs/>
          <w:szCs w:val="24"/>
        </w:rPr>
      </w:pPr>
      <w:r>
        <w:rPr>
          <w:rFonts w:ascii="微软雅黑" w:eastAsia="微软雅黑" w:hAnsi="微软雅黑" w:cs="微软雅黑" w:hint="eastAsia"/>
          <w:b/>
          <w:bCs/>
          <w:szCs w:val="24"/>
        </w:rPr>
        <w:t>第十一章</w:t>
      </w:r>
      <w:r>
        <w:rPr>
          <w:rFonts w:ascii="微软雅黑" w:eastAsia="微软雅黑" w:hAnsi="微软雅黑" w:cs="微软雅黑" w:hint="eastAsia"/>
          <w:b/>
          <w:bCs/>
          <w:szCs w:val="24"/>
        </w:rPr>
        <w:t xml:space="preserve">  </w:t>
      </w:r>
      <w:r>
        <w:rPr>
          <w:rFonts w:ascii="微软雅黑" w:eastAsia="微软雅黑" w:hAnsi="微软雅黑" w:cs="微软雅黑" w:hint="eastAsia"/>
          <w:b/>
          <w:bCs/>
          <w:szCs w:val="24"/>
        </w:rPr>
        <w:t>质疑处理</w:t>
      </w:r>
    </w:p>
    <w:p w:rsidR="008C0A47">
      <w:pPr>
        <w:spacing w:line="440" w:lineRule="exact"/>
        <w:ind w:firstLine="480" w:firstLineChars="200"/>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52.</w:t>
      </w:r>
      <w:r>
        <w:rPr>
          <w:rFonts w:asciiTheme="majorEastAsia" w:eastAsiaTheme="majorEastAsia" w:hAnsiTheme="majorEastAsia" w:cstheme="majorEastAsia" w:hint="eastAsia"/>
          <w:b/>
          <w:szCs w:val="21"/>
        </w:rPr>
        <w:t>质疑提出与答复</w:t>
      </w:r>
    </w:p>
    <w:p w:rsidR="008C0A47">
      <w:pPr>
        <w:spacing w:line="44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    52.1</w:t>
      </w:r>
      <w:r>
        <w:rPr>
          <w:rFonts w:asciiTheme="majorEastAsia" w:eastAsiaTheme="majorEastAsia" w:hAnsiTheme="majorEastAsia" w:cstheme="majorEastAsia" w:hint="eastAsia"/>
          <w:szCs w:val="21"/>
        </w:rPr>
        <w:t>提出质疑</w:t>
      </w:r>
    </w:p>
    <w:p w:rsidR="008C0A47">
      <w:pPr>
        <w:spacing w:line="44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pacing w:val="-6"/>
          <w:szCs w:val="21"/>
        </w:rPr>
        <w:t>参与政府采购活动的供应商认为自己的权益在采购活动中受到损害的，应当自知道或者应当知道其权益受到损害之日起七个工作日内向采购人、采购代理机构以书面形式提出质疑</w:t>
      </w:r>
      <w:r>
        <w:rPr>
          <w:rFonts w:asciiTheme="majorEastAsia" w:eastAsiaTheme="majorEastAsia" w:hAnsiTheme="majorEastAsia" w:cstheme="majorEastAsia" w:hint="eastAsia"/>
          <w:szCs w:val="21"/>
        </w:rPr>
        <w:t>。</w:t>
      </w:r>
    </w:p>
    <w:p w:rsidR="008C0A47">
      <w:pPr>
        <w:spacing w:line="44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    52.2</w:t>
      </w:r>
      <w:r>
        <w:rPr>
          <w:rFonts w:asciiTheme="majorEastAsia" w:eastAsiaTheme="majorEastAsia" w:hAnsiTheme="majorEastAsia" w:cstheme="majorEastAsia" w:hint="eastAsia"/>
          <w:szCs w:val="21"/>
        </w:rPr>
        <w:t>法律依据</w:t>
      </w:r>
    </w:p>
    <w:p w:rsidR="008C0A47">
      <w:pPr>
        <w:spacing w:line="44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《中华人民共和国政府采购法》、《中华人民共和国政府采购法实施条例》、《深圳经济特区政府采购条例》、《深圳经济特区政府采购条例实施细则》、《政府采购质疑和投诉办法》（财政部令第</w:t>
      </w:r>
      <w:r>
        <w:rPr>
          <w:rFonts w:asciiTheme="majorEastAsia" w:eastAsiaTheme="majorEastAsia" w:hAnsiTheme="majorEastAsia" w:cstheme="majorEastAsia" w:hint="eastAsia"/>
          <w:szCs w:val="21"/>
        </w:rPr>
        <w:t>94</w:t>
      </w:r>
      <w:r>
        <w:rPr>
          <w:rFonts w:asciiTheme="majorEastAsia" w:eastAsiaTheme="majorEastAsia" w:hAnsiTheme="majorEastAsia" w:cstheme="majorEastAsia" w:hint="eastAsia"/>
          <w:szCs w:val="21"/>
        </w:rPr>
        <w:t>号）和其他有关法律法规规定。</w:t>
      </w:r>
    </w:p>
    <w:p w:rsidR="008C0A47">
      <w:pPr>
        <w:spacing w:line="44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    52.3</w:t>
      </w:r>
      <w:r>
        <w:rPr>
          <w:rFonts w:asciiTheme="majorEastAsia" w:eastAsiaTheme="majorEastAsia" w:hAnsiTheme="majorEastAsia" w:cstheme="majorEastAsia" w:hint="eastAsia"/>
          <w:szCs w:val="21"/>
        </w:rPr>
        <w:t>质疑条件</w:t>
      </w:r>
    </w:p>
    <w:p w:rsidR="008C0A47">
      <w:pPr>
        <w:spacing w:line="44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    52.3.1</w:t>
      </w:r>
      <w:r>
        <w:rPr>
          <w:rFonts w:asciiTheme="majorEastAsia" w:eastAsiaTheme="majorEastAsia" w:hAnsiTheme="majorEastAsia" w:cstheme="majorEastAsia" w:hint="eastAsia"/>
          <w:szCs w:val="21"/>
        </w:rPr>
        <w:t>提出质疑的供应商应当是参与所质疑项目采购活动的供应商；</w:t>
      </w:r>
    </w:p>
    <w:p w:rsidR="008C0A47">
      <w:pPr>
        <w:spacing w:line="440" w:lineRule="exact"/>
        <w:textAlignment w:val="center"/>
        <w:rPr>
          <w:rFonts w:asciiTheme="majorEastAsia" w:eastAsiaTheme="majorEastAsia" w:hAnsiTheme="majorEastAsia" w:cstheme="majorEastAsia"/>
          <w:color w:val="666666"/>
          <w:kern w:val="0"/>
          <w:szCs w:val="21"/>
        </w:rPr>
      </w:pPr>
      <w:r>
        <w:rPr>
          <w:rFonts w:asciiTheme="majorEastAsia" w:eastAsiaTheme="majorEastAsia" w:hAnsiTheme="majorEastAsia" w:cstheme="majorEastAsia" w:hint="eastAsia"/>
          <w:szCs w:val="21"/>
        </w:rPr>
        <w:t xml:space="preserve">    52.3.2</w:t>
      </w:r>
      <w:r>
        <w:rPr>
          <w:rFonts w:asciiTheme="majorEastAsia" w:eastAsiaTheme="majorEastAsia" w:hAnsiTheme="majorEastAsia" w:cstheme="majorEastAsia" w:hint="eastAsia"/>
          <w:color w:val="000000"/>
          <w:kern w:val="0"/>
          <w:szCs w:val="21"/>
        </w:rPr>
        <w:t>应当在法定质疑期内一次性提出针对同一采购程序环节的质疑，法定质疑期为自知道或应当知道权益受到损害之日起</w:t>
      </w:r>
      <w:r>
        <w:rPr>
          <w:rFonts w:asciiTheme="majorEastAsia" w:eastAsiaTheme="majorEastAsia" w:hAnsiTheme="majorEastAsia" w:cstheme="majorEastAsia" w:hint="eastAsia"/>
          <w:color w:val="000000"/>
          <w:kern w:val="0"/>
          <w:szCs w:val="21"/>
        </w:rPr>
        <w:t>7</w:t>
      </w:r>
      <w:r>
        <w:rPr>
          <w:rFonts w:asciiTheme="majorEastAsia" w:eastAsiaTheme="majorEastAsia" w:hAnsiTheme="majorEastAsia" w:cstheme="majorEastAsia" w:hint="eastAsia"/>
          <w:color w:val="000000"/>
          <w:kern w:val="0"/>
          <w:szCs w:val="21"/>
        </w:rPr>
        <w:t>个工作日内。应当知道其权益受到损害之日是指：</w:t>
      </w:r>
      <w:r>
        <w:rPr>
          <w:rFonts w:asciiTheme="majorEastAsia" w:eastAsiaTheme="majorEastAsia" w:hAnsiTheme="majorEastAsia" w:cstheme="majorEastAsia" w:hint="eastAsia"/>
          <w:color w:val="000000"/>
          <w:kern w:val="0"/>
          <w:szCs w:val="21"/>
        </w:rPr>
        <w:t>对采购文件的质疑，为采购文</w:t>
      </w:r>
      <w:r>
        <w:rPr>
          <w:rFonts w:asciiTheme="majorEastAsia" w:eastAsiaTheme="majorEastAsia" w:hAnsiTheme="majorEastAsia" w:cstheme="majorEastAsia" w:hint="eastAsia"/>
          <w:color w:val="000000"/>
          <w:kern w:val="0"/>
          <w:szCs w:val="21"/>
        </w:rPr>
        <w:t>件公布之日；对采购过程的质疑，为各采购程序环节结束之日；对中标或者成交结果以及评审委员会、谈判小组、竞价小组组成人员的质疑，为中标或者成交结果公示之日；</w:t>
      </w:r>
    </w:p>
    <w:p w:rsidR="008C0A47">
      <w:pPr>
        <w:spacing w:line="44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    52.3.3</w:t>
      </w:r>
      <w:r>
        <w:rPr>
          <w:rFonts w:asciiTheme="majorEastAsia" w:eastAsiaTheme="majorEastAsia" w:hAnsiTheme="majorEastAsia" w:cstheme="majorEastAsia" w:hint="eastAsia"/>
          <w:szCs w:val="21"/>
        </w:rPr>
        <w:t>应提交书面质疑函，质疑</w:t>
      </w:r>
      <w:r>
        <w:rPr>
          <w:rFonts w:asciiTheme="majorEastAsia" w:eastAsiaTheme="majorEastAsia" w:hAnsiTheme="majorEastAsia" w:cstheme="majorEastAsia" w:hint="eastAsia"/>
          <w:szCs w:val="21"/>
        </w:rPr>
        <w:t>函应当</w:t>
      </w:r>
      <w:r>
        <w:rPr>
          <w:rFonts w:asciiTheme="majorEastAsia" w:eastAsiaTheme="majorEastAsia" w:hAnsiTheme="majorEastAsia" w:cstheme="majorEastAsia" w:hint="eastAsia"/>
          <w:szCs w:val="21"/>
        </w:rPr>
        <w:t>包括以下内容：（</w:t>
      </w:r>
      <w:r>
        <w:rPr>
          <w:rFonts w:asciiTheme="majorEastAsia" w:eastAsiaTheme="majorEastAsia" w:hAnsiTheme="majorEastAsia" w:cstheme="majorEastAsia" w:hint="eastAsia"/>
          <w:szCs w:val="21"/>
        </w:rPr>
        <w:t>1</w:t>
      </w:r>
      <w:r>
        <w:rPr>
          <w:rFonts w:asciiTheme="majorEastAsia" w:eastAsiaTheme="majorEastAsia" w:hAnsiTheme="majorEastAsia" w:cstheme="majorEastAsia" w:hint="eastAsia"/>
          <w:szCs w:val="21"/>
        </w:rPr>
        <w:t>）具体、明确的质疑事项和与质疑事项相关的请求；（</w:t>
      </w:r>
      <w:r>
        <w:rPr>
          <w:rFonts w:asciiTheme="majorEastAsia" w:eastAsiaTheme="majorEastAsia" w:hAnsiTheme="majorEastAsia" w:cstheme="majorEastAsia" w:hint="eastAsia"/>
          <w:szCs w:val="21"/>
        </w:rPr>
        <w:t>2</w:t>
      </w:r>
      <w:r>
        <w:rPr>
          <w:rFonts w:asciiTheme="majorEastAsia" w:eastAsiaTheme="majorEastAsia" w:hAnsiTheme="majorEastAsia" w:cstheme="majorEastAsia" w:hint="eastAsia"/>
          <w:szCs w:val="21"/>
        </w:rPr>
        <w:t>）合理的事实和依据；（</w:t>
      </w:r>
      <w:r>
        <w:rPr>
          <w:rFonts w:asciiTheme="majorEastAsia" w:eastAsiaTheme="majorEastAsia" w:hAnsiTheme="majorEastAsia" w:cstheme="majorEastAsia" w:hint="eastAsia"/>
          <w:szCs w:val="21"/>
        </w:rPr>
        <w:t>3</w:t>
      </w:r>
      <w:r>
        <w:rPr>
          <w:rFonts w:asciiTheme="majorEastAsia" w:eastAsiaTheme="majorEastAsia" w:hAnsiTheme="majorEastAsia" w:cstheme="majorEastAsia" w:hint="eastAsia"/>
          <w:szCs w:val="21"/>
        </w:rPr>
        <w:t>）必要的证明材料和法律依据。注：质疑函范本可在深圳公共资源交易中心网站下载。</w:t>
      </w:r>
    </w:p>
    <w:p w:rsidR="008C0A47">
      <w:pPr>
        <w:spacing w:line="44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    52.4</w:t>
      </w:r>
      <w:r>
        <w:rPr>
          <w:rFonts w:asciiTheme="majorEastAsia" w:eastAsiaTheme="majorEastAsia" w:hAnsiTheme="majorEastAsia" w:cstheme="majorEastAsia" w:hint="eastAsia"/>
          <w:szCs w:val="21"/>
        </w:rPr>
        <w:t>提交材料</w:t>
      </w:r>
    </w:p>
    <w:p w:rsidR="008C0A47">
      <w:pPr>
        <w:spacing w:line="44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质疑函、营业执照复印件、法定代表人证明。如委托代理人提交的，还需提交授权委托书及代理人身份证明。</w:t>
      </w:r>
    </w:p>
    <w:p w:rsidR="008C0A47">
      <w:pPr>
        <w:spacing w:line="44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52.5</w:t>
      </w:r>
      <w:r>
        <w:rPr>
          <w:rFonts w:asciiTheme="majorEastAsia" w:eastAsiaTheme="majorEastAsia" w:hAnsiTheme="majorEastAsia" w:cstheme="majorEastAsia" w:hint="eastAsia"/>
          <w:szCs w:val="21"/>
        </w:rPr>
        <w:t>收文部门</w:t>
      </w:r>
    </w:p>
    <w:p w:rsidR="008C0A47">
      <w:pPr>
        <w:spacing w:line="44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采购代理机构质监部门。</w:t>
      </w:r>
    </w:p>
    <w:p w:rsidR="008C0A47">
      <w:pPr>
        <w:spacing w:line="44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    52.6</w:t>
      </w:r>
      <w:r>
        <w:rPr>
          <w:rFonts w:asciiTheme="majorEastAsia" w:eastAsiaTheme="majorEastAsia" w:hAnsiTheme="majorEastAsia" w:cstheme="majorEastAsia" w:hint="eastAsia"/>
          <w:szCs w:val="21"/>
        </w:rPr>
        <w:t>收文办理程序</w:t>
      </w:r>
    </w:p>
    <w:p w:rsidR="008C0A47">
      <w:pPr>
        <w:spacing w:line="44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    52.6.1</w:t>
      </w:r>
      <w:r>
        <w:rPr>
          <w:rFonts w:asciiTheme="majorEastAsia" w:eastAsiaTheme="majorEastAsia" w:hAnsiTheme="majorEastAsia" w:cstheme="majorEastAsia" w:hint="eastAsia"/>
          <w:szCs w:val="21"/>
        </w:rPr>
        <w:t>供应商提交的质疑材料符合质疑条件的办理收文，出具收文回执；</w:t>
      </w:r>
    </w:p>
    <w:p w:rsidR="008C0A47">
      <w:pPr>
        <w:spacing w:line="44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    52.6.2</w:t>
      </w:r>
      <w:r>
        <w:rPr>
          <w:rFonts w:asciiTheme="majorEastAsia" w:eastAsiaTheme="majorEastAsia" w:hAnsiTheme="majorEastAsia" w:cstheme="majorEastAsia" w:hint="eastAsia"/>
          <w:szCs w:val="21"/>
        </w:rPr>
        <w:t>供应商提交的质疑材料不符合质疑条件的，视情况处理：（</w:t>
      </w:r>
      <w:r>
        <w:rPr>
          <w:rFonts w:asciiTheme="majorEastAsia" w:eastAsiaTheme="majorEastAsia" w:hAnsiTheme="majorEastAsia" w:cstheme="majorEastAsia" w:hint="eastAsia"/>
          <w:szCs w:val="21"/>
        </w:rPr>
        <w:t>1</w:t>
      </w:r>
      <w:r>
        <w:rPr>
          <w:rFonts w:asciiTheme="majorEastAsia" w:eastAsiaTheme="majorEastAsia" w:hAnsiTheme="majorEastAsia" w:cstheme="majorEastAsia" w:hint="eastAsia"/>
          <w:szCs w:val="21"/>
        </w:rPr>
        <w:t>）质疑主体、时限不符合的，不予收文；（</w:t>
      </w:r>
      <w:r>
        <w:rPr>
          <w:rFonts w:asciiTheme="majorEastAsia" w:eastAsiaTheme="majorEastAsia" w:hAnsiTheme="majorEastAsia" w:cstheme="majorEastAsia" w:hint="eastAsia"/>
          <w:szCs w:val="21"/>
        </w:rPr>
        <w:t>2</w:t>
      </w:r>
      <w:r>
        <w:rPr>
          <w:rFonts w:asciiTheme="majorEastAsia" w:eastAsiaTheme="majorEastAsia" w:hAnsiTheme="majorEastAsia" w:cstheme="majorEastAsia" w:hint="eastAsia"/>
          <w:szCs w:val="21"/>
        </w:rPr>
        <w:t>）质疑函内容、提交人身份证明不符合的，开具补正告知书，供应商可在质疑期内补正后重新提交。</w:t>
      </w:r>
    </w:p>
    <w:p w:rsidR="008C0A47">
      <w:pPr>
        <w:spacing w:line="44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    52.7</w:t>
      </w:r>
      <w:r>
        <w:rPr>
          <w:rFonts w:asciiTheme="majorEastAsia" w:eastAsiaTheme="majorEastAsia" w:hAnsiTheme="majorEastAsia" w:cstheme="majorEastAsia" w:hint="eastAsia"/>
          <w:szCs w:val="21"/>
        </w:rPr>
        <w:t>质疑答复时限</w:t>
      </w:r>
    </w:p>
    <w:p w:rsidR="008C0A47">
      <w:pPr>
        <w:spacing w:line="44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自收文之日起七个工作日内。</w:t>
      </w:r>
    </w:p>
    <w:p w:rsidR="008C0A47">
      <w:pPr>
        <w:spacing w:line="44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    52.8</w:t>
      </w:r>
      <w:r>
        <w:rPr>
          <w:rFonts w:asciiTheme="majorEastAsia" w:eastAsiaTheme="majorEastAsia" w:hAnsiTheme="majorEastAsia" w:cstheme="majorEastAsia" w:hint="eastAsia"/>
          <w:szCs w:val="21"/>
        </w:rPr>
        <w:t>投诉</w:t>
      </w:r>
    </w:p>
    <w:p w:rsidR="008C0A47">
      <w:pPr>
        <w:spacing w:line="44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对质疑答复不满意或者未在规定时间内答复的，提出质疑的</w:t>
      </w:r>
      <w:r>
        <w:rPr>
          <w:rFonts w:asciiTheme="majorEastAsia" w:eastAsiaTheme="majorEastAsia" w:hAnsiTheme="majorEastAsia" w:cstheme="majorEastAsia" w:hint="eastAsia"/>
          <w:szCs w:val="21"/>
        </w:rPr>
        <w:t>供应商可以在答复期满后</w:t>
      </w:r>
      <w:r>
        <w:rPr>
          <w:rFonts w:asciiTheme="majorEastAsia" w:eastAsiaTheme="majorEastAsia" w:hAnsiTheme="majorEastAsia" w:cstheme="majorEastAsia" w:hint="eastAsia"/>
          <w:szCs w:val="21"/>
        </w:rPr>
        <w:t>15</w:t>
      </w:r>
      <w:r>
        <w:rPr>
          <w:rFonts w:asciiTheme="majorEastAsia" w:eastAsiaTheme="majorEastAsia" w:hAnsiTheme="majorEastAsia" w:cstheme="majorEastAsia" w:hint="eastAsia"/>
          <w:szCs w:val="21"/>
        </w:rPr>
        <w:t>个工作日内向深圳市财政局投诉。</w:t>
      </w:r>
    </w:p>
    <w:p w:rsidR="008C0A47">
      <w:pPr>
        <w:spacing w:line="440" w:lineRule="exact"/>
        <w:ind w:firstLine="480" w:firstLineChars="200"/>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 xml:space="preserve">53. </w:t>
      </w:r>
      <w:r>
        <w:rPr>
          <w:rFonts w:asciiTheme="majorEastAsia" w:eastAsiaTheme="majorEastAsia" w:hAnsiTheme="majorEastAsia" w:cstheme="majorEastAsia" w:hint="eastAsia"/>
          <w:b/>
          <w:szCs w:val="21"/>
        </w:rPr>
        <w:t>质疑后续处理</w:t>
      </w:r>
    </w:p>
    <w:p w:rsidR="008C0A47">
      <w:pPr>
        <w:spacing w:line="44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    53.1</w:t>
      </w:r>
      <w:r>
        <w:rPr>
          <w:rFonts w:asciiTheme="majorEastAsia" w:eastAsiaTheme="majorEastAsia" w:hAnsiTheme="majorEastAsia" w:cstheme="majorEastAsia" w:hint="eastAsia"/>
          <w:szCs w:val="21"/>
        </w:rPr>
        <w:t>供应商质疑不成立，或者成立但未对中标、成交结果构成影响的，继续开展采购活动。</w:t>
      </w:r>
    </w:p>
    <w:p w:rsidR="008C0A47">
      <w:pPr>
        <w:spacing w:line="440" w:lineRule="exact"/>
        <w:ind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53.2</w:t>
      </w:r>
      <w:r>
        <w:rPr>
          <w:rFonts w:asciiTheme="majorEastAsia" w:eastAsiaTheme="majorEastAsia" w:hAnsiTheme="majorEastAsia" w:cstheme="majorEastAsia" w:hint="eastAsia"/>
          <w:szCs w:val="21"/>
        </w:rPr>
        <w:t>供应商质疑成立且影响或者可能影响中标、成交结果的，按照下列情况处理：（</w:t>
      </w:r>
      <w:r>
        <w:rPr>
          <w:rFonts w:asciiTheme="majorEastAsia" w:eastAsiaTheme="majorEastAsia" w:hAnsiTheme="majorEastAsia" w:cstheme="majorEastAsia" w:hint="eastAsia"/>
          <w:szCs w:val="21"/>
        </w:rPr>
        <w:t>1</w:t>
      </w:r>
      <w:r>
        <w:rPr>
          <w:rFonts w:asciiTheme="majorEastAsia" w:eastAsiaTheme="majorEastAsia" w:hAnsiTheme="majorEastAsia" w:cstheme="majorEastAsia" w:hint="eastAsia"/>
          <w:szCs w:val="21"/>
        </w:rPr>
        <w:t>）对采购文件提出的质疑，依法通过澄清或者修改可以继续开展采购活动的，澄清或者修改采购文件后继续开展采购活动；否则应当修改采购文件后重新开展采购活动。（</w:t>
      </w:r>
      <w:r>
        <w:rPr>
          <w:rFonts w:asciiTheme="majorEastAsia" w:eastAsiaTheme="majorEastAsia" w:hAnsiTheme="majorEastAsia" w:cstheme="majorEastAsia" w:hint="eastAsia"/>
          <w:szCs w:val="21"/>
        </w:rPr>
        <w:t>2</w:t>
      </w:r>
      <w:r>
        <w:rPr>
          <w:rFonts w:asciiTheme="majorEastAsia" w:eastAsiaTheme="majorEastAsia" w:hAnsiTheme="majorEastAsia" w:cstheme="majorEastAsia" w:hint="eastAsia"/>
          <w:szCs w:val="21"/>
        </w:rPr>
        <w:t>）对采购过程、中标或者成交结果提出的质疑，如果合格供应</w:t>
      </w:r>
      <w:r>
        <w:rPr>
          <w:rFonts w:asciiTheme="majorEastAsia" w:eastAsiaTheme="majorEastAsia" w:hAnsiTheme="majorEastAsia" w:cstheme="majorEastAsia" w:hint="eastAsia"/>
          <w:szCs w:val="21"/>
        </w:rPr>
        <w:t>商符合</w:t>
      </w:r>
      <w:r>
        <w:rPr>
          <w:rFonts w:asciiTheme="majorEastAsia" w:eastAsiaTheme="majorEastAsia" w:hAnsiTheme="majorEastAsia" w:cstheme="majorEastAsia" w:hint="eastAsia"/>
          <w:szCs w:val="21"/>
        </w:rPr>
        <w:t>法定数量，依法从合格的中标或者成交候选人中另行</w:t>
      </w:r>
      <w:r>
        <w:rPr>
          <w:rFonts w:asciiTheme="majorEastAsia" w:eastAsiaTheme="majorEastAsia" w:hAnsiTheme="majorEastAsia" w:cstheme="majorEastAsia" w:hint="eastAsia"/>
          <w:szCs w:val="21"/>
        </w:rPr>
        <w:t>确定中标、成交供应商；如果合格供应商不符合法定数量，应当重新开展采购活动。</w:t>
      </w:r>
    </w:p>
    <w:p w:rsidR="008C0A47">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br w:type="page"/>
      </w:r>
    </w:p>
    <w:p w:rsidR="008C0A47">
      <w:pPr>
        <w:spacing w:line="440" w:lineRule="exact"/>
        <w:rPr>
          <w:rFonts w:ascii="宋体" w:hAnsi="宋体" w:cs="宋体"/>
          <w:b/>
          <w:color w:val="000000"/>
          <w:szCs w:val="21"/>
        </w:rPr>
      </w:pPr>
      <w:r>
        <w:rPr>
          <w:rFonts w:ascii="宋体" w:hAnsi="宋体" w:cs="宋体" w:hint="eastAsia"/>
          <w:b/>
          <w:color w:val="000000"/>
          <w:szCs w:val="21"/>
        </w:rPr>
        <w:t>附：中小企业相关优惠政策文件（供参考）</w:t>
      </w:r>
    </w:p>
    <w:p w:rsidR="008C0A47">
      <w:pPr>
        <w:spacing w:line="440" w:lineRule="exact"/>
        <w:rPr>
          <w:rFonts w:ascii="宋体" w:hAnsi="宋体" w:cs="宋体"/>
          <w:bCs/>
          <w:color w:val="000000"/>
          <w:szCs w:val="21"/>
        </w:rPr>
      </w:pPr>
    </w:p>
    <w:p w:rsidR="008C0A47">
      <w:pPr>
        <w:pStyle w:val="NormalWeb"/>
        <w:spacing w:line="440" w:lineRule="exact"/>
        <w:jc w:val="center"/>
        <w:rPr>
          <w:rFonts w:ascii="宋体" w:hAnsi="宋体" w:cs="宋体"/>
          <w:sz w:val="21"/>
          <w:szCs w:val="21"/>
          <w:shd w:val="clear" w:color="auto" w:fill="FFFFFF"/>
        </w:rPr>
      </w:pPr>
      <w:r>
        <w:rPr>
          <w:rFonts w:ascii="宋体" w:hAnsi="宋体" w:cs="宋体" w:hint="eastAsia"/>
          <w:b/>
          <w:sz w:val="28"/>
          <w:szCs w:val="28"/>
          <w:shd w:val="clear" w:color="auto" w:fill="FFFFFF"/>
        </w:rPr>
        <w:t>关于印发《政府采购促进中小企业发展管理办法》的通知</w:t>
      </w:r>
      <w:r>
        <w:rPr>
          <w:rFonts w:ascii="宋体" w:hAnsi="宋体" w:cs="宋体" w:hint="eastAsia"/>
          <w:sz w:val="28"/>
          <w:szCs w:val="28"/>
          <w:shd w:val="clear" w:color="auto" w:fill="FFFFFF"/>
        </w:rPr>
        <w:br/>
      </w:r>
      <w:r>
        <w:rPr>
          <w:rFonts w:ascii="宋体" w:hAnsi="宋体" w:cs="宋体" w:hint="eastAsia"/>
          <w:sz w:val="21"/>
          <w:szCs w:val="21"/>
          <w:shd w:val="clear" w:color="auto" w:fill="FFFFFF"/>
        </w:rPr>
        <w:t>财库〔</w:t>
      </w:r>
      <w:r>
        <w:rPr>
          <w:rFonts w:ascii="宋体" w:hAnsi="宋体" w:cs="宋体" w:hint="eastAsia"/>
          <w:sz w:val="21"/>
          <w:szCs w:val="21"/>
          <w:shd w:val="clear" w:color="auto" w:fill="FFFFFF"/>
        </w:rPr>
        <w:t>2020</w:t>
      </w:r>
      <w:r>
        <w:rPr>
          <w:rFonts w:ascii="宋体" w:hAnsi="宋体" w:cs="宋体" w:hint="eastAsia"/>
          <w:sz w:val="21"/>
          <w:szCs w:val="21"/>
          <w:shd w:val="clear" w:color="auto" w:fill="FFFFFF"/>
        </w:rPr>
        <w:t>〕</w:t>
      </w:r>
      <w:r>
        <w:rPr>
          <w:rFonts w:ascii="宋体" w:hAnsi="宋体" w:cs="宋体" w:hint="eastAsia"/>
          <w:sz w:val="21"/>
          <w:szCs w:val="21"/>
          <w:shd w:val="clear" w:color="auto" w:fill="FFFFFF"/>
        </w:rPr>
        <w:t>46</w:t>
      </w:r>
      <w:r>
        <w:rPr>
          <w:rFonts w:ascii="宋体" w:hAnsi="宋体" w:cs="宋体" w:hint="eastAsia"/>
          <w:sz w:val="21"/>
          <w:szCs w:val="21"/>
          <w:shd w:val="clear" w:color="auto" w:fill="FFFFFF"/>
        </w:rPr>
        <w:t>号</w:t>
      </w:r>
    </w:p>
    <w:p w:rsidR="008C0A47">
      <w:pPr>
        <w:pStyle w:val="NormalWeb"/>
        <w:spacing w:line="440" w:lineRule="exact"/>
        <w:ind w:firstLine="480" w:firstLineChars="200"/>
        <w:rPr>
          <w:rFonts w:ascii="宋体" w:hAnsi="宋体" w:cs="宋体"/>
          <w:sz w:val="21"/>
          <w:szCs w:val="21"/>
          <w:shd w:val="clear" w:color="auto" w:fill="FFFFFF"/>
        </w:rPr>
      </w:pPr>
    </w:p>
    <w:p w:rsidR="008C0A47">
      <w:pPr>
        <w:pStyle w:val="NormalWeb"/>
        <w:spacing w:line="440" w:lineRule="exact"/>
        <w:rPr>
          <w:rFonts w:ascii="宋体" w:hAnsi="宋体" w:cs="宋体"/>
          <w:sz w:val="21"/>
          <w:szCs w:val="21"/>
          <w:shd w:val="clear" w:color="auto" w:fill="FFFFFF"/>
        </w:rPr>
      </w:pPr>
      <w:r>
        <w:rPr>
          <w:rFonts w:ascii="宋体" w:hAnsi="宋体" w:cs="宋体" w:hint="eastAsia"/>
          <w:sz w:val="21"/>
          <w:szCs w:val="21"/>
          <w:shd w:val="clear" w:color="auto" w:fill="FFFFFF"/>
        </w:rPr>
        <w:t>各中央预算单位办公厅（室），各省、自治区、直辖市、计划单列市财政厅（局）、工业和信息化主管部门，新疆生产建设兵团财政局、工业和信息化主管部门：</w:t>
      </w:r>
    </w:p>
    <w:p w:rsidR="008C0A47">
      <w:pPr>
        <w:pStyle w:val="NormalWeb"/>
        <w:spacing w:line="440" w:lineRule="exact"/>
        <w:ind w:firstLine="480" w:firstLineChars="200"/>
        <w:rPr>
          <w:rFonts w:ascii="宋体" w:hAnsi="宋体" w:cs="宋体"/>
          <w:sz w:val="21"/>
          <w:szCs w:val="21"/>
          <w:shd w:val="clear" w:color="auto" w:fill="FFFFFF"/>
        </w:rPr>
      </w:pPr>
      <w:r>
        <w:rPr>
          <w:rFonts w:ascii="宋体" w:hAnsi="宋体" w:cs="宋体" w:hint="eastAsia"/>
          <w:sz w:val="21"/>
          <w:szCs w:val="21"/>
          <w:shd w:val="clear" w:color="auto" w:fill="FFFFFF"/>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rsidR="008C0A47">
      <w:pPr>
        <w:pStyle w:val="NormalWeb"/>
        <w:spacing w:line="440" w:lineRule="exact"/>
        <w:ind w:firstLine="480" w:firstLineChars="200"/>
        <w:rPr>
          <w:rFonts w:ascii="宋体" w:hAnsi="宋体" w:cs="宋体"/>
          <w:sz w:val="21"/>
          <w:szCs w:val="21"/>
          <w:shd w:val="clear" w:color="auto" w:fill="FFFFFF"/>
        </w:rPr>
      </w:pPr>
      <w:r>
        <w:rPr>
          <w:rFonts w:ascii="宋体" w:hAnsi="宋体" w:cs="宋体" w:hint="eastAsia"/>
          <w:sz w:val="21"/>
          <w:szCs w:val="21"/>
          <w:shd w:val="clear" w:color="auto" w:fill="FFFFFF"/>
        </w:rPr>
        <w:t>附件：政府采购促进中小企业发展管理办法</w:t>
      </w:r>
    </w:p>
    <w:p w:rsidR="008C0A47">
      <w:pPr>
        <w:pStyle w:val="NormalWeb"/>
        <w:shd w:val="clear" w:color="auto" w:fill="FFFFFF"/>
        <w:spacing w:line="440" w:lineRule="exact"/>
        <w:ind w:firstLine="420"/>
        <w:rPr>
          <w:rFonts w:ascii="宋体" w:hAnsi="宋体" w:cs="宋体"/>
          <w:sz w:val="21"/>
          <w:szCs w:val="21"/>
          <w:shd w:val="clear" w:color="auto" w:fill="FFFFFF"/>
        </w:rPr>
      </w:pPr>
    </w:p>
    <w:p w:rsidR="008C0A47">
      <w:pPr>
        <w:pStyle w:val="NormalWeb"/>
        <w:spacing w:line="440" w:lineRule="exact"/>
        <w:ind w:firstLine="480" w:firstLineChars="200"/>
        <w:jc w:val="right"/>
        <w:rPr>
          <w:rFonts w:ascii="宋体" w:hAnsi="宋体" w:cs="宋体"/>
          <w:sz w:val="21"/>
          <w:szCs w:val="21"/>
          <w:shd w:val="clear" w:color="auto" w:fill="FFFFFF"/>
        </w:rPr>
      </w:pPr>
      <w:r>
        <w:rPr>
          <w:rFonts w:ascii="宋体" w:hAnsi="宋体" w:cs="宋体" w:hint="eastAsia"/>
          <w:sz w:val="21"/>
          <w:szCs w:val="21"/>
          <w:shd w:val="clear" w:color="auto" w:fill="FFFFFF"/>
        </w:rPr>
        <w:t>财政部</w:t>
      </w:r>
      <w:r>
        <w:rPr>
          <w:rFonts w:ascii="宋体" w:hAnsi="宋体" w:cs="宋体" w:hint="eastAsia"/>
          <w:sz w:val="21"/>
          <w:szCs w:val="21"/>
          <w:shd w:val="clear" w:color="auto" w:fill="FFFFFF"/>
        </w:rPr>
        <w:br/>
      </w:r>
      <w:r>
        <w:rPr>
          <w:rFonts w:ascii="宋体" w:hAnsi="宋体" w:cs="宋体" w:hint="eastAsia"/>
          <w:sz w:val="21"/>
          <w:szCs w:val="21"/>
          <w:shd w:val="clear" w:color="auto" w:fill="FFFFFF"/>
        </w:rPr>
        <w:t>工业和信息化部</w:t>
      </w:r>
      <w:r>
        <w:rPr>
          <w:rFonts w:ascii="宋体" w:hAnsi="宋体" w:cs="宋体" w:hint="eastAsia"/>
          <w:sz w:val="21"/>
          <w:szCs w:val="21"/>
          <w:shd w:val="clear" w:color="auto" w:fill="FFFFFF"/>
        </w:rPr>
        <w:br/>
        <w:t>2020</w:t>
      </w:r>
      <w:r>
        <w:rPr>
          <w:rFonts w:ascii="宋体" w:hAnsi="宋体" w:cs="宋体" w:hint="eastAsia"/>
          <w:sz w:val="21"/>
          <w:szCs w:val="21"/>
          <w:shd w:val="clear" w:color="auto" w:fill="FFFFFF"/>
        </w:rPr>
        <w:t>年</w:t>
      </w:r>
      <w:r>
        <w:rPr>
          <w:rFonts w:ascii="宋体" w:hAnsi="宋体" w:cs="宋体" w:hint="eastAsia"/>
          <w:sz w:val="21"/>
          <w:szCs w:val="21"/>
          <w:shd w:val="clear" w:color="auto" w:fill="FFFFFF"/>
        </w:rPr>
        <w:t>12</w:t>
      </w:r>
      <w:r>
        <w:rPr>
          <w:rFonts w:ascii="宋体" w:hAnsi="宋体" w:cs="宋体" w:hint="eastAsia"/>
          <w:sz w:val="21"/>
          <w:szCs w:val="21"/>
          <w:shd w:val="clear" w:color="auto" w:fill="FFFFFF"/>
        </w:rPr>
        <w:t>月</w:t>
      </w:r>
      <w:r>
        <w:rPr>
          <w:rFonts w:ascii="宋体" w:hAnsi="宋体" w:cs="宋体" w:hint="eastAsia"/>
          <w:sz w:val="21"/>
          <w:szCs w:val="21"/>
          <w:shd w:val="clear" w:color="auto" w:fill="FFFFFF"/>
        </w:rPr>
        <w:t>18</w:t>
      </w:r>
      <w:r>
        <w:rPr>
          <w:rFonts w:ascii="宋体" w:hAnsi="宋体" w:cs="宋体" w:hint="eastAsia"/>
          <w:sz w:val="21"/>
          <w:szCs w:val="21"/>
          <w:shd w:val="clear" w:color="auto" w:fill="FFFFFF"/>
        </w:rPr>
        <w:t>日</w:t>
      </w:r>
    </w:p>
    <w:p w:rsidR="008C0A47">
      <w:pPr>
        <w:pStyle w:val="NormalWeb"/>
        <w:spacing w:line="440" w:lineRule="exact"/>
        <w:rPr>
          <w:rFonts w:ascii="宋体" w:hAnsi="宋体" w:cs="宋体"/>
          <w:sz w:val="21"/>
          <w:szCs w:val="21"/>
          <w:shd w:val="clear" w:color="auto" w:fill="FFFFFF"/>
        </w:rPr>
      </w:pPr>
      <w:r>
        <w:rPr>
          <w:rFonts w:ascii="宋体" w:hAnsi="宋体" w:cs="宋体" w:hint="eastAsia"/>
          <w:sz w:val="21"/>
          <w:szCs w:val="21"/>
          <w:shd w:val="clear" w:color="auto" w:fill="FFFFFF"/>
        </w:rPr>
        <w:t>附件：</w:t>
      </w:r>
    </w:p>
    <w:p w:rsidR="008C0A47">
      <w:pPr>
        <w:pStyle w:val="NormalWeb"/>
        <w:spacing w:line="440" w:lineRule="exact"/>
        <w:jc w:val="center"/>
        <w:rPr>
          <w:rFonts w:ascii="宋体" w:hAnsi="宋体" w:cs="宋体"/>
        </w:rPr>
      </w:pPr>
      <w:r>
        <w:rPr>
          <w:rStyle w:val="Strong"/>
          <w:rFonts w:ascii="宋体" w:hAnsi="宋体" w:cs="宋体" w:hint="eastAsia"/>
          <w:bCs w:val="0"/>
        </w:rPr>
        <w:t>政府采购促进中小企业发展管理办法</w:t>
      </w:r>
    </w:p>
    <w:p w:rsidR="008C0A47">
      <w:pPr>
        <w:pStyle w:val="NormalWeb"/>
        <w:spacing w:line="440" w:lineRule="exact"/>
        <w:ind w:firstLine="545" w:firstLineChars="227"/>
        <w:rPr>
          <w:rFonts w:ascii="宋体" w:hAnsi="宋体" w:cs="宋体"/>
          <w:sz w:val="21"/>
          <w:szCs w:val="21"/>
        </w:rPr>
      </w:pPr>
    </w:p>
    <w:p w:rsidR="008C0A47">
      <w:pPr>
        <w:pStyle w:val="NormalWeb"/>
        <w:spacing w:line="440" w:lineRule="exact"/>
        <w:ind w:firstLine="480" w:firstLineChars="200"/>
        <w:rPr>
          <w:rFonts w:ascii="宋体" w:hAnsi="宋体" w:cs="宋体"/>
          <w:sz w:val="21"/>
          <w:szCs w:val="21"/>
        </w:rPr>
      </w:pPr>
      <w:r>
        <w:rPr>
          <w:rStyle w:val="Strong"/>
          <w:rFonts w:ascii="宋体" w:hAnsi="宋体" w:cs="宋体" w:hint="eastAsia"/>
          <w:bCs w:val="0"/>
          <w:sz w:val="21"/>
          <w:szCs w:val="21"/>
        </w:rPr>
        <w:t>第一条</w:t>
      </w:r>
      <w:r>
        <w:rPr>
          <w:rFonts w:ascii="宋体" w:hAnsi="宋体" w:cs="宋体" w:hint="eastAsia"/>
          <w:sz w:val="21"/>
          <w:szCs w:val="21"/>
        </w:rPr>
        <w:t>　为了发挥政府采购的政策功能，促进中小企业健康发展，根据《中华人民共和国政府采购法》、《中华人民共和国中小企业</w:t>
      </w:r>
      <w:r>
        <w:rPr>
          <w:rFonts w:ascii="宋体" w:hAnsi="宋体" w:cs="宋体" w:hint="eastAsia"/>
          <w:sz w:val="21"/>
          <w:szCs w:val="21"/>
        </w:rPr>
        <w:t>促进法》等有关法律法规，制定本办法。</w:t>
      </w:r>
    </w:p>
    <w:p w:rsidR="008C0A47">
      <w:pPr>
        <w:pStyle w:val="NormalWeb"/>
        <w:spacing w:line="440" w:lineRule="exact"/>
        <w:ind w:firstLine="480" w:firstLineChars="200"/>
        <w:rPr>
          <w:rFonts w:ascii="宋体" w:hAnsi="宋体" w:cs="宋体"/>
          <w:sz w:val="21"/>
          <w:szCs w:val="21"/>
        </w:rPr>
      </w:pPr>
      <w:r>
        <w:rPr>
          <w:rStyle w:val="Strong"/>
          <w:rFonts w:ascii="宋体" w:hAnsi="宋体" w:cs="宋体" w:hint="eastAsia"/>
          <w:bCs w:val="0"/>
          <w:sz w:val="21"/>
          <w:szCs w:val="21"/>
        </w:rPr>
        <w:t>第二条</w:t>
      </w:r>
      <w:r>
        <w:rPr>
          <w:rFonts w:ascii="宋体" w:hAnsi="宋体" w:cs="宋体" w:hint="eastAsia"/>
          <w:sz w:val="21"/>
          <w:szCs w:val="21"/>
        </w:rPr>
        <w:t>　本办法所称</w:t>
      </w:r>
      <w:r>
        <w:rPr>
          <w:rStyle w:val="Strong"/>
          <w:rFonts w:ascii="宋体" w:hAnsi="宋体" w:cs="宋体" w:hint="eastAsia"/>
          <w:sz w:val="21"/>
          <w:szCs w:val="21"/>
        </w:rPr>
        <w:t>中小企业</w:t>
      </w:r>
      <w:r>
        <w:rPr>
          <w:rFonts w:ascii="宋体" w:hAnsi="宋体" w:cs="宋体" w:hint="eastAsia"/>
          <w:sz w:val="21"/>
          <w:szCs w:val="21"/>
        </w:rPr>
        <w:t>，是指在中华人民共和国境内依法设立，依据国务院批准的中小企业划分标准确定的中型企业、小型企业和微型企业，但与大企业的负责人为同一人，或者与大企业存在直接控股、管理关系的除外。</w:t>
      </w:r>
    </w:p>
    <w:p w:rsidR="008C0A47">
      <w:pPr>
        <w:pStyle w:val="NormalWeb"/>
        <w:spacing w:line="440" w:lineRule="exact"/>
        <w:ind w:firstLine="480" w:firstLineChars="200"/>
        <w:rPr>
          <w:rFonts w:ascii="宋体" w:hAnsi="宋体" w:cs="宋体"/>
          <w:sz w:val="21"/>
          <w:szCs w:val="21"/>
        </w:rPr>
      </w:pPr>
      <w:r>
        <w:rPr>
          <w:rFonts w:ascii="宋体" w:hAnsi="宋体" w:cs="宋体" w:hint="eastAsia"/>
          <w:sz w:val="21"/>
          <w:szCs w:val="21"/>
        </w:rPr>
        <w:t>符合中小企业划分标准的个体工商户，在政府采购活动中视同中小企业。</w:t>
      </w:r>
    </w:p>
    <w:p w:rsidR="008C0A47">
      <w:pPr>
        <w:pStyle w:val="NormalWeb"/>
        <w:spacing w:line="440" w:lineRule="exact"/>
        <w:ind w:firstLine="480" w:firstLineChars="200"/>
        <w:rPr>
          <w:rFonts w:ascii="宋体" w:hAnsi="宋体" w:cs="宋体"/>
          <w:sz w:val="21"/>
          <w:szCs w:val="21"/>
        </w:rPr>
      </w:pPr>
      <w:r>
        <w:rPr>
          <w:rFonts w:ascii="宋体" w:hAnsi="宋体" w:cs="宋体" w:hint="eastAsia"/>
          <w:b/>
          <w:sz w:val="21"/>
          <w:szCs w:val="21"/>
        </w:rPr>
        <w:t>第三条　</w:t>
      </w:r>
      <w:r>
        <w:rPr>
          <w:rFonts w:ascii="宋体" w:hAnsi="宋体" w:cs="宋体" w:hint="eastAsia"/>
          <w:sz w:val="21"/>
          <w:szCs w:val="21"/>
        </w:rPr>
        <w:t>采购人在政府采购活动中应当通过加强采购需求管理，落实预留采购份额、价格评审优惠、优先采购等措施，提高中小企业在政府采购中的份额，支持中小企业发展。</w:t>
      </w:r>
    </w:p>
    <w:p w:rsidR="008C0A47">
      <w:pPr>
        <w:pStyle w:val="NormalWeb"/>
        <w:spacing w:line="440" w:lineRule="exact"/>
        <w:ind w:firstLine="480" w:firstLineChars="200"/>
        <w:rPr>
          <w:rFonts w:ascii="宋体" w:hAnsi="宋体" w:cs="宋体"/>
          <w:sz w:val="21"/>
          <w:szCs w:val="21"/>
        </w:rPr>
      </w:pPr>
      <w:r>
        <w:rPr>
          <w:rFonts w:ascii="宋体" w:hAnsi="宋体" w:cs="宋体" w:hint="eastAsia"/>
          <w:b/>
          <w:sz w:val="21"/>
          <w:szCs w:val="21"/>
        </w:rPr>
        <w:t>第四条　</w:t>
      </w:r>
      <w:r>
        <w:rPr>
          <w:rFonts w:ascii="宋体" w:hAnsi="宋体" w:cs="宋体" w:hint="eastAsia"/>
          <w:sz w:val="21"/>
          <w:szCs w:val="21"/>
        </w:rPr>
        <w:t>在政府采购活动中，供应商提供的货物、工程或者服务符合下列情形的，享受本办法规定的中小企业扶持政策：</w:t>
      </w:r>
    </w:p>
    <w:p w:rsidR="008C0A47">
      <w:pPr>
        <w:pStyle w:val="NormalWeb"/>
        <w:spacing w:line="440" w:lineRule="exact"/>
        <w:ind w:firstLine="480" w:firstLineChars="200"/>
        <w:rPr>
          <w:rFonts w:ascii="宋体" w:hAnsi="宋体" w:cs="宋体"/>
          <w:sz w:val="21"/>
          <w:szCs w:val="21"/>
        </w:rPr>
      </w:pPr>
      <w:r>
        <w:rPr>
          <w:rFonts w:ascii="宋体" w:hAnsi="宋体" w:cs="宋体" w:hint="eastAsia"/>
          <w:sz w:val="21"/>
          <w:szCs w:val="21"/>
        </w:rPr>
        <w:t>（一）在货物采购项目中，货物由中小企业制造，即货物由中小企业生产且使用该中小企业商号或者注册商标；</w:t>
      </w:r>
    </w:p>
    <w:p w:rsidR="008C0A47">
      <w:pPr>
        <w:pStyle w:val="NormalWeb"/>
        <w:spacing w:line="440" w:lineRule="exact"/>
        <w:ind w:firstLine="480" w:firstLineChars="200"/>
        <w:rPr>
          <w:rFonts w:ascii="宋体" w:hAnsi="宋体" w:cs="宋体"/>
          <w:sz w:val="21"/>
          <w:szCs w:val="21"/>
        </w:rPr>
      </w:pPr>
      <w:r>
        <w:rPr>
          <w:rFonts w:ascii="宋体" w:hAnsi="宋体" w:cs="宋体" w:hint="eastAsia"/>
          <w:sz w:val="21"/>
          <w:szCs w:val="21"/>
        </w:rPr>
        <w:t>（二）在工程采购项目中，工程由中小企业承建，即工程施工单位为中小企业；</w:t>
      </w:r>
    </w:p>
    <w:p w:rsidR="008C0A47">
      <w:pPr>
        <w:pStyle w:val="NormalWeb"/>
        <w:spacing w:line="440" w:lineRule="exact"/>
        <w:ind w:firstLine="480" w:firstLineChars="200"/>
        <w:rPr>
          <w:rFonts w:ascii="宋体" w:hAnsi="宋体" w:cs="宋体"/>
          <w:sz w:val="21"/>
          <w:szCs w:val="21"/>
        </w:rPr>
      </w:pPr>
      <w:r>
        <w:rPr>
          <w:rFonts w:ascii="宋体" w:hAnsi="宋体" w:cs="宋体" w:hint="eastAsia"/>
          <w:sz w:val="21"/>
          <w:szCs w:val="21"/>
        </w:rPr>
        <w:t>（三）在服务采购项目中，服务由中小企业承接，即提供服务的人员为中小企业依照《中华人民共和国劳动合同法》订立劳动合同的从业人员。</w:t>
      </w:r>
    </w:p>
    <w:p w:rsidR="008C0A47">
      <w:pPr>
        <w:pStyle w:val="NormalWeb"/>
        <w:spacing w:line="440" w:lineRule="exact"/>
        <w:ind w:firstLine="480" w:firstLineChars="200"/>
        <w:rPr>
          <w:rFonts w:ascii="宋体" w:hAnsi="宋体" w:cs="宋体"/>
          <w:sz w:val="21"/>
          <w:szCs w:val="21"/>
        </w:rPr>
      </w:pPr>
      <w:r>
        <w:rPr>
          <w:rFonts w:ascii="宋体" w:hAnsi="宋体" w:cs="宋体" w:hint="eastAsia"/>
          <w:sz w:val="21"/>
          <w:szCs w:val="21"/>
        </w:rPr>
        <w:t>在货物采购项目中，供应商提供的货物既有中小企业制造货物，也有大型企业制造货物的，不享受本办法规定的中小企业扶持政策。</w:t>
      </w:r>
    </w:p>
    <w:p w:rsidR="008C0A47">
      <w:pPr>
        <w:pStyle w:val="NormalWeb"/>
        <w:spacing w:line="440" w:lineRule="exact"/>
        <w:ind w:firstLine="480" w:firstLineChars="200"/>
        <w:rPr>
          <w:rFonts w:ascii="宋体" w:hAnsi="宋体" w:cs="宋体"/>
          <w:sz w:val="21"/>
          <w:szCs w:val="21"/>
        </w:rPr>
      </w:pPr>
      <w:r>
        <w:rPr>
          <w:rFonts w:ascii="宋体" w:hAnsi="宋体" w:cs="宋体" w:hint="eastAsia"/>
          <w:sz w:val="21"/>
          <w:szCs w:val="21"/>
        </w:rPr>
        <w:t>以联合体形</w:t>
      </w:r>
      <w:r>
        <w:rPr>
          <w:rFonts w:ascii="宋体" w:hAnsi="宋体" w:cs="宋体" w:hint="eastAsia"/>
          <w:sz w:val="21"/>
          <w:szCs w:val="21"/>
        </w:rPr>
        <w:t>式参加</w:t>
      </w:r>
      <w:r>
        <w:rPr>
          <w:rFonts w:ascii="宋体" w:hAnsi="宋体" w:cs="宋体" w:hint="eastAsia"/>
          <w:sz w:val="21"/>
          <w:szCs w:val="21"/>
        </w:rPr>
        <w:t>政府采购活动，联合体各方均为中小企业的，联合体视同中小企业。其中，联合体各方均为小</w:t>
      </w:r>
      <w:r>
        <w:rPr>
          <w:rFonts w:ascii="宋体" w:hAnsi="宋体" w:cs="宋体" w:hint="eastAsia"/>
          <w:sz w:val="21"/>
          <w:szCs w:val="21"/>
        </w:rPr>
        <w:t>微企业</w:t>
      </w:r>
      <w:r>
        <w:rPr>
          <w:rFonts w:ascii="宋体" w:hAnsi="宋体" w:cs="宋体" w:hint="eastAsia"/>
          <w:sz w:val="21"/>
          <w:szCs w:val="21"/>
        </w:rPr>
        <w:t>的，联合体视同小微企业。</w:t>
      </w:r>
    </w:p>
    <w:p w:rsidR="008C0A47">
      <w:pPr>
        <w:pStyle w:val="NormalWeb"/>
        <w:spacing w:line="440" w:lineRule="exact"/>
        <w:ind w:firstLine="480" w:firstLineChars="200"/>
        <w:rPr>
          <w:rFonts w:ascii="宋体" w:hAnsi="宋体" w:cs="宋体"/>
          <w:sz w:val="21"/>
          <w:szCs w:val="21"/>
        </w:rPr>
      </w:pPr>
      <w:r>
        <w:rPr>
          <w:rFonts w:ascii="宋体" w:hAnsi="宋体" w:cs="宋体" w:hint="eastAsia"/>
          <w:b/>
          <w:sz w:val="21"/>
          <w:szCs w:val="21"/>
        </w:rPr>
        <w:t>第五条　</w:t>
      </w:r>
      <w:r>
        <w:rPr>
          <w:rFonts w:ascii="宋体" w:hAnsi="宋体" w:cs="宋体" w:hint="eastAsia"/>
          <w:sz w:val="21"/>
          <w:szCs w:val="21"/>
        </w:rPr>
        <w:t>采购人在政府采购活动中应当合理确定采购项目的采购需求，不得以企业注册资本、资产总额、营业收入、从业人员、利润、纳税额等规模条件和</w:t>
      </w:r>
      <w:r>
        <w:rPr>
          <w:rFonts w:ascii="宋体" w:hAnsi="宋体" w:cs="宋体" w:hint="eastAsia"/>
          <w:sz w:val="21"/>
          <w:szCs w:val="21"/>
        </w:rPr>
        <w:t>财务指标作为供应商的资格要求或者评审因素，不得在企业股权结构、经营年限等方面对中小企业实行差别待遇或者歧视待遇。</w:t>
      </w:r>
    </w:p>
    <w:p w:rsidR="008C0A47">
      <w:pPr>
        <w:pStyle w:val="NormalWeb"/>
        <w:spacing w:line="440" w:lineRule="exact"/>
        <w:ind w:firstLine="480" w:firstLineChars="200"/>
        <w:rPr>
          <w:rFonts w:ascii="宋体" w:hAnsi="宋体" w:cs="宋体"/>
          <w:sz w:val="21"/>
          <w:szCs w:val="21"/>
        </w:rPr>
      </w:pPr>
      <w:r>
        <w:rPr>
          <w:rFonts w:ascii="宋体" w:hAnsi="宋体" w:cs="宋体" w:hint="eastAsia"/>
          <w:b/>
          <w:sz w:val="21"/>
          <w:szCs w:val="21"/>
        </w:rPr>
        <w:t>第六条　</w:t>
      </w:r>
      <w:r>
        <w:rPr>
          <w:rFonts w:ascii="宋体" w:hAnsi="宋体" w:cs="宋体" w:hint="eastAsia"/>
          <w:sz w:val="21"/>
          <w:szCs w:val="21"/>
        </w:rPr>
        <w:t>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rsidR="008C0A47">
      <w:pPr>
        <w:pStyle w:val="NormalWeb"/>
        <w:spacing w:line="440" w:lineRule="exact"/>
        <w:ind w:firstLine="480" w:firstLineChars="200"/>
        <w:rPr>
          <w:rFonts w:ascii="宋体" w:hAnsi="宋体" w:cs="宋体"/>
          <w:sz w:val="21"/>
          <w:szCs w:val="21"/>
        </w:rPr>
      </w:pPr>
      <w:r>
        <w:rPr>
          <w:rFonts w:ascii="宋体" w:hAnsi="宋体" w:cs="宋体" w:hint="eastAsia"/>
          <w:sz w:val="21"/>
          <w:szCs w:val="21"/>
        </w:rPr>
        <w:t>符合下列情形之一的，可不专门面向中小企业预留采购份额：</w:t>
      </w:r>
    </w:p>
    <w:p w:rsidR="008C0A47">
      <w:pPr>
        <w:pStyle w:val="NormalWeb"/>
        <w:spacing w:line="440" w:lineRule="exact"/>
        <w:ind w:firstLine="480" w:firstLineChars="200"/>
        <w:rPr>
          <w:rFonts w:ascii="宋体" w:hAnsi="宋体" w:cs="宋体"/>
          <w:sz w:val="21"/>
          <w:szCs w:val="21"/>
        </w:rPr>
      </w:pPr>
      <w:r>
        <w:rPr>
          <w:rFonts w:ascii="宋体" w:hAnsi="宋体" w:cs="宋体" w:hint="eastAsia"/>
          <w:sz w:val="21"/>
          <w:szCs w:val="21"/>
        </w:rPr>
        <w:t>（一）法律法规和国家有关政策明确规定优先或者应当面向事业单位、社会组织等非企业主体采购的；</w:t>
      </w:r>
    </w:p>
    <w:p w:rsidR="008C0A47">
      <w:pPr>
        <w:pStyle w:val="NormalWeb"/>
        <w:spacing w:line="440" w:lineRule="exact"/>
        <w:ind w:firstLine="480" w:firstLineChars="200"/>
        <w:rPr>
          <w:rFonts w:ascii="宋体" w:hAnsi="宋体" w:cs="宋体"/>
          <w:sz w:val="21"/>
          <w:szCs w:val="21"/>
        </w:rPr>
      </w:pPr>
      <w:r>
        <w:rPr>
          <w:rFonts w:ascii="宋体" w:hAnsi="宋体" w:cs="宋体" w:hint="eastAsia"/>
          <w:sz w:val="21"/>
          <w:szCs w:val="21"/>
        </w:rPr>
        <w:t>（二）因确需使用不可替代的专利、专有技术</w:t>
      </w:r>
      <w:r>
        <w:rPr>
          <w:rFonts w:ascii="宋体" w:hAnsi="宋体" w:cs="宋体" w:hint="eastAsia"/>
          <w:sz w:val="21"/>
          <w:szCs w:val="21"/>
        </w:rPr>
        <w:t>，基础设施限制，或者提供特定公共服务等原因，只能从中小企业之外的供应商处采购的；</w:t>
      </w:r>
    </w:p>
    <w:p w:rsidR="008C0A47">
      <w:pPr>
        <w:pStyle w:val="NormalWeb"/>
        <w:spacing w:line="440" w:lineRule="exact"/>
        <w:ind w:firstLine="480" w:firstLineChars="200"/>
        <w:rPr>
          <w:rFonts w:ascii="宋体" w:hAnsi="宋体" w:cs="宋体"/>
          <w:sz w:val="21"/>
          <w:szCs w:val="21"/>
        </w:rPr>
      </w:pPr>
      <w:r>
        <w:rPr>
          <w:rFonts w:ascii="宋体" w:hAnsi="宋体" w:cs="宋体" w:hint="eastAsia"/>
          <w:sz w:val="21"/>
          <w:szCs w:val="21"/>
        </w:rPr>
        <w:t>（三）按照本办法规定预留采购份额无法确保充分供应、充分竞争，或者存在可能影响政府采购目标实现的情形；</w:t>
      </w:r>
    </w:p>
    <w:p w:rsidR="008C0A47">
      <w:pPr>
        <w:pStyle w:val="NormalWeb"/>
        <w:spacing w:line="440" w:lineRule="exact"/>
        <w:ind w:firstLine="480" w:firstLineChars="200"/>
        <w:rPr>
          <w:rFonts w:ascii="宋体" w:hAnsi="宋体" w:cs="宋体"/>
          <w:sz w:val="21"/>
          <w:szCs w:val="21"/>
        </w:rPr>
      </w:pPr>
      <w:r>
        <w:rPr>
          <w:rFonts w:ascii="宋体" w:hAnsi="宋体" w:cs="宋体" w:hint="eastAsia"/>
          <w:sz w:val="21"/>
          <w:szCs w:val="21"/>
        </w:rPr>
        <w:t>（四）框架协议采购项目；</w:t>
      </w:r>
    </w:p>
    <w:p w:rsidR="008C0A47">
      <w:pPr>
        <w:pStyle w:val="NormalWeb"/>
        <w:spacing w:line="440" w:lineRule="exact"/>
        <w:ind w:firstLine="480" w:firstLineChars="200"/>
        <w:rPr>
          <w:rFonts w:ascii="宋体" w:hAnsi="宋体" w:cs="宋体"/>
          <w:sz w:val="21"/>
          <w:szCs w:val="21"/>
        </w:rPr>
      </w:pPr>
      <w:r>
        <w:rPr>
          <w:rFonts w:ascii="宋体" w:hAnsi="宋体" w:cs="宋体" w:hint="eastAsia"/>
          <w:sz w:val="21"/>
          <w:szCs w:val="21"/>
        </w:rPr>
        <w:t>（五）省级以上人民政府财政部门规定的其他情形。</w:t>
      </w:r>
    </w:p>
    <w:p w:rsidR="008C0A47">
      <w:pPr>
        <w:pStyle w:val="NormalWeb"/>
        <w:spacing w:line="440" w:lineRule="exact"/>
        <w:ind w:firstLine="480" w:firstLineChars="200"/>
        <w:rPr>
          <w:rFonts w:ascii="宋体" w:hAnsi="宋体" w:cs="宋体"/>
          <w:sz w:val="21"/>
          <w:szCs w:val="21"/>
        </w:rPr>
      </w:pPr>
      <w:r>
        <w:rPr>
          <w:rFonts w:ascii="宋体" w:hAnsi="宋体" w:cs="宋体" w:hint="eastAsia"/>
          <w:sz w:val="21"/>
          <w:szCs w:val="21"/>
        </w:rPr>
        <w:t>除上述情形外，其他均为适宜由中小企业提供的情形。</w:t>
      </w:r>
    </w:p>
    <w:p w:rsidR="008C0A47">
      <w:pPr>
        <w:pStyle w:val="NormalWeb"/>
        <w:spacing w:line="440" w:lineRule="exact"/>
        <w:ind w:firstLine="480" w:firstLineChars="200"/>
        <w:rPr>
          <w:rFonts w:ascii="宋体" w:hAnsi="宋体" w:cs="宋体"/>
          <w:sz w:val="21"/>
          <w:szCs w:val="21"/>
        </w:rPr>
      </w:pPr>
      <w:r>
        <w:rPr>
          <w:rFonts w:ascii="宋体" w:hAnsi="宋体" w:cs="宋体" w:hint="eastAsia"/>
          <w:b/>
          <w:sz w:val="21"/>
          <w:szCs w:val="21"/>
        </w:rPr>
        <w:t>第七条　</w:t>
      </w:r>
      <w:r>
        <w:rPr>
          <w:rFonts w:ascii="宋体" w:hAnsi="宋体" w:cs="宋体" w:hint="eastAsia"/>
          <w:sz w:val="21"/>
          <w:szCs w:val="21"/>
        </w:rPr>
        <w:t>采购限额标准以上，</w:t>
      </w:r>
      <w:r>
        <w:rPr>
          <w:rFonts w:ascii="宋体" w:hAnsi="宋体" w:cs="宋体" w:hint="eastAsia"/>
          <w:sz w:val="21"/>
          <w:szCs w:val="21"/>
        </w:rPr>
        <w:t>200</w:t>
      </w:r>
      <w:r>
        <w:rPr>
          <w:rFonts w:ascii="宋体" w:hAnsi="宋体" w:cs="宋体" w:hint="eastAsia"/>
          <w:sz w:val="21"/>
          <w:szCs w:val="21"/>
        </w:rPr>
        <w:t>万元以下的货物和服务采购项目、</w:t>
      </w:r>
      <w:r>
        <w:rPr>
          <w:rFonts w:ascii="宋体" w:hAnsi="宋体" w:cs="宋体" w:hint="eastAsia"/>
          <w:sz w:val="21"/>
          <w:szCs w:val="21"/>
        </w:rPr>
        <w:t>400</w:t>
      </w:r>
      <w:r>
        <w:rPr>
          <w:rFonts w:ascii="宋体" w:hAnsi="宋体" w:cs="宋体" w:hint="eastAsia"/>
          <w:sz w:val="21"/>
          <w:szCs w:val="21"/>
        </w:rPr>
        <w:t>万元以下的工程采购项目，适宜由中小企业提供的，采购人应当专门面向中小企业采购。</w:t>
      </w:r>
    </w:p>
    <w:p w:rsidR="008C0A47">
      <w:pPr>
        <w:pStyle w:val="NormalWeb"/>
        <w:spacing w:line="440" w:lineRule="exact"/>
        <w:ind w:firstLine="480" w:firstLineChars="200"/>
        <w:rPr>
          <w:rFonts w:ascii="宋体" w:hAnsi="宋体" w:cs="宋体"/>
          <w:sz w:val="21"/>
          <w:szCs w:val="21"/>
        </w:rPr>
      </w:pPr>
      <w:r>
        <w:rPr>
          <w:rFonts w:ascii="宋体" w:hAnsi="宋体" w:cs="宋体" w:hint="eastAsia"/>
          <w:b/>
          <w:sz w:val="21"/>
          <w:szCs w:val="21"/>
        </w:rPr>
        <w:t>第八条　</w:t>
      </w:r>
      <w:r>
        <w:rPr>
          <w:rFonts w:ascii="宋体" w:hAnsi="宋体" w:cs="宋体" w:hint="eastAsia"/>
          <w:sz w:val="21"/>
          <w:szCs w:val="21"/>
        </w:rPr>
        <w:t>超过</w:t>
      </w:r>
      <w:r>
        <w:rPr>
          <w:rFonts w:ascii="宋体" w:hAnsi="宋体" w:cs="宋体" w:hint="eastAsia"/>
          <w:sz w:val="21"/>
          <w:szCs w:val="21"/>
        </w:rPr>
        <w:t>200</w:t>
      </w:r>
      <w:r>
        <w:rPr>
          <w:rFonts w:ascii="宋体" w:hAnsi="宋体" w:cs="宋体" w:hint="eastAsia"/>
          <w:sz w:val="21"/>
          <w:szCs w:val="21"/>
        </w:rPr>
        <w:t>万元的货物和服务采购项目、超过</w:t>
      </w:r>
      <w:r>
        <w:rPr>
          <w:rFonts w:ascii="宋体" w:hAnsi="宋体" w:cs="宋体" w:hint="eastAsia"/>
          <w:sz w:val="21"/>
          <w:szCs w:val="21"/>
        </w:rPr>
        <w:t>400</w:t>
      </w:r>
      <w:r>
        <w:rPr>
          <w:rFonts w:ascii="宋体" w:hAnsi="宋体" w:cs="宋体" w:hint="eastAsia"/>
          <w:sz w:val="21"/>
          <w:szCs w:val="21"/>
        </w:rPr>
        <w:t>万</w:t>
      </w:r>
      <w:r>
        <w:rPr>
          <w:rFonts w:ascii="宋体" w:hAnsi="宋体" w:cs="宋体" w:hint="eastAsia"/>
          <w:sz w:val="21"/>
          <w:szCs w:val="21"/>
        </w:rPr>
        <w:t>元的工程采购项目中适宜由中小企业提供的，预留该部分采购项目预算总额的</w:t>
      </w:r>
      <w:r>
        <w:rPr>
          <w:rFonts w:ascii="宋体" w:hAnsi="宋体" w:cs="宋体" w:hint="eastAsia"/>
          <w:sz w:val="21"/>
          <w:szCs w:val="21"/>
        </w:rPr>
        <w:t>30%</w:t>
      </w:r>
      <w:r>
        <w:rPr>
          <w:rFonts w:ascii="宋体" w:hAnsi="宋体" w:cs="宋体" w:hint="eastAsia"/>
          <w:sz w:val="21"/>
          <w:szCs w:val="21"/>
        </w:rPr>
        <w:t>以上专门面向中小企业采购，其中预留给小</w:t>
      </w:r>
      <w:r>
        <w:rPr>
          <w:rFonts w:ascii="宋体" w:hAnsi="宋体" w:cs="宋体" w:hint="eastAsia"/>
          <w:sz w:val="21"/>
          <w:szCs w:val="21"/>
        </w:rPr>
        <w:t>微企业</w:t>
      </w:r>
      <w:r>
        <w:rPr>
          <w:rFonts w:ascii="宋体" w:hAnsi="宋体" w:cs="宋体" w:hint="eastAsia"/>
          <w:sz w:val="21"/>
          <w:szCs w:val="21"/>
        </w:rPr>
        <w:t>的比例不低于</w:t>
      </w:r>
      <w:r>
        <w:rPr>
          <w:rFonts w:ascii="宋体" w:hAnsi="宋体" w:cs="宋体" w:hint="eastAsia"/>
          <w:sz w:val="21"/>
          <w:szCs w:val="21"/>
        </w:rPr>
        <w:t>60%</w:t>
      </w:r>
      <w:r>
        <w:rPr>
          <w:rFonts w:ascii="宋体" w:hAnsi="宋体" w:cs="宋体" w:hint="eastAsia"/>
          <w:sz w:val="21"/>
          <w:szCs w:val="21"/>
        </w:rPr>
        <w:t>。预留份额通过下列措施进行：</w:t>
      </w:r>
    </w:p>
    <w:p w:rsidR="008C0A47">
      <w:pPr>
        <w:pStyle w:val="NormalWeb"/>
        <w:spacing w:line="440" w:lineRule="exact"/>
        <w:ind w:firstLine="480" w:firstLineChars="200"/>
        <w:rPr>
          <w:rFonts w:ascii="宋体" w:hAnsi="宋体" w:cs="宋体"/>
          <w:sz w:val="21"/>
          <w:szCs w:val="21"/>
        </w:rPr>
      </w:pPr>
      <w:r>
        <w:rPr>
          <w:rFonts w:ascii="宋体" w:hAnsi="宋体" w:cs="宋体" w:hint="eastAsia"/>
          <w:sz w:val="21"/>
          <w:szCs w:val="21"/>
        </w:rPr>
        <w:t>（一）将采购项目整体或者设置采购</w:t>
      </w:r>
      <w:r>
        <w:rPr>
          <w:rFonts w:ascii="宋体" w:hAnsi="宋体" w:cs="宋体" w:hint="eastAsia"/>
          <w:sz w:val="21"/>
          <w:szCs w:val="21"/>
        </w:rPr>
        <w:t>包专门</w:t>
      </w:r>
      <w:r>
        <w:rPr>
          <w:rFonts w:ascii="宋体" w:hAnsi="宋体" w:cs="宋体" w:hint="eastAsia"/>
          <w:sz w:val="21"/>
          <w:szCs w:val="21"/>
        </w:rPr>
        <w:t>面向中小企业采购；</w:t>
      </w:r>
    </w:p>
    <w:p w:rsidR="008C0A47">
      <w:pPr>
        <w:pStyle w:val="NormalWeb"/>
        <w:spacing w:line="440" w:lineRule="exact"/>
        <w:ind w:firstLine="480" w:firstLineChars="200"/>
        <w:rPr>
          <w:rFonts w:ascii="宋体" w:hAnsi="宋体" w:cs="宋体"/>
          <w:sz w:val="21"/>
          <w:szCs w:val="21"/>
        </w:rPr>
      </w:pPr>
      <w:r>
        <w:rPr>
          <w:rFonts w:ascii="宋体" w:hAnsi="宋体" w:cs="宋体" w:hint="eastAsia"/>
          <w:sz w:val="21"/>
          <w:szCs w:val="21"/>
        </w:rPr>
        <w:t>（二）要求供应商以联合体形</w:t>
      </w:r>
      <w:r>
        <w:rPr>
          <w:rFonts w:ascii="宋体" w:hAnsi="宋体" w:cs="宋体" w:hint="eastAsia"/>
          <w:sz w:val="21"/>
          <w:szCs w:val="21"/>
        </w:rPr>
        <w:t>式参加</w:t>
      </w:r>
      <w:r>
        <w:rPr>
          <w:rFonts w:ascii="宋体" w:hAnsi="宋体" w:cs="宋体" w:hint="eastAsia"/>
          <w:sz w:val="21"/>
          <w:szCs w:val="21"/>
        </w:rPr>
        <w:t>采购活动，且联合体中中小企业承担的部分达到一</w:t>
      </w:r>
      <w:r>
        <w:rPr>
          <w:rFonts w:ascii="宋体" w:hAnsi="宋体" w:cs="宋体" w:hint="eastAsia"/>
          <w:sz w:val="21"/>
          <w:szCs w:val="21"/>
        </w:rPr>
        <w:t>定比例；</w:t>
      </w:r>
    </w:p>
    <w:p w:rsidR="008C0A47">
      <w:pPr>
        <w:pStyle w:val="NormalWeb"/>
        <w:spacing w:line="440" w:lineRule="exact"/>
        <w:ind w:firstLine="480" w:firstLineChars="200"/>
        <w:rPr>
          <w:rFonts w:ascii="宋体" w:hAnsi="宋体" w:cs="宋体"/>
          <w:sz w:val="21"/>
          <w:szCs w:val="21"/>
        </w:rPr>
      </w:pPr>
      <w:r>
        <w:rPr>
          <w:rFonts w:ascii="宋体" w:hAnsi="宋体" w:cs="宋体" w:hint="eastAsia"/>
          <w:sz w:val="21"/>
          <w:szCs w:val="21"/>
        </w:rPr>
        <w:t>（三）要求获得采购合同的供应商将采购项目中的一定比例分包给一家或者多家中小企业。</w:t>
      </w:r>
    </w:p>
    <w:p w:rsidR="008C0A47">
      <w:pPr>
        <w:pStyle w:val="NormalWeb"/>
        <w:spacing w:line="440" w:lineRule="exact"/>
        <w:ind w:firstLine="480" w:firstLineChars="200"/>
        <w:rPr>
          <w:rFonts w:ascii="宋体" w:hAnsi="宋体" w:cs="宋体"/>
          <w:sz w:val="21"/>
          <w:szCs w:val="21"/>
        </w:rPr>
      </w:pPr>
      <w:r>
        <w:rPr>
          <w:rFonts w:ascii="宋体" w:hAnsi="宋体" w:cs="宋体" w:hint="eastAsia"/>
          <w:sz w:val="21"/>
          <w:szCs w:val="21"/>
        </w:rPr>
        <w:t>组成联合体或者接受分包合同的中小企业与联合体内其他企业、分包企业之间不得存在直接控股、管理关系。</w:t>
      </w:r>
    </w:p>
    <w:p w:rsidR="008C0A47">
      <w:pPr>
        <w:pStyle w:val="NormalWeb"/>
        <w:spacing w:line="440" w:lineRule="exact"/>
        <w:ind w:firstLine="480" w:firstLineChars="200"/>
        <w:rPr>
          <w:rFonts w:ascii="宋体" w:hAnsi="宋体" w:cs="宋体"/>
          <w:sz w:val="21"/>
          <w:szCs w:val="21"/>
        </w:rPr>
      </w:pPr>
      <w:r>
        <w:rPr>
          <w:rFonts w:ascii="宋体" w:hAnsi="宋体" w:cs="宋体" w:hint="eastAsia"/>
          <w:b/>
          <w:sz w:val="21"/>
          <w:szCs w:val="21"/>
        </w:rPr>
        <w:t>第九条　</w:t>
      </w:r>
      <w:r>
        <w:rPr>
          <w:rFonts w:ascii="宋体" w:hAnsi="宋体" w:cs="宋体" w:hint="eastAsia"/>
          <w:sz w:val="21"/>
          <w:szCs w:val="21"/>
        </w:rPr>
        <w:t>对于经主管预算</w:t>
      </w:r>
      <w:r>
        <w:rPr>
          <w:rFonts w:ascii="宋体" w:hAnsi="宋体" w:cs="宋体" w:hint="eastAsia"/>
          <w:sz w:val="21"/>
          <w:szCs w:val="21"/>
        </w:rPr>
        <w:t>单位统筹后未预留份额专门面向中小企业采购的采购项目，以及预留份额项目中的非预留部分采购包，采购人、采购代理机构应当对符合本办法规定的小</w:t>
      </w:r>
      <w:r>
        <w:rPr>
          <w:rFonts w:ascii="宋体" w:hAnsi="宋体" w:cs="宋体" w:hint="eastAsia"/>
          <w:sz w:val="21"/>
          <w:szCs w:val="21"/>
        </w:rPr>
        <w:t>微企业</w:t>
      </w:r>
      <w:r>
        <w:rPr>
          <w:rFonts w:ascii="宋体" w:hAnsi="宋体" w:cs="宋体" w:hint="eastAsia"/>
          <w:sz w:val="21"/>
          <w:szCs w:val="21"/>
        </w:rPr>
        <w:t>报价给予</w:t>
      </w:r>
      <w:r>
        <w:rPr>
          <w:rFonts w:ascii="宋体" w:hAnsi="宋体" w:cs="宋体" w:hint="eastAsia"/>
          <w:sz w:val="21"/>
          <w:szCs w:val="21"/>
        </w:rPr>
        <w:t>6%</w:t>
      </w:r>
      <w:r>
        <w:rPr>
          <w:rFonts w:ascii="宋体" w:hAnsi="宋体" w:cs="宋体" w:hint="eastAsia"/>
          <w:sz w:val="21"/>
          <w:szCs w:val="21"/>
        </w:rPr>
        <w:t>—</w:t>
      </w:r>
      <w:r>
        <w:rPr>
          <w:rFonts w:ascii="宋体" w:hAnsi="宋体" w:cs="宋体" w:hint="eastAsia"/>
          <w:sz w:val="21"/>
          <w:szCs w:val="21"/>
        </w:rPr>
        <w:t>10%</w:t>
      </w:r>
      <w:r>
        <w:rPr>
          <w:rFonts w:ascii="宋体" w:hAnsi="宋体" w:cs="宋体" w:hint="eastAsia"/>
          <w:sz w:val="21"/>
          <w:szCs w:val="21"/>
        </w:rPr>
        <w:t>（工程项目为</w:t>
      </w:r>
      <w:r>
        <w:rPr>
          <w:rFonts w:ascii="宋体" w:hAnsi="宋体" w:cs="宋体" w:hint="eastAsia"/>
          <w:sz w:val="21"/>
          <w:szCs w:val="21"/>
        </w:rPr>
        <w:t>3%</w:t>
      </w:r>
      <w:r>
        <w:rPr>
          <w:rFonts w:ascii="宋体" w:hAnsi="宋体" w:cs="宋体" w:hint="eastAsia"/>
          <w:sz w:val="21"/>
          <w:szCs w:val="21"/>
        </w:rPr>
        <w:t>—</w:t>
      </w:r>
      <w:r>
        <w:rPr>
          <w:rFonts w:ascii="宋体" w:hAnsi="宋体" w:cs="宋体" w:hint="eastAsia"/>
          <w:sz w:val="21"/>
          <w:szCs w:val="21"/>
        </w:rPr>
        <w:t>5%</w:t>
      </w:r>
      <w:r>
        <w:rPr>
          <w:rFonts w:ascii="宋体" w:hAnsi="宋体" w:cs="宋体" w:hint="eastAsia"/>
          <w:sz w:val="21"/>
          <w:szCs w:val="21"/>
        </w:rPr>
        <w:t>）的扣除，用扣除后的价格参加评审。适用招标投标法的政府采购工程建设项目，采用综合</w:t>
      </w:r>
      <w:r>
        <w:rPr>
          <w:rFonts w:ascii="宋体" w:hAnsi="宋体" w:cs="宋体" w:hint="eastAsia"/>
          <w:sz w:val="21"/>
          <w:szCs w:val="21"/>
        </w:rPr>
        <w:t>评估法但未</w:t>
      </w:r>
      <w:r>
        <w:rPr>
          <w:rFonts w:ascii="宋体" w:hAnsi="宋体" w:cs="宋体" w:hint="eastAsia"/>
          <w:sz w:val="21"/>
          <w:szCs w:val="21"/>
        </w:rPr>
        <w:t>采用低价优先法计算价格分的，评标时应当在采用原报价进行评分的基础上增加其价格得分的</w:t>
      </w:r>
      <w:r>
        <w:rPr>
          <w:rFonts w:ascii="宋体" w:hAnsi="宋体" w:cs="宋体" w:hint="eastAsia"/>
          <w:sz w:val="21"/>
          <w:szCs w:val="21"/>
        </w:rPr>
        <w:t>3%</w:t>
      </w:r>
      <w:r>
        <w:rPr>
          <w:rFonts w:ascii="宋体" w:hAnsi="宋体" w:cs="宋体" w:hint="eastAsia"/>
          <w:sz w:val="21"/>
          <w:szCs w:val="21"/>
        </w:rPr>
        <w:t>—</w:t>
      </w:r>
      <w:r>
        <w:rPr>
          <w:rFonts w:ascii="宋体" w:hAnsi="宋体" w:cs="宋体" w:hint="eastAsia"/>
          <w:sz w:val="21"/>
          <w:szCs w:val="21"/>
        </w:rPr>
        <w:t>5%</w:t>
      </w:r>
      <w:r>
        <w:rPr>
          <w:rFonts w:ascii="宋体" w:hAnsi="宋体" w:cs="宋体" w:hint="eastAsia"/>
          <w:sz w:val="21"/>
          <w:szCs w:val="21"/>
        </w:rPr>
        <w:t>作为其价格分。</w:t>
      </w:r>
    </w:p>
    <w:p w:rsidR="008C0A47">
      <w:pPr>
        <w:pStyle w:val="NormalWeb"/>
        <w:spacing w:line="440" w:lineRule="exact"/>
        <w:ind w:firstLine="480" w:firstLineChars="200"/>
        <w:rPr>
          <w:rFonts w:ascii="宋体" w:hAnsi="宋体" w:cs="宋体"/>
          <w:sz w:val="21"/>
          <w:szCs w:val="21"/>
        </w:rPr>
      </w:pPr>
      <w:r>
        <w:rPr>
          <w:rFonts w:ascii="宋体" w:hAnsi="宋体" w:cs="宋体" w:hint="eastAsia"/>
          <w:sz w:val="21"/>
          <w:szCs w:val="21"/>
        </w:rPr>
        <w:t>接受大中型企业与小</w:t>
      </w:r>
      <w:r>
        <w:rPr>
          <w:rFonts w:ascii="宋体" w:hAnsi="宋体" w:cs="宋体" w:hint="eastAsia"/>
          <w:sz w:val="21"/>
          <w:szCs w:val="21"/>
        </w:rPr>
        <w:t>微企业</w:t>
      </w:r>
      <w:r>
        <w:rPr>
          <w:rFonts w:ascii="宋体" w:hAnsi="宋体" w:cs="宋体" w:hint="eastAsia"/>
          <w:sz w:val="21"/>
          <w:szCs w:val="21"/>
        </w:rPr>
        <w:t>组成联合体或者允许大中型企业向一家或者多家小</w:t>
      </w:r>
      <w:r>
        <w:rPr>
          <w:rFonts w:ascii="宋体" w:hAnsi="宋体" w:cs="宋体" w:hint="eastAsia"/>
          <w:sz w:val="21"/>
          <w:szCs w:val="21"/>
        </w:rPr>
        <w:t>微企业</w:t>
      </w:r>
      <w:r>
        <w:rPr>
          <w:rFonts w:ascii="宋体" w:hAnsi="宋体" w:cs="宋体" w:hint="eastAsia"/>
          <w:sz w:val="21"/>
          <w:szCs w:val="21"/>
        </w:rPr>
        <w:t>分包的采购项目，对于联合协议或者分包意向协议约定小</w:t>
      </w:r>
      <w:r>
        <w:rPr>
          <w:rFonts w:ascii="宋体" w:hAnsi="宋体" w:cs="宋体" w:hint="eastAsia"/>
          <w:sz w:val="21"/>
          <w:szCs w:val="21"/>
        </w:rPr>
        <w:t>微企业</w:t>
      </w:r>
      <w:r>
        <w:rPr>
          <w:rFonts w:ascii="宋体" w:hAnsi="宋体" w:cs="宋体" w:hint="eastAsia"/>
          <w:sz w:val="21"/>
          <w:szCs w:val="21"/>
        </w:rPr>
        <w:t>的</w:t>
      </w:r>
      <w:r>
        <w:rPr>
          <w:rFonts w:ascii="宋体" w:hAnsi="宋体" w:cs="宋体" w:hint="eastAsia"/>
          <w:sz w:val="21"/>
          <w:szCs w:val="21"/>
        </w:rPr>
        <w:t>合同份额占到合同总金额</w:t>
      </w:r>
      <w:r>
        <w:rPr>
          <w:rFonts w:ascii="宋体" w:hAnsi="宋体" w:cs="宋体" w:hint="eastAsia"/>
          <w:sz w:val="21"/>
          <w:szCs w:val="21"/>
        </w:rPr>
        <w:t>30%</w:t>
      </w:r>
      <w:r>
        <w:rPr>
          <w:rFonts w:ascii="宋体" w:hAnsi="宋体" w:cs="宋体" w:hint="eastAsia"/>
          <w:sz w:val="21"/>
          <w:szCs w:val="21"/>
        </w:rPr>
        <w:t>以上的，采购人、采购代理机构应当对联合体或者大中型企业的报价给予</w:t>
      </w:r>
      <w:r>
        <w:rPr>
          <w:rFonts w:ascii="宋体" w:hAnsi="宋体" w:cs="宋体" w:hint="eastAsia"/>
          <w:sz w:val="21"/>
          <w:szCs w:val="21"/>
        </w:rPr>
        <w:t>2%-3%</w:t>
      </w:r>
      <w:r>
        <w:rPr>
          <w:rFonts w:ascii="宋体" w:hAnsi="宋体" w:cs="宋体" w:hint="eastAsia"/>
          <w:sz w:val="21"/>
          <w:szCs w:val="21"/>
        </w:rPr>
        <w:t>（工程项目为</w:t>
      </w:r>
      <w:r>
        <w:rPr>
          <w:rFonts w:ascii="宋体" w:hAnsi="宋体" w:cs="宋体" w:hint="eastAsia"/>
          <w:sz w:val="21"/>
          <w:szCs w:val="21"/>
        </w:rPr>
        <w:t>1%</w:t>
      </w:r>
      <w:r>
        <w:rPr>
          <w:rFonts w:ascii="宋体" w:hAnsi="宋体" w:cs="宋体" w:hint="eastAsia"/>
          <w:sz w:val="21"/>
          <w:szCs w:val="21"/>
        </w:rPr>
        <w:t>—</w:t>
      </w:r>
      <w:r>
        <w:rPr>
          <w:rFonts w:ascii="宋体" w:hAnsi="宋体" w:cs="宋体" w:hint="eastAsia"/>
          <w:sz w:val="21"/>
          <w:szCs w:val="21"/>
        </w:rPr>
        <w:t>2%</w:t>
      </w:r>
      <w:r>
        <w:rPr>
          <w:rFonts w:ascii="宋体" w:hAnsi="宋体" w:cs="宋体" w:hint="eastAsia"/>
          <w:sz w:val="21"/>
          <w:szCs w:val="21"/>
        </w:rPr>
        <w:t>）的扣除，用扣除后的价格参加评审。适用招标投标法的政府采购工程建设项目，采用综合</w:t>
      </w:r>
      <w:r>
        <w:rPr>
          <w:rFonts w:ascii="宋体" w:hAnsi="宋体" w:cs="宋体" w:hint="eastAsia"/>
          <w:sz w:val="21"/>
          <w:szCs w:val="21"/>
        </w:rPr>
        <w:t>评估法但未</w:t>
      </w:r>
      <w:r>
        <w:rPr>
          <w:rFonts w:ascii="宋体" w:hAnsi="宋体" w:cs="宋体" w:hint="eastAsia"/>
          <w:sz w:val="21"/>
          <w:szCs w:val="21"/>
        </w:rPr>
        <w:t>采用低价优先法计算价格分的，评标时应当在采用原报价进行评分的基础上增加其价格得分的</w:t>
      </w:r>
      <w:r>
        <w:rPr>
          <w:rFonts w:ascii="宋体" w:hAnsi="宋体" w:cs="宋体" w:hint="eastAsia"/>
          <w:sz w:val="21"/>
          <w:szCs w:val="21"/>
        </w:rPr>
        <w:t>1%</w:t>
      </w:r>
      <w:r>
        <w:rPr>
          <w:rFonts w:ascii="宋体" w:hAnsi="宋体" w:cs="宋体" w:hint="eastAsia"/>
          <w:sz w:val="21"/>
          <w:szCs w:val="21"/>
        </w:rPr>
        <w:t>—</w:t>
      </w:r>
      <w:r>
        <w:rPr>
          <w:rFonts w:ascii="宋体" w:hAnsi="宋体" w:cs="宋体" w:hint="eastAsia"/>
          <w:sz w:val="21"/>
          <w:szCs w:val="21"/>
        </w:rPr>
        <w:t>2%</w:t>
      </w:r>
      <w:r>
        <w:rPr>
          <w:rFonts w:ascii="宋体" w:hAnsi="宋体" w:cs="宋体" w:hint="eastAsia"/>
          <w:sz w:val="21"/>
          <w:szCs w:val="21"/>
        </w:rPr>
        <w:t>作为其价格分。组成联合体或者接受分包的小</w:t>
      </w:r>
      <w:r>
        <w:rPr>
          <w:rFonts w:ascii="宋体" w:hAnsi="宋体" w:cs="宋体" w:hint="eastAsia"/>
          <w:sz w:val="21"/>
          <w:szCs w:val="21"/>
        </w:rPr>
        <w:t>微企业</w:t>
      </w:r>
      <w:r>
        <w:rPr>
          <w:rFonts w:ascii="宋体" w:hAnsi="宋体" w:cs="宋体" w:hint="eastAsia"/>
          <w:sz w:val="21"/>
          <w:szCs w:val="21"/>
        </w:rPr>
        <w:t>与联合体内其他企业、分包企业之间存在直接控股、管理关系的，不享受价格扣除优惠政策。</w:t>
      </w:r>
    </w:p>
    <w:p w:rsidR="008C0A47">
      <w:pPr>
        <w:pStyle w:val="NormalWeb"/>
        <w:spacing w:line="440" w:lineRule="exact"/>
        <w:ind w:firstLine="480" w:firstLineChars="200"/>
        <w:rPr>
          <w:rFonts w:ascii="宋体" w:hAnsi="宋体" w:cs="宋体"/>
          <w:sz w:val="21"/>
          <w:szCs w:val="21"/>
        </w:rPr>
      </w:pPr>
      <w:r>
        <w:rPr>
          <w:rFonts w:ascii="宋体" w:hAnsi="宋体" w:cs="宋体" w:hint="eastAsia"/>
          <w:sz w:val="21"/>
          <w:szCs w:val="21"/>
        </w:rPr>
        <w:t>价格扣除比例或者价格分加分比例对小型企业和微型企业同等对待，不作区分。具体采</w:t>
      </w:r>
      <w:r>
        <w:rPr>
          <w:rFonts w:ascii="宋体" w:hAnsi="宋体" w:cs="宋体" w:hint="eastAsia"/>
          <w:sz w:val="21"/>
          <w:szCs w:val="21"/>
        </w:rPr>
        <w:t>购项目的价格扣除比例或者价格分加分比例，由采购人根据采购标的相关行业平均利润率、市场竞争状况等，在本办法规定的幅度内确定。</w:t>
      </w:r>
    </w:p>
    <w:p w:rsidR="008C0A47">
      <w:pPr>
        <w:pStyle w:val="NormalWeb"/>
        <w:spacing w:line="440" w:lineRule="exact"/>
        <w:ind w:firstLine="480" w:firstLineChars="200"/>
        <w:rPr>
          <w:rFonts w:ascii="宋体" w:hAnsi="宋体" w:cs="宋体"/>
          <w:sz w:val="21"/>
          <w:szCs w:val="21"/>
        </w:rPr>
      </w:pPr>
      <w:r>
        <w:rPr>
          <w:rFonts w:ascii="宋体" w:hAnsi="宋体" w:cs="宋体" w:hint="eastAsia"/>
          <w:b/>
          <w:sz w:val="21"/>
          <w:szCs w:val="21"/>
        </w:rPr>
        <w:t>第十条　</w:t>
      </w:r>
      <w:r>
        <w:rPr>
          <w:rFonts w:ascii="宋体" w:hAnsi="宋体" w:cs="宋体" w:hint="eastAsia"/>
          <w:sz w:val="21"/>
          <w:szCs w:val="21"/>
        </w:rPr>
        <w:t>采购人应当严格按照本办法规定和主管预算单位制定的预留采购份额具体方案开展采购活动。预留份额的采购项目或者采购包，通过发布公告方式邀请供应商后，符合资格条件的中小企业数量不足</w:t>
      </w:r>
      <w:r>
        <w:rPr>
          <w:rFonts w:ascii="宋体" w:hAnsi="宋体" w:cs="宋体" w:hint="eastAsia"/>
          <w:sz w:val="21"/>
          <w:szCs w:val="21"/>
        </w:rPr>
        <w:t>3</w:t>
      </w:r>
      <w:r>
        <w:rPr>
          <w:rFonts w:ascii="宋体" w:hAnsi="宋体" w:cs="宋体" w:hint="eastAsia"/>
          <w:sz w:val="21"/>
          <w:szCs w:val="21"/>
        </w:rPr>
        <w:t>家的，应当中止采购活动，视同未预留份额的采购项目或者采购包，按照本办法第九条有关规定重新组织采购活动。</w:t>
      </w:r>
    </w:p>
    <w:p w:rsidR="008C0A47">
      <w:pPr>
        <w:pStyle w:val="NormalWeb"/>
        <w:spacing w:line="440" w:lineRule="exact"/>
        <w:ind w:firstLine="480" w:firstLineChars="200"/>
        <w:rPr>
          <w:rFonts w:ascii="宋体" w:hAnsi="宋体" w:cs="宋体"/>
          <w:sz w:val="21"/>
          <w:szCs w:val="21"/>
        </w:rPr>
      </w:pPr>
      <w:r>
        <w:rPr>
          <w:rFonts w:ascii="宋体" w:hAnsi="宋体" w:cs="宋体" w:hint="eastAsia"/>
          <w:b/>
          <w:sz w:val="21"/>
          <w:szCs w:val="21"/>
        </w:rPr>
        <w:t>第十一条　</w:t>
      </w:r>
      <w:r>
        <w:rPr>
          <w:rFonts w:ascii="宋体" w:hAnsi="宋体" w:cs="宋体" w:hint="eastAsia"/>
          <w:sz w:val="21"/>
          <w:szCs w:val="21"/>
        </w:rPr>
        <w:t>中小企业参加政府采购活动，应当出具本办法规定的《中小企业声明函》（附</w:t>
      </w:r>
      <w:r>
        <w:rPr>
          <w:rFonts w:ascii="宋体" w:hAnsi="宋体" w:cs="宋体" w:hint="eastAsia"/>
          <w:sz w:val="21"/>
          <w:szCs w:val="21"/>
        </w:rPr>
        <w:t>1</w:t>
      </w:r>
      <w:r>
        <w:rPr>
          <w:rFonts w:ascii="宋体" w:hAnsi="宋体" w:cs="宋体" w:hint="eastAsia"/>
          <w:sz w:val="21"/>
          <w:szCs w:val="21"/>
        </w:rPr>
        <w:t>），否则不得享受相关中</w:t>
      </w:r>
      <w:r>
        <w:rPr>
          <w:rFonts w:ascii="宋体" w:hAnsi="宋体" w:cs="宋体" w:hint="eastAsia"/>
          <w:sz w:val="21"/>
          <w:szCs w:val="21"/>
        </w:rPr>
        <w:t>小企业扶持政策。任何单位和个人不得要求供应商提供《中小企业声明函》之外的中小企业身份证明文件。</w:t>
      </w:r>
    </w:p>
    <w:p w:rsidR="008C0A47">
      <w:pPr>
        <w:pStyle w:val="NormalWeb"/>
        <w:spacing w:line="440" w:lineRule="exact"/>
        <w:ind w:firstLine="480" w:firstLineChars="200"/>
        <w:rPr>
          <w:rFonts w:ascii="宋体" w:hAnsi="宋体" w:cs="宋体"/>
          <w:sz w:val="21"/>
          <w:szCs w:val="21"/>
        </w:rPr>
      </w:pPr>
      <w:r>
        <w:rPr>
          <w:rFonts w:ascii="宋体" w:hAnsi="宋体" w:cs="宋体" w:hint="eastAsia"/>
          <w:b/>
          <w:sz w:val="21"/>
          <w:szCs w:val="21"/>
        </w:rPr>
        <w:t>第十二条　</w:t>
      </w:r>
      <w:r>
        <w:rPr>
          <w:rFonts w:ascii="宋体" w:hAnsi="宋体" w:cs="宋体" w:hint="eastAsia"/>
          <w:sz w:val="21"/>
          <w:szCs w:val="21"/>
        </w:rPr>
        <w:t>采购项目涉及中小企业采购的，采购文件应当明确以下内容：</w:t>
      </w:r>
    </w:p>
    <w:p w:rsidR="008C0A47">
      <w:pPr>
        <w:pStyle w:val="NormalWeb"/>
        <w:spacing w:line="440" w:lineRule="exact"/>
        <w:ind w:firstLine="480" w:firstLineChars="200"/>
        <w:rPr>
          <w:rFonts w:ascii="宋体" w:hAnsi="宋体" w:cs="宋体"/>
          <w:sz w:val="21"/>
          <w:szCs w:val="21"/>
        </w:rPr>
      </w:pPr>
      <w:r>
        <w:rPr>
          <w:rFonts w:ascii="宋体" w:hAnsi="宋体" w:cs="宋体" w:hint="eastAsia"/>
          <w:sz w:val="21"/>
          <w:szCs w:val="21"/>
        </w:rPr>
        <w:t>（一）预留份额的采购项目或者采购包，明确该项目或相关采购</w:t>
      </w:r>
      <w:r>
        <w:rPr>
          <w:rFonts w:ascii="宋体" w:hAnsi="宋体" w:cs="宋体" w:hint="eastAsia"/>
          <w:sz w:val="21"/>
          <w:szCs w:val="21"/>
        </w:rPr>
        <w:t>包专门</w:t>
      </w:r>
      <w:r>
        <w:rPr>
          <w:rFonts w:ascii="宋体" w:hAnsi="宋体" w:cs="宋体" w:hint="eastAsia"/>
          <w:sz w:val="21"/>
          <w:szCs w:val="21"/>
        </w:rPr>
        <w:t>面向中小企业采购，以及相关标的及预算金额；</w:t>
      </w:r>
    </w:p>
    <w:p w:rsidR="008C0A47">
      <w:pPr>
        <w:pStyle w:val="NormalWeb"/>
        <w:spacing w:line="440" w:lineRule="exact"/>
        <w:ind w:firstLine="480" w:firstLineChars="200"/>
        <w:rPr>
          <w:rFonts w:ascii="宋体" w:hAnsi="宋体" w:cs="宋体"/>
          <w:sz w:val="21"/>
          <w:szCs w:val="21"/>
        </w:rPr>
      </w:pPr>
      <w:r>
        <w:rPr>
          <w:rFonts w:ascii="宋体" w:hAnsi="宋体" w:cs="宋体" w:hint="eastAsia"/>
          <w:sz w:val="21"/>
          <w:szCs w:val="21"/>
        </w:rPr>
        <w:t>（二）要求以联合体形</w:t>
      </w:r>
      <w:r>
        <w:rPr>
          <w:rFonts w:ascii="宋体" w:hAnsi="宋体" w:cs="宋体" w:hint="eastAsia"/>
          <w:sz w:val="21"/>
          <w:szCs w:val="21"/>
        </w:rPr>
        <w:t>式参加</w:t>
      </w:r>
      <w:r>
        <w:rPr>
          <w:rFonts w:ascii="宋体" w:hAnsi="宋体" w:cs="宋体" w:hint="eastAsia"/>
          <w:sz w:val="21"/>
          <w:szCs w:val="21"/>
        </w:rPr>
        <w:t>或者合同分包的，明确联合协议或者分包意向协议中中小</w:t>
      </w:r>
      <w:r>
        <w:rPr>
          <w:rFonts w:ascii="宋体" w:hAnsi="宋体" w:cs="宋体" w:hint="eastAsia"/>
          <w:sz w:val="21"/>
          <w:szCs w:val="21"/>
        </w:rPr>
        <w:t>企业合同金额应当达到的比例，并作为供应商资格条件；</w:t>
      </w:r>
    </w:p>
    <w:p w:rsidR="008C0A47">
      <w:pPr>
        <w:pStyle w:val="NormalWeb"/>
        <w:spacing w:line="440" w:lineRule="exact"/>
        <w:ind w:firstLine="480" w:firstLineChars="200"/>
        <w:rPr>
          <w:rFonts w:ascii="宋体" w:hAnsi="宋体" w:cs="宋体"/>
          <w:sz w:val="21"/>
          <w:szCs w:val="21"/>
        </w:rPr>
      </w:pPr>
      <w:r>
        <w:rPr>
          <w:rFonts w:ascii="宋体" w:hAnsi="宋体" w:cs="宋体" w:hint="eastAsia"/>
          <w:sz w:val="21"/>
          <w:szCs w:val="21"/>
        </w:rPr>
        <w:t>（三）非预留份额的采购项目或者采购包，明确有关价格扣除比例或者价格分加分比例；</w:t>
      </w:r>
    </w:p>
    <w:p w:rsidR="008C0A47">
      <w:pPr>
        <w:pStyle w:val="NormalWeb"/>
        <w:spacing w:line="440" w:lineRule="exact"/>
        <w:ind w:firstLine="480" w:firstLineChars="200"/>
        <w:rPr>
          <w:rFonts w:ascii="宋体" w:hAnsi="宋体" w:cs="宋体"/>
          <w:sz w:val="21"/>
          <w:szCs w:val="21"/>
        </w:rPr>
      </w:pPr>
      <w:r>
        <w:rPr>
          <w:rFonts w:ascii="宋体" w:hAnsi="宋体" w:cs="宋体" w:hint="eastAsia"/>
          <w:sz w:val="21"/>
          <w:szCs w:val="21"/>
        </w:rPr>
        <w:t>（四）规定依据本办法规定享受扶持政策获得政府采购合同的，小</w:t>
      </w:r>
      <w:r>
        <w:rPr>
          <w:rFonts w:ascii="宋体" w:hAnsi="宋体" w:cs="宋体" w:hint="eastAsia"/>
          <w:sz w:val="21"/>
          <w:szCs w:val="21"/>
        </w:rPr>
        <w:t>微企业</w:t>
      </w:r>
      <w:r>
        <w:rPr>
          <w:rFonts w:ascii="宋体" w:hAnsi="宋体" w:cs="宋体" w:hint="eastAsia"/>
          <w:sz w:val="21"/>
          <w:szCs w:val="21"/>
        </w:rPr>
        <w:t>不得将合同分包给大中型企业，中型企业不得将合同分包给大型企业；</w:t>
      </w:r>
    </w:p>
    <w:p w:rsidR="008C0A47">
      <w:pPr>
        <w:pStyle w:val="NormalWeb"/>
        <w:spacing w:line="440" w:lineRule="exact"/>
        <w:ind w:firstLine="480" w:firstLineChars="200"/>
        <w:rPr>
          <w:rFonts w:ascii="宋体" w:hAnsi="宋体" w:cs="宋体"/>
          <w:sz w:val="21"/>
          <w:szCs w:val="21"/>
        </w:rPr>
      </w:pPr>
      <w:r>
        <w:rPr>
          <w:rFonts w:ascii="宋体" w:hAnsi="宋体" w:cs="宋体" w:hint="eastAsia"/>
          <w:sz w:val="21"/>
          <w:szCs w:val="21"/>
        </w:rPr>
        <w:t>（五）采购人认为具备相关条件的，明确对中小企业在资金支付期限、预付款比例等方面的优惠措施；</w:t>
      </w:r>
    </w:p>
    <w:p w:rsidR="008C0A47">
      <w:pPr>
        <w:pStyle w:val="NormalWeb"/>
        <w:spacing w:line="440" w:lineRule="exact"/>
        <w:ind w:firstLine="480" w:firstLineChars="200"/>
        <w:rPr>
          <w:rFonts w:ascii="宋体" w:hAnsi="宋体" w:cs="宋体"/>
          <w:sz w:val="21"/>
          <w:szCs w:val="21"/>
        </w:rPr>
      </w:pPr>
      <w:r>
        <w:rPr>
          <w:rFonts w:ascii="宋体" w:hAnsi="宋体" w:cs="宋体" w:hint="eastAsia"/>
          <w:sz w:val="21"/>
          <w:szCs w:val="21"/>
        </w:rPr>
        <w:t>（六）明确采购标的对应的中小企业划分标准所属行业；</w:t>
      </w:r>
    </w:p>
    <w:p w:rsidR="008C0A47">
      <w:pPr>
        <w:pStyle w:val="NormalWeb"/>
        <w:spacing w:line="440" w:lineRule="exact"/>
        <w:ind w:firstLine="480" w:firstLineChars="200"/>
        <w:rPr>
          <w:rFonts w:ascii="宋体" w:hAnsi="宋体" w:cs="宋体"/>
          <w:sz w:val="21"/>
          <w:szCs w:val="21"/>
        </w:rPr>
      </w:pPr>
      <w:r>
        <w:rPr>
          <w:rFonts w:ascii="宋体" w:hAnsi="宋体" w:cs="宋体" w:hint="eastAsia"/>
          <w:sz w:val="21"/>
          <w:szCs w:val="21"/>
        </w:rPr>
        <w:t>（七）法律法规和省级以上人民政府财政部门规定的其他事项。</w:t>
      </w:r>
    </w:p>
    <w:p w:rsidR="008C0A47">
      <w:pPr>
        <w:pStyle w:val="NormalWeb"/>
        <w:spacing w:line="440" w:lineRule="exact"/>
        <w:ind w:firstLine="480" w:firstLineChars="200"/>
        <w:rPr>
          <w:rFonts w:ascii="宋体" w:hAnsi="宋体" w:cs="宋体"/>
          <w:sz w:val="21"/>
          <w:szCs w:val="21"/>
        </w:rPr>
      </w:pPr>
      <w:r>
        <w:rPr>
          <w:rFonts w:ascii="宋体" w:hAnsi="宋体" w:cs="宋体" w:hint="eastAsia"/>
          <w:b/>
          <w:sz w:val="21"/>
          <w:szCs w:val="21"/>
        </w:rPr>
        <w:t>第十三条　</w:t>
      </w:r>
      <w:r>
        <w:rPr>
          <w:rFonts w:ascii="宋体" w:hAnsi="宋体" w:cs="宋体" w:hint="eastAsia"/>
          <w:sz w:val="21"/>
          <w:szCs w:val="21"/>
        </w:rPr>
        <w:t>中标、成交供应</w:t>
      </w:r>
      <w:r>
        <w:rPr>
          <w:rFonts w:ascii="宋体" w:hAnsi="宋体" w:cs="宋体" w:hint="eastAsia"/>
          <w:sz w:val="21"/>
          <w:szCs w:val="21"/>
        </w:rPr>
        <w:t>商享受</w:t>
      </w:r>
      <w:r>
        <w:rPr>
          <w:rFonts w:ascii="宋体" w:hAnsi="宋体" w:cs="宋体" w:hint="eastAsia"/>
          <w:sz w:val="21"/>
          <w:szCs w:val="21"/>
        </w:rPr>
        <w:t>本办法规定的中小企业扶持政策的，采购人、采购代理机构应当随中标、成交结果</w:t>
      </w:r>
      <w:r>
        <w:rPr>
          <w:rFonts w:ascii="宋体" w:hAnsi="宋体" w:cs="宋体" w:hint="eastAsia"/>
          <w:sz w:val="21"/>
          <w:szCs w:val="21"/>
        </w:rPr>
        <w:t>公开中标、成交供应商的《中小企业声明函》。</w:t>
      </w:r>
    </w:p>
    <w:p w:rsidR="008C0A47">
      <w:pPr>
        <w:pStyle w:val="NormalWeb"/>
        <w:spacing w:line="440" w:lineRule="exact"/>
        <w:ind w:firstLine="480" w:firstLineChars="200"/>
        <w:rPr>
          <w:rFonts w:ascii="宋体" w:hAnsi="宋体" w:cs="宋体"/>
          <w:sz w:val="21"/>
          <w:szCs w:val="21"/>
        </w:rPr>
      </w:pPr>
      <w:r>
        <w:rPr>
          <w:rFonts w:ascii="宋体" w:hAnsi="宋体" w:cs="宋体" w:hint="eastAsia"/>
          <w:sz w:val="21"/>
          <w:szCs w:val="21"/>
        </w:rPr>
        <w:t>适用招标投标法的政府采购工程建设项目，应当在公示中标候选人时公开中标候选人的《中小企业声明函》。</w:t>
      </w:r>
    </w:p>
    <w:p w:rsidR="008C0A47">
      <w:pPr>
        <w:pStyle w:val="NormalWeb"/>
        <w:spacing w:line="440" w:lineRule="exact"/>
        <w:ind w:firstLine="480" w:firstLineChars="200"/>
        <w:rPr>
          <w:rFonts w:ascii="宋体" w:hAnsi="宋体" w:cs="宋体"/>
          <w:sz w:val="21"/>
          <w:szCs w:val="21"/>
        </w:rPr>
      </w:pPr>
      <w:r>
        <w:rPr>
          <w:rFonts w:ascii="宋体" w:hAnsi="宋体" w:cs="宋体" w:hint="eastAsia"/>
          <w:b/>
          <w:sz w:val="21"/>
          <w:szCs w:val="21"/>
        </w:rPr>
        <w:t>第十四条</w:t>
      </w:r>
      <w:r>
        <w:rPr>
          <w:rFonts w:ascii="宋体" w:hAnsi="宋体" w:cs="宋体" w:hint="eastAsia"/>
          <w:b/>
          <w:sz w:val="21"/>
          <w:szCs w:val="21"/>
        </w:rPr>
        <w:t xml:space="preserve"> </w:t>
      </w:r>
      <w:r>
        <w:rPr>
          <w:rFonts w:ascii="宋体" w:hAnsi="宋体" w:cs="宋体" w:hint="eastAsia"/>
          <w:sz w:val="21"/>
          <w:szCs w:val="21"/>
        </w:rPr>
        <w:t xml:space="preserve"> </w:t>
      </w:r>
      <w:r>
        <w:rPr>
          <w:rFonts w:ascii="宋体" w:hAnsi="宋体" w:cs="宋体" w:hint="eastAsia"/>
          <w:sz w:val="21"/>
          <w:szCs w:val="21"/>
        </w:rPr>
        <w:t>对于通过预留采购项目、预留专门采购包、要求以联合体形</w:t>
      </w:r>
      <w:r>
        <w:rPr>
          <w:rFonts w:ascii="宋体" w:hAnsi="宋体" w:cs="宋体" w:hint="eastAsia"/>
          <w:sz w:val="21"/>
          <w:szCs w:val="21"/>
        </w:rPr>
        <w:t>式参加</w:t>
      </w:r>
      <w:r>
        <w:rPr>
          <w:rFonts w:ascii="宋体" w:hAnsi="宋体" w:cs="宋体" w:hint="eastAsia"/>
          <w:sz w:val="21"/>
          <w:szCs w:val="21"/>
        </w:rPr>
        <w:t>或者合同分包等措施签订的采购合同，应当明确标注本合同为中小企业预留合同。其中，要求以联合体形</w:t>
      </w:r>
      <w:r>
        <w:rPr>
          <w:rFonts w:ascii="宋体" w:hAnsi="宋体" w:cs="宋体" w:hint="eastAsia"/>
          <w:sz w:val="21"/>
          <w:szCs w:val="21"/>
        </w:rPr>
        <w:t>式参加</w:t>
      </w:r>
      <w:r>
        <w:rPr>
          <w:rFonts w:ascii="宋体" w:hAnsi="宋体" w:cs="宋体" w:hint="eastAsia"/>
          <w:sz w:val="21"/>
          <w:szCs w:val="21"/>
        </w:rPr>
        <w:t>采购活动或者合同分包的，应当将联合协议或者分包意向协议作为采购合同的组成部分。</w:t>
      </w:r>
    </w:p>
    <w:p w:rsidR="008C0A47">
      <w:pPr>
        <w:pStyle w:val="NormalWeb"/>
        <w:spacing w:line="440" w:lineRule="exact"/>
        <w:ind w:firstLine="480" w:firstLineChars="200"/>
        <w:rPr>
          <w:rFonts w:ascii="宋体" w:hAnsi="宋体" w:cs="宋体"/>
          <w:sz w:val="21"/>
          <w:szCs w:val="21"/>
        </w:rPr>
      </w:pPr>
      <w:r>
        <w:rPr>
          <w:rFonts w:ascii="宋体" w:hAnsi="宋体" w:cs="宋体" w:hint="eastAsia"/>
          <w:b/>
          <w:sz w:val="21"/>
          <w:szCs w:val="21"/>
        </w:rPr>
        <w:t>第十五条　</w:t>
      </w:r>
      <w:r>
        <w:rPr>
          <w:rFonts w:ascii="宋体" w:hAnsi="宋体" w:cs="宋体" w:hint="eastAsia"/>
          <w:sz w:val="21"/>
          <w:szCs w:val="21"/>
        </w:rPr>
        <w:t>鼓励各地区、各部门在采购活动中允许中小企业引入信用担保手段，为中小企业在投标（响应）保证、履约保证等方面提供专业化服务。鼓励中小企业依法合</w:t>
      </w:r>
      <w:r>
        <w:rPr>
          <w:rFonts w:ascii="宋体" w:hAnsi="宋体" w:cs="宋体" w:hint="eastAsia"/>
          <w:sz w:val="21"/>
          <w:szCs w:val="21"/>
        </w:rPr>
        <w:t>规</w:t>
      </w:r>
      <w:r>
        <w:rPr>
          <w:rFonts w:ascii="宋体" w:hAnsi="宋体" w:cs="宋体" w:hint="eastAsia"/>
          <w:sz w:val="21"/>
          <w:szCs w:val="21"/>
        </w:rPr>
        <w:t>通过政府采购合同融资。</w:t>
      </w:r>
    </w:p>
    <w:p w:rsidR="008C0A47">
      <w:pPr>
        <w:pStyle w:val="NormalWeb"/>
        <w:spacing w:line="440" w:lineRule="exact"/>
        <w:ind w:firstLine="480" w:firstLineChars="200"/>
        <w:rPr>
          <w:rFonts w:ascii="宋体" w:hAnsi="宋体" w:cs="宋体"/>
          <w:sz w:val="21"/>
          <w:szCs w:val="21"/>
        </w:rPr>
      </w:pPr>
      <w:r>
        <w:rPr>
          <w:rFonts w:ascii="宋体" w:hAnsi="宋体" w:cs="宋体" w:hint="eastAsia"/>
          <w:b/>
          <w:sz w:val="21"/>
          <w:szCs w:val="21"/>
        </w:rPr>
        <w:t>第十六条　</w:t>
      </w:r>
      <w:r>
        <w:rPr>
          <w:rFonts w:ascii="宋体" w:hAnsi="宋体" w:cs="宋体" w:hint="eastAsia"/>
          <w:sz w:val="21"/>
          <w:szCs w:val="21"/>
        </w:rPr>
        <w:t>政府采购监督检查、投诉处理及政府采购行政处罚中对中小企业的认定，由货物制造商或者工程、服务</w:t>
      </w:r>
      <w:r>
        <w:rPr>
          <w:rFonts w:ascii="宋体" w:hAnsi="宋体" w:cs="宋体" w:hint="eastAsia"/>
          <w:sz w:val="21"/>
          <w:szCs w:val="21"/>
        </w:rPr>
        <w:t>供应</w:t>
      </w:r>
      <w:r>
        <w:rPr>
          <w:rFonts w:ascii="宋体" w:hAnsi="宋体" w:cs="宋体" w:hint="eastAsia"/>
          <w:sz w:val="21"/>
          <w:szCs w:val="21"/>
        </w:rPr>
        <w:t>商注册</w:t>
      </w:r>
      <w:r>
        <w:rPr>
          <w:rFonts w:ascii="宋体" w:hAnsi="宋体" w:cs="宋体" w:hint="eastAsia"/>
          <w:sz w:val="21"/>
          <w:szCs w:val="21"/>
        </w:rPr>
        <w:t>登记所在地的县级以上人民政府中小企业主管部门负责。</w:t>
      </w:r>
    </w:p>
    <w:p w:rsidR="008C0A47">
      <w:pPr>
        <w:pStyle w:val="NormalWeb"/>
        <w:spacing w:line="440" w:lineRule="exact"/>
        <w:ind w:firstLine="480" w:firstLineChars="200"/>
        <w:rPr>
          <w:rFonts w:ascii="宋体" w:hAnsi="宋体" w:cs="宋体"/>
          <w:sz w:val="21"/>
          <w:szCs w:val="21"/>
        </w:rPr>
      </w:pPr>
      <w:r>
        <w:rPr>
          <w:rFonts w:ascii="宋体" w:hAnsi="宋体" w:cs="宋体" w:hint="eastAsia"/>
          <w:sz w:val="21"/>
          <w:szCs w:val="21"/>
        </w:rPr>
        <w:t>中小企业主管部门应当在收到财政部门或者有关招标投标行政监督部门关于协助开展中小企业认定函后</w:t>
      </w:r>
      <w:r>
        <w:rPr>
          <w:rFonts w:ascii="宋体" w:hAnsi="宋体" w:cs="宋体" w:hint="eastAsia"/>
          <w:sz w:val="21"/>
          <w:szCs w:val="21"/>
        </w:rPr>
        <w:t>10</w:t>
      </w:r>
      <w:r>
        <w:rPr>
          <w:rFonts w:ascii="宋体" w:hAnsi="宋体" w:cs="宋体" w:hint="eastAsia"/>
          <w:sz w:val="21"/>
          <w:szCs w:val="21"/>
        </w:rPr>
        <w:t>个工作日内做出书面答复。</w:t>
      </w:r>
    </w:p>
    <w:p w:rsidR="008C0A47">
      <w:pPr>
        <w:pStyle w:val="NormalWeb"/>
        <w:spacing w:line="440" w:lineRule="exact"/>
        <w:ind w:firstLine="480" w:firstLineChars="200"/>
        <w:rPr>
          <w:rFonts w:ascii="宋体" w:hAnsi="宋体" w:cs="宋体"/>
          <w:sz w:val="21"/>
          <w:szCs w:val="21"/>
        </w:rPr>
      </w:pPr>
      <w:r>
        <w:rPr>
          <w:rFonts w:ascii="宋体" w:hAnsi="宋体" w:cs="宋体" w:hint="eastAsia"/>
          <w:b/>
          <w:sz w:val="21"/>
          <w:szCs w:val="21"/>
        </w:rPr>
        <w:t>第十七条　</w:t>
      </w:r>
      <w:r>
        <w:rPr>
          <w:rFonts w:ascii="宋体" w:hAnsi="宋体" w:cs="宋体" w:hint="eastAsia"/>
          <w:sz w:val="21"/>
          <w:szCs w:val="21"/>
        </w:rPr>
        <w:t>各地区、各部门应当对涉及中小企业采购的预算项目实施全过程绩效管理，合理设置绩效目标和指标，落实扶持中小企业有关政策要求，定期开展绩效监控和评价，强化绩效评价结果应用。</w:t>
      </w:r>
    </w:p>
    <w:p w:rsidR="008C0A47">
      <w:pPr>
        <w:pStyle w:val="NormalWeb"/>
        <w:spacing w:line="440" w:lineRule="exact"/>
        <w:ind w:firstLine="480" w:firstLineChars="200"/>
        <w:rPr>
          <w:rFonts w:ascii="宋体" w:hAnsi="宋体" w:cs="宋体"/>
          <w:sz w:val="21"/>
          <w:szCs w:val="21"/>
        </w:rPr>
      </w:pPr>
      <w:r>
        <w:rPr>
          <w:rFonts w:ascii="宋体" w:hAnsi="宋体" w:cs="宋体" w:hint="eastAsia"/>
          <w:b/>
          <w:sz w:val="21"/>
          <w:szCs w:val="21"/>
        </w:rPr>
        <w:t>第十八条　</w:t>
      </w:r>
      <w:r>
        <w:rPr>
          <w:rFonts w:ascii="宋体" w:hAnsi="宋体" w:cs="宋体" w:hint="eastAsia"/>
          <w:sz w:val="21"/>
          <w:szCs w:val="21"/>
        </w:rPr>
        <w:t>主管预算单位应当自</w:t>
      </w:r>
      <w:r>
        <w:rPr>
          <w:rFonts w:ascii="宋体" w:hAnsi="宋体" w:cs="宋体" w:hint="eastAsia"/>
          <w:sz w:val="21"/>
          <w:szCs w:val="21"/>
        </w:rPr>
        <w:t>2022</w:t>
      </w:r>
      <w:r>
        <w:rPr>
          <w:rFonts w:ascii="宋体" w:hAnsi="宋体" w:cs="宋体" w:hint="eastAsia"/>
          <w:sz w:val="21"/>
          <w:szCs w:val="21"/>
        </w:rPr>
        <w:t>年起向同级财政部门报告本部门上一年度面向中小企业预留份额和采购的具体情况，并在中国政府采购</w:t>
      </w:r>
      <w:r>
        <w:rPr>
          <w:rFonts w:ascii="宋体" w:hAnsi="宋体" w:cs="宋体" w:hint="eastAsia"/>
          <w:sz w:val="21"/>
          <w:szCs w:val="21"/>
        </w:rPr>
        <w:t>网公开</w:t>
      </w:r>
      <w:r>
        <w:rPr>
          <w:rFonts w:ascii="宋体" w:hAnsi="宋体" w:cs="宋体" w:hint="eastAsia"/>
          <w:sz w:val="21"/>
          <w:szCs w:val="21"/>
        </w:rPr>
        <w:t>预留项目执行情况</w:t>
      </w:r>
      <w:r>
        <w:rPr>
          <w:rFonts w:ascii="宋体" w:hAnsi="宋体" w:cs="宋体" w:hint="eastAsia"/>
          <w:sz w:val="21"/>
          <w:szCs w:val="21"/>
        </w:rPr>
        <w:t>(</w:t>
      </w:r>
      <w:r>
        <w:rPr>
          <w:rFonts w:ascii="宋体" w:hAnsi="宋体" w:cs="宋体" w:hint="eastAsia"/>
          <w:sz w:val="21"/>
          <w:szCs w:val="21"/>
        </w:rPr>
        <w:t>附</w:t>
      </w:r>
      <w:r>
        <w:rPr>
          <w:rFonts w:ascii="宋体" w:hAnsi="宋体" w:cs="宋体" w:hint="eastAsia"/>
          <w:sz w:val="21"/>
          <w:szCs w:val="21"/>
        </w:rPr>
        <w:t>2)</w:t>
      </w:r>
      <w:r>
        <w:rPr>
          <w:rFonts w:ascii="宋体" w:hAnsi="宋体" w:cs="宋体" w:hint="eastAsia"/>
          <w:sz w:val="21"/>
          <w:szCs w:val="21"/>
        </w:rPr>
        <w:t>。未达到本办法规定的预留份额比例的，应当</w:t>
      </w:r>
      <w:r>
        <w:rPr>
          <w:rFonts w:ascii="宋体" w:hAnsi="宋体" w:cs="宋体" w:hint="eastAsia"/>
          <w:sz w:val="21"/>
          <w:szCs w:val="21"/>
        </w:rPr>
        <w:t>作出</w:t>
      </w:r>
      <w:r>
        <w:rPr>
          <w:rFonts w:ascii="宋体" w:hAnsi="宋体" w:cs="宋体" w:hint="eastAsia"/>
          <w:sz w:val="21"/>
          <w:szCs w:val="21"/>
        </w:rPr>
        <w:t>说明。</w:t>
      </w:r>
    </w:p>
    <w:p w:rsidR="008C0A47">
      <w:pPr>
        <w:pStyle w:val="NormalWeb"/>
        <w:spacing w:line="440" w:lineRule="exact"/>
        <w:ind w:firstLine="480" w:firstLineChars="200"/>
        <w:rPr>
          <w:rFonts w:ascii="宋体" w:hAnsi="宋体" w:cs="宋体"/>
          <w:sz w:val="21"/>
          <w:szCs w:val="21"/>
        </w:rPr>
      </w:pPr>
      <w:r>
        <w:rPr>
          <w:rFonts w:ascii="宋体" w:hAnsi="宋体" w:cs="宋体" w:hint="eastAsia"/>
          <w:b/>
          <w:sz w:val="21"/>
          <w:szCs w:val="21"/>
        </w:rPr>
        <w:t>第十九条　</w:t>
      </w:r>
      <w:r>
        <w:rPr>
          <w:rFonts w:ascii="宋体" w:hAnsi="宋体" w:cs="宋体" w:hint="eastAsia"/>
          <w:sz w:val="21"/>
          <w:szCs w:val="21"/>
        </w:rPr>
        <w:t>采购人未按本办法规定为中小企业预留采购份额，采购人、采购代理机构未</w:t>
      </w:r>
      <w:r>
        <w:rPr>
          <w:rFonts w:ascii="宋体" w:hAnsi="宋体" w:cs="宋体" w:hint="eastAsia"/>
          <w:sz w:val="21"/>
          <w:szCs w:val="21"/>
        </w:rPr>
        <w:t>按照本办法规定要求实施价格扣除或者价格分加分的，属于未按照规定执行政府采购政策，依照《中华人民共和国政府采购法》等国家有关规定追究法律责任。</w:t>
      </w:r>
    </w:p>
    <w:p w:rsidR="008C0A47">
      <w:pPr>
        <w:pStyle w:val="NormalWeb"/>
        <w:spacing w:line="440" w:lineRule="exact"/>
        <w:ind w:firstLine="480" w:firstLineChars="200"/>
        <w:rPr>
          <w:rFonts w:ascii="宋体" w:hAnsi="宋体" w:cs="宋体"/>
          <w:sz w:val="21"/>
          <w:szCs w:val="21"/>
        </w:rPr>
      </w:pPr>
      <w:r>
        <w:rPr>
          <w:rFonts w:ascii="宋体" w:hAnsi="宋体" w:cs="宋体" w:hint="eastAsia"/>
          <w:b/>
          <w:sz w:val="21"/>
          <w:szCs w:val="21"/>
        </w:rPr>
        <w:t>第二十条　</w:t>
      </w:r>
      <w:r>
        <w:rPr>
          <w:rFonts w:ascii="宋体" w:hAnsi="宋体" w:cs="宋体" w:hint="eastAsia"/>
          <w:sz w:val="21"/>
          <w:szCs w:val="21"/>
        </w:rPr>
        <w:t>供应</w:t>
      </w:r>
      <w:r>
        <w:rPr>
          <w:rFonts w:ascii="宋体" w:hAnsi="宋体" w:cs="宋体" w:hint="eastAsia"/>
          <w:sz w:val="21"/>
          <w:szCs w:val="21"/>
        </w:rPr>
        <w:t>商按照</w:t>
      </w:r>
      <w:r>
        <w:rPr>
          <w:rFonts w:ascii="宋体" w:hAnsi="宋体" w:cs="宋体" w:hint="eastAsia"/>
          <w:sz w:val="21"/>
          <w:szCs w:val="21"/>
        </w:rPr>
        <w:t>本办法规定提供声明</w:t>
      </w:r>
      <w:r>
        <w:rPr>
          <w:rFonts w:ascii="宋体" w:hAnsi="宋体" w:cs="宋体" w:hint="eastAsia"/>
          <w:sz w:val="21"/>
          <w:szCs w:val="21"/>
        </w:rPr>
        <w:t>函内容</w:t>
      </w:r>
      <w:r>
        <w:rPr>
          <w:rFonts w:ascii="宋体" w:hAnsi="宋体" w:cs="宋体" w:hint="eastAsia"/>
          <w:sz w:val="21"/>
          <w:szCs w:val="21"/>
        </w:rPr>
        <w:t>不实的，属于提供虚假材料谋取中标、成交，依照《中华人民共和国政府采购法》等国家有关规定追究相应责任。</w:t>
      </w:r>
    </w:p>
    <w:p w:rsidR="008C0A47">
      <w:pPr>
        <w:pStyle w:val="NormalWeb"/>
        <w:spacing w:line="440" w:lineRule="exact"/>
        <w:ind w:firstLine="480" w:firstLineChars="200"/>
        <w:rPr>
          <w:rFonts w:ascii="宋体" w:hAnsi="宋体" w:cs="宋体"/>
          <w:sz w:val="21"/>
          <w:szCs w:val="21"/>
        </w:rPr>
      </w:pPr>
      <w:r>
        <w:rPr>
          <w:rFonts w:ascii="宋体" w:hAnsi="宋体" w:cs="宋体" w:hint="eastAsia"/>
          <w:sz w:val="21"/>
          <w:szCs w:val="21"/>
        </w:rPr>
        <w:t>适用招标投标法的政府采购工程建设项目，投标人按照本办法规定提供声明</w:t>
      </w:r>
      <w:r>
        <w:rPr>
          <w:rFonts w:ascii="宋体" w:hAnsi="宋体" w:cs="宋体" w:hint="eastAsia"/>
          <w:sz w:val="21"/>
          <w:szCs w:val="21"/>
        </w:rPr>
        <w:t>函内容</w:t>
      </w:r>
      <w:r>
        <w:rPr>
          <w:rFonts w:ascii="宋体" w:hAnsi="宋体" w:cs="宋体" w:hint="eastAsia"/>
          <w:sz w:val="21"/>
          <w:szCs w:val="21"/>
        </w:rPr>
        <w:t>不实的，属于弄虚作假</w:t>
      </w:r>
      <w:r>
        <w:rPr>
          <w:rFonts w:ascii="宋体" w:hAnsi="宋体" w:cs="宋体" w:hint="eastAsia"/>
          <w:sz w:val="21"/>
          <w:szCs w:val="21"/>
        </w:rPr>
        <w:t>骗取中标，依照《中华人民共和国招标投标法》等国家有关规定追究相应责任。</w:t>
      </w:r>
    </w:p>
    <w:p w:rsidR="008C0A47">
      <w:pPr>
        <w:pStyle w:val="NormalWeb"/>
        <w:spacing w:line="440" w:lineRule="exact"/>
        <w:ind w:firstLine="480" w:firstLineChars="200"/>
        <w:rPr>
          <w:rFonts w:ascii="宋体" w:hAnsi="宋体" w:cs="宋体"/>
          <w:sz w:val="21"/>
          <w:szCs w:val="21"/>
        </w:rPr>
      </w:pPr>
      <w:r>
        <w:rPr>
          <w:rFonts w:ascii="宋体" w:hAnsi="宋体" w:cs="宋体" w:hint="eastAsia"/>
          <w:b/>
          <w:sz w:val="21"/>
          <w:szCs w:val="21"/>
        </w:rPr>
        <w:t>第二十一条　</w:t>
      </w:r>
      <w:r>
        <w:rPr>
          <w:rFonts w:ascii="宋体" w:hAnsi="宋体" w:cs="宋体" w:hint="eastAsia"/>
          <w:sz w:val="21"/>
          <w:szCs w:val="21"/>
        </w:rPr>
        <w:t>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rsidR="008C0A47">
      <w:pPr>
        <w:pStyle w:val="NormalWeb"/>
        <w:spacing w:line="440" w:lineRule="exact"/>
        <w:ind w:firstLine="480" w:firstLineChars="200"/>
        <w:rPr>
          <w:rFonts w:ascii="宋体" w:hAnsi="宋体" w:cs="宋体"/>
          <w:sz w:val="21"/>
          <w:szCs w:val="21"/>
        </w:rPr>
      </w:pPr>
      <w:r>
        <w:rPr>
          <w:rFonts w:ascii="宋体" w:hAnsi="宋体" w:cs="宋体" w:hint="eastAsia"/>
          <w:b/>
          <w:sz w:val="21"/>
          <w:szCs w:val="21"/>
        </w:rPr>
        <w:t>第二十二条　</w:t>
      </w:r>
      <w:r>
        <w:rPr>
          <w:rFonts w:ascii="宋体" w:hAnsi="宋体" w:cs="宋体" w:hint="eastAsia"/>
          <w:sz w:val="21"/>
          <w:szCs w:val="21"/>
        </w:rPr>
        <w:t>对外援助项目、国家相关资格或者资质管理制度另有规定的项目，不适用本办法。</w:t>
      </w:r>
    </w:p>
    <w:p w:rsidR="008C0A47">
      <w:pPr>
        <w:pStyle w:val="NormalWeb"/>
        <w:spacing w:line="440" w:lineRule="exact"/>
        <w:ind w:firstLine="480" w:firstLineChars="200"/>
        <w:rPr>
          <w:rFonts w:ascii="宋体" w:hAnsi="宋体" w:cs="宋体"/>
          <w:sz w:val="21"/>
          <w:szCs w:val="21"/>
        </w:rPr>
      </w:pPr>
      <w:r>
        <w:rPr>
          <w:rFonts w:ascii="宋体" w:hAnsi="宋体" w:cs="宋体" w:hint="eastAsia"/>
          <w:b/>
          <w:sz w:val="21"/>
          <w:szCs w:val="21"/>
        </w:rPr>
        <w:t>第二十三条　</w:t>
      </w:r>
      <w:r>
        <w:rPr>
          <w:rFonts w:ascii="宋体" w:hAnsi="宋体" w:cs="宋体" w:hint="eastAsia"/>
          <w:sz w:val="21"/>
          <w:szCs w:val="21"/>
        </w:rPr>
        <w:t>关于视同中小企业的</w:t>
      </w:r>
      <w:r>
        <w:rPr>
          <w:rFonts w:ascii="宋体" w:hAnsi="宋体" w:cs="宋体" w:hint="eastAsia"/>
          <w:sz w:val="21"/>
          <w:szCs w:val="21"/>
        </w:rPr>
        <w:t>其他主体的政府采购扶持政策，由财政部会同有关部门另行规定。</w:t>
      </w:r>
    </w:p>
    <w:p w:rsidR="008C0A47">
      <w:pPr>
        <w:pStyle w:val="NormalWeb"/>
        <w:spacing w:line="440" w:lineRule="exact"/>
        <w:ind w:firstLine="480" w:firstLineChars="200"/>
        <w:rPr>
          <w:rFonts w:ascii="宋体" w:hAnsi="宋体" w:cs="宋体"/>
          <w:sz w:val="21"/>
          <w:szCs w:val="21"/>
        </w:rPr>
      </w:pPr>
      <w:r>
        <w:rPr>
          <w:rFonts w:ascii="宋体" w:hAnsi="宋体" w:cs="宋体" w:hint="eastAsia"/>
          <w:b/>
          <w:sz w:val="21"/>
          <w:szCs w:val="21"/>
        </w:rPr>
        <w:t>第二十四条　</w:t>
      </w:r>
      <w:r>
        <w:rPr>
          <w:rFonts w:ascii="宋体" w:hAnsi="宋体" w:cs="宋体" w:hint="eastAsia"/>
          <w:sz w:val="21"/>
          <w:szCs w:val="21"/>
        </w:rPr>
        <w:t>省级财政部门可以会同中小企业主管部门根据本办法的规定制定具体实施办法。</w:t>
      </w:r>
    </w:p>
    <w:p w:rsidR="008C0A47">
      <w:pPr>
        <w:pStyle w:val="NormalWeb"/>
        <w:spacing w:line="440" w:lineRule="exact"/>
        <w:ind w:firstLine="480" w:firstLineChars="200"/>
        <w:rPr>
          <w:rFonts w:ascii="宋体" w:hAnsi="宋体" w:cs="宋体"/>
          <w:kern w:val="2"/>
          <w:sz w:val="21"/>
          <w:szCs w:val="21"/>
        </w:rPr>
      </w:pPr>
      <w:r>
        <w:rPr>
          <w:rFonts w:ascii="宋体" w:hAnsi="宋体" w:cs="宋体" w:hint="eastAsia"/>
          <w:b/>
          <w:kern w:val="2"/>
          <w:sz w:val="21"/>
          <w:szCs w:val="21"/>
        </w:rPr>
        <w:t>第二十五条　</w:t>
      </w:r>
      <w:r>
        <w:rPr>
          <w:rFonts w:ascii="宋体" w:hAnsi="宋体" w:cs="宋体" w:hint="eastAsia"/>
          <w:kern w:val="2"/>
          <w:sz w:val="21"/>
          <w:szCs w:val="21"/>
        </w:rPr>
        <w:t>本办法自</w:t>
      </w:r>
      <w:r>
        <w:rPr>
          <w:rFonts w:ascii="宋体" w:hAnsi="宋体" w:cs="宋体" w:hint="eastAsia"/>
          <w:kern w:val="2"/>
          <w:sz w:val="21"/>
          <w:szCs w:val="21"/>
        </w:rPr>
        <w:t>2021</w:t>
      </w:r>
      <w:r>
        <w:rPr>
          <w:rFonts w:ascii="宋体" w:hAnsi="宋体" w:cs="宋体" w:hint="eastAsia"/>
          <w:kern w:val="2"/>
          <w:sz w:val="21"/>
          <w:szCs w:val="21"/>
        </w:rPr>
        <w:t>年</w:t>
      </w:r>
      <w:r>
        <w:rPr>
          <w:rFonts w:ascii="宋体" w:hAnsi="宋体" w:cs="宋体" w:hint="eastAsia"/>
          <w:kern w:val="2"/>
          <w:sz w:val="21"/>
          <w:szCs w:val="21"/>
        </w:rPr>
        <w:t>1</w:t>
      </w:r>
      <w:r>
        <w:rPr>
          <w:rFonts w:ascii="宋体" w:hAnsi="宋体" w:cs="宋体" w:hint="eastAsia"/>
          <w:kern w:val="2"/>
          <w:sz w:val="21"/>
          <w:szCs w:val="21"/>
        </w:rPr>
        <w:t>月</w:t>
      </w:r>
      <w:r>
        <w:rPr>
          <w:rFonts w:ascii="宋体" w:hAnsi="宋体" w:cs="宋体" w:hint="eastAsia"/>
          <w:kern w:val="2"/>
          <w:sz w:val="21"/>
          <w:szCs w:val="21"/>
        </w:rPr>
        <w:t>1</w:t>
      </w:r>
      <w:r>
        <w:rPr>
          <w:rFonts w:ascii="宋体" w:hAnsi="宋体" w:cs="宋体" w:hint="eastAsia"/>
          <w:kern w:val="2"/>
          <w:sz w:val="21"/>
          <w:szCs w:val="21"/>
        </w:rPr>
        <w:t>日起施行。《财政部工业和信息化部关于印发〈政府采购促进中小企业发展暂行办法〉的通知》（财库﹝</w:t>
      </w:r>
      <w:r>
        <w:rPr>
          <w:rFonts w:ascii="宋体" w:hAnsi="宋体" w:cs="宋体" w:hint="eastAsia"/>
          <w:kern w:val="2"/>
          <w:sz w:val="21"/>
          <w:szCs w:val="21"/>
        </w:rPr>
        <w:t>2011</w:t>
      </w:r>
      <w:r>
        <w:rPr>
          <w:rFonts w:ascii="宋体" w:hAnsi="宋体" w:cs="宋体" w:hint="eastAsia"/>
          <w:kern w:val="2"/>
          <w:sz w:val="21"/>
          <w:szCs w:val="21"/>
        </w:rPr>
        <w:t>﹞</w:t>
      </w:r>
      <w:r>
        <w:rPr>
          <w:rFonts w:ascii="宋体" w:hAnsi="宋体" w:cs="宋体" w:hint="eastAsia"/>
          <w:kern w:val="2"/>
          <w:sz w:val="21"/>
          <w:szCs w:val="21"/>
        </w:rPr>
        <w:t>181</w:t>
      </w:r>
      <w:r>
        <w:rPr>
          <w:rFonts w:ascii="宋体" w:hAnsi="宋体" w:cs="宋体" w:hint="eastAsia"/>
          <w:kern w:val="2"/>
          <w:sz w:val="21"/>
          <w:szCs w:val="21"/>
        </w:rPr>
        <w:t>号）同时废止。</w:t>
      </w:r>
    </w:p>
    <w:p w:rsidR="008C0A47">
      <w:pPr>
        <w:rPr>
          <w:rFonts w:ascii="宋体" w:hAnsi="宋体" w:cs="宋体"/>
          <w:szCs w:val="21"/>
        </w:rPr>
      </w:pPr>
      <w:r>
        <w:rPr>
          <w:rFonts w:ascii="宋体" w:hAnsi="宋体" w:cs="宋体" w:hint="eastAsia"/>
          <w:szCs w:val="21"/>
        </w:rPr>
        <w:br w:type="page"/>
      </w:r>
    </w:p>
    <w:p w:rsidR="008C0A47">
      <w:pPr>
        <w:pStyle w:val="NormalWeb"/>
        <w:spacing w:line="440" w:lineRule="exact"/>
        <w:jc w:val="center"/>
        <w:rPr>
          <w:rFonts w:ascii="宋体" w:hAnsi="宋体" w:cs="宋体"/>
          <w:sz w:val="21"/>
          <w:szCs w:val="21"/>
        </w:rPr>
      </w:pPr>
      <w:r>
        <w:rPr>
          <w:rStyle w:val="Strong"/>
          <w:rFonts w:ascii="宋体" w:hAnsi="宋体" w:cs="宋体"/>
          <w:sz w:val="28"/>
          <w:szCs w:val="28"/>
        </w:rPr>
        <w:t>关于印发中小企业划型标准规定的通知</w:t>
      </w:r>
      <w:r>
        <w:rPr>
          <w:rFonts w:ascii="宋体" w:hAnsi="宋体" w:cs="宋体"/>
          <w:sz w:val="28"/>
          <w:szCs w:val="28"/>
        </w:rPr>
        <w:br/>
      </w:r>
      <w:r>
        <w:rPr>
          <w:rFonts w:ascii="宋体" w:hAnsi="宋体" w:cs="宋体" w:hint="eastAsia"/>
          <w:sz w:val="21"/>
          <w:szCs w:val="21"/>
        </w:rPr>
        <w:t>工信部联企业〔</w:t>
      </w:r>
      <w:r>
        <w:rPr>
          <w:rFonts w:ascii="宋体" w:hAnsi="宋体" w:cs="宋体" w:hint="eastAsia"/>
          <w:sz w:val="21"/>
          <w:szCs w:val="21"/>
        </w:rPr>
        <w:t>2011</w:t>
      </w:r>
      <w:r>
        <w:rPr>
          <w:rFonts w:ascii="宋体" w:hAnsi="宋体" w:cs="宋体" w:hint="eastAsia"/>
          <w:sz w:val="21"/>
          <w:szCs w:val="21"/>
        </w:rPr>
        <w:t>〕</w:t>
      </w:r>
      <w:r>
        <w:rPr>
          <w:rFonts w:ascii="宋体" w:hAnsi="宋体" w:cs="宋体" w:hint="eastAsia"/>
          <w:sz w:val="21"/>
          <w:szCs w:val="21"/>
        </w:rPr>
        <w:t>300</w:t>
      </w:r>
      <w:r>
        <w:rPr>
          <w:rFonts w:ascii="宋体" w:hAnsi="宋体" w:cs="宋体" w:hint="eastAsia"/>
          <w:sz w:val="21"/>
          <w:szCs w:val="21"/>
        </w:rPr>
        <w:t>号</w:t>
      </w:r>
    </w:p>
    <w:p w:rsidR="008C0A47">
      <w:pPr>
        <w:pStyle w:val="NormalWeb"/>
        <w:spacing w:line="440" w:lineRule="exact"/>
        <w:rPr>
          <w:rFonts w:ascii="宋体" w:hAnsi="宋体" w:cs="宋体"/>
          <w:sz w:val="21"/>
          <w:szCs w:val="21"/>
        </w:rPr>
      </w:pPr>
    </w:p>
    <w:p w:rsidR="008C0A47">
      <w:pPr>
        <w:pStyle w:val="NormalWeb"/>
        <w:spacing w:line="440" w:lineRule="exact"/>
        <w:rPr>
          <w:rFonts w:ascii="宋体" w:hAnsi="宋体" w:cs="宋体"/>
          <w:sz w:val="21"/>
          <w:szCs w:val="21"/>
        </w:rPr>
      </w:pPr>
      <w:r>
        <w:rPr>
          <w:rFonts w:ascii="宋体" w:hAnsi="宋体" w:cs="宋体" w:hint="eastAsia"/>
          <w:sz w:val="21"/>
          <w:szCs w:val="21"/>
        </w:rPr>
        <w:t>各省、自治区、直辖市人民政府，国务院各部委、各直属机构及有关单位：</w:t>
      </w:r>
      <w:r>
        <w:rPr>
          <w:rFonts w:ascii="宋体" w:hAnsi="宋体" w:cs="宋体" w:hint="eastAsia"/>
          <w:sz w:val="21"/>
          <w:szCs w:val="21"/>
        </w:rPr>
        <w:br/>
      </w:r>
      <w:r>
        <w:rPr>
          <w:rFonts w:ascii="宋体" w:hAnsi="宋体" w:cs="宋体" w:hint="eastAsia"/>
          <w:sz w:val="21"/>
          <w:szCs w:val="21"/>
        </w:rPr>
        <w:t>　　为贯彻落实《中华人民共和国中小企业促进法》和《国务院关于进一步促进中小企业发展的若干意见》（国发〔</w:t>
      </w:r>
      <w:r>
        <w:rPr>
          <w:rFonts w:ascii="宋体" w:hAnsi="宋体" w:cs="宋体" w:hint="eastAsia"/>
          <w:sz w:val="21"/>
          <w:szCs w:val="21"/>
        </w:rPr>
        <w:t>2009</w:t>
      </w:r>
      <w:r>
        <w:rPr>
          <w:rFonts w:ascii="宋体" w:hAnsi="宋体" w:cs="宋体" w:hint="eastAsia"/>
          <w:sz w:val="21"/>
          <w:szCs w:val="21"/>
        </w:rPr>
        <w:t>〕</w:t>
      </w:r>
      <w:r>
        <w:rPr>
          <w:rFonts w:ascii="宋体" w:hAnsi="宋体" w:cs="宋体" w:hint="eastAsia"/>
          <w:sz w:val="21"/>
          <w:szCs w:val="21"/>
        </w:rPr>
        <w:t>36</w:t>
      </w:r>
      <w:r>
        <w:rPr>
          <w:rFonts w:ascii="宋体" w:hAnsi="宋体" w:cs="宋体" w:hint="eastAsia"/>
          <w:sz w:val="21"/>
          <w:szCs w:val="21"/>
        </w:rPr>
        <w:t>号），工业和信息化部、国家统计局、发展改革委、财政部研究制定了《中小企业划型标准规定》。经国务院同意，现印发给你们，请遵照执行。</w:t>
      </w:r>
    </w:p>
    <w:p w:rsidR="008C0A47">
      <w:pPr>
        <w:pStyle w:val="NormalWeb"/>
        <w:spacing w:line="440" w:lineRule="exact"/>
        <w:jc w:val="right"/>
        <w:rPr>
          <w:rFonts w:ascii="宋体" w:hAnsi="宋体" w:cs="宋体"/>
          <w:sz w:val="21"/>
          <w:szCs w:val="21"/>
        </w:rPr>
      </w:pPr>
      <w:r>
        <w:rPr>
          <w:rFonts w:ascii="宋体" w:hAnsi="宋体" w:cs="宋体" w:hint="eastAsia"/>
          <w:sz w:val="21"/>
          <w:szCs w:val="21"/>
        </w:rPr>
        <w:br/>
      </w:r>
      <w:r>
        <w:rPr>
          <w:rFonts w:ascii="宋体" w:hAnsi="宋体" w:cs="宋体" w:hint="eastAsia"/>
          <w:sz w:val="21"/>
          <w:szCs w:val="21"/>
        </w:rPr>
        <w:t>　　　　　　　　　　　　　　　　　　　　　　</w:t>
      </w:r>
      <w:r>
        <w:rPr>
          <w:rFonts w:ascii="宋体" w:hAnsi="宋体" w:cs="宋体" w:hint="eastAsia"/>
          <w:sz w:val="21"/>
          <w:szCs w:val="21"/>
        </w:rPr>
        <w:t xml:space="preserve"> </w:t>
      </w:r>
      <w:r>
        <w:rPr>
          <w:rFonts w:ascii="宋体" w:hAnsi="宋体" w:cs="宋体" w:hint="eastAsia"/>
          <w:sz w:val="21"/>
          <w:szCs w:val="21"/>
        </w:rPr>
        <w:t>工业和信息化部　国家统计局</w:t>
      </w:r>
      <w:r>
        <w:rPr>
          <w:rFonts w:ascii="宋体" w:hAnsi="宋体" w:cs="宋体" w:hint="eastAsia"/>
          <w:sz w:val="21"/>
          <w:szCs w:val="21"/>
        </w:rPr>
        <w:br/>
      </w:r>
      <w:r>
        <w:rPr>
          <w:rFonts w:ascii="宋体" w:hAnsi="宋体" w:cs="宋体" w:hint="eastAsia"/>
          <w:sz w:val="21"/>
          <w:szCs w:val="21"/>
        </w:rPr>
        <w:t>　　　　　　　　　　　　　　　　　　　　　　</w:t>
      </w:r>
      <w:r>
        <w:rPr>
          <w:rFonts w:ascii="宋体" w:hAnsi="宋体" w:cs="宋体" w:hint="eastAsia"/>
          <w:sz w:val="21"/>
          <w:szCs w:val="21"/>
        </w:rPr>
        <w:t>国家发展和改革委员会　财政部</w:t>
      </w:r>
      <w:r>
        <w:rPr>
          <w:rFonts w:ascii="宋体" w:hAnsi="宋体" w:cs="宋体" w:hint="eastAsia"/>
          <w:sz w:val="21"/>
          <w:szCs w:val="21"/>
        </w:rPr>
        <w:br/>
      </w:r>
      <w:r>
        <w:rPr>
          <w:rFonts w:ascii="宋体" w:hAnsi="宋体" w:cs="宋体" w:hint="eastAsia"/>
          <w:sz w:val="21"/>
          <w:szCs w:val="21"/>
        </w:rPr>
        <w:t>　　　　　　　　　　　　　　　　　　　　　　　　</w:t>
      </w:r>
      <w:r>
        <w:rPr>
          <w:rFonts w:ascii="宋体" w:hAnsi="宋体" w:cs="宋体" w:hint="eastAsia"/>
          <w:sz w:val="21"/>
          <w:szCs w:val="21"/>
        </w:rPr>
        <w:t>二○一一年六月十八日</w:t>
      </w:r>
    </w:p>
    <w:p w:rsidR="008C0A47">
      <w:pPr>
        <w:pStyle w:val="NormalWeb"/>
        <w:jc w:val="center"/>
      </w:pPr>
      <w:r>
        <w:rPr>
          <w:rStyle w:val="Strong"/>
        </w:rPr>
        <w:t>中小企业划型标准规定</w:t>
      </w:r>
    </w:p>
    <w:p w:rsidR="008C0A47">
      <w:pPr>
        <w:pStyle w:val="NormalWeb"/>
        <w:spacing w:line="440" w:lineRule="exact"/>
        <w:ind w:firstLine="480" w:firstLineChars="200"/>
        <w:rPr>
          <w:rFonts w:ascii="宋体" w:hAnsi="宋体" w:cs="宋体"/>
          <w:sz w:val="21"/>
          <w:szCs w:val="21"/>
        </w:rPr>
      </w:pPr>
      <w:r>
        <w:rPr>
          <w:rFonts w:ascii="宋体" w:hAnsi="宋体" w:cs="宋体" w:hint="eastAsia"/>
          <w:sz w:val="21"/>
          <w:szCs w:val="21"/>
        </w:rPr>
        <w:t>一、根据《中华人民共和国中小企业促进法》和《国务院关于进一步促进中小企业发展的若干意见》</w:t>
      </w:r>
      <w:r>
        <w:rPr>
          <w:rFonts w:ascii="宋体" w:hAnsi="宋体" w:cs="宋体" w:hint="eastAsia"/>
          <w:sz w:val="21"/>
          <w:szCs w:val="21"/>
        </w:rPr>
        <w:t>(</w:t>
      </w:r>
      <w:r>
        <w:rPr>
          <w:rFonts w:ascii="宋体" w:hAnsi="宋体" w:cs="宋体" w:hint="eastAsia"/>
          <w:sz w:val="21"/>
          <w:szCs w:val="21"/>
        </w:rPr>
        <w:t>国发〔</w:t>
      </w:r>
      <w:r>
        <w:rPr>
          <w:rFonts w:ascii="宋体" w:hAnsi="宋体" w:cs="宋体" w:hint="eastAsia"/>
          <w:sz w:val="21"/>
          <w:szCs w:val="21"/>
        </w:rPr>
        <w:t>2009</w:t>
      </w:r>
      <w:r>
        <w:rPr>
          <w:rFonts w:ascii="宋体" w:hAnsi="宋体" w:cs="宋体" w:hint="eastAsia"/>
          <w:sz w:val="21"/>
          <w:szCs w:val="21"/>
        </w:rPr>
        <w:t>〕</w:t>
      </w:r>
      <w:r>
        <w:rPr>
          <w:rFonts w:ascii="宋体" w:hAnsi="宋体" w:cs="宋体" w:hint="eastAsia"/>
          <w:sz w:val="21"/>
          <w:szCs w:val="21"/>
        </w:rPr>
        <w:t>36</w:t>
      </w:r>
      <w:r>
        <w:rPr>
          <w:rFonts w:ascii="宋体" w:hAnsi="宋体" w:cs="宋体" w:hint="eastAsia"/>
          <w:sz w:val="21"/>
          <w:szCs w:val="21"/>
        </w:rPr>
        <w:t>号</w:t>
      </w:r>
      <w:r>
        <w:rPr>
          <w:rFonts w:ascii="宋体" w:hAnsi="宋体" w:cs="宋体" w:hint="eastAsia"/>
          <w:sz w:val="21"/>
          <w:szCs w:val="21"/>
        </w:rPr>
        <w:t>)</w:t>
      </w:r>
      <w:r>
        <w:rPr>
          <w:rFonts w:ascii="宋体" w:hAnsi="宋体" w:cs="宋体" w:hint="eastAsia"/>
          <w:sz w:val="21"/>
          <w:szCs w:val="21"/>
        </w:rPr>
        <w:t>，制定本规定。</w:t>
      </w:r>
      <w:r>
        <w:rPr>
          <w:rFonts w:ascii="宋体" w:hAnsi="宋体" w:cs="宋体" w:hint="eastAsia"/>
          <w:sz w:val="21"/>
          <w:szCs w:val="21"/>
        </w:rPr>
        <w:br/>
      </w:r>
      <w:r>
        <w:rPr>
          <w:rFonts w:ascii="宋体" w:hAnsi="宋体" w:cs="宋体" w:hint="eastAsia"/>
          <w:sz w:val="21"/>
          <w:szCs w:val="21"/>
        </w:rPr>
        <w:t>　　二、中小企业划分为中型、小型、微型三种类型，具体标准根据企业从业人员、营业收入、资产总额等指标，结合行业特点制定。</w:t>
      </w:r>
      <w:r>
        <w:rPr>
          <w:rFonts w:ascii="宋体" w:hAnsi="宋体" w:cs="宋体" w:hint="eastAsia"/>
          <w:sz w:val="21"/>
          <w:szCs w:val="21"/>
        </w:rPr>
        <w:br/>
      </w:r>
      <w:r>
        <w:rPr>
          <w:rFonts w:ascii="宋体" w:hAnsi="宋体" w:cs="宋体" w:hint="eastAsia"/>
          <w:sz w:val="21"/>
          <w:szCs w:val="21"/>
        </w:rPr>
        <w:t>　　三、本规定适用的行业包括：农、林、牧、渔业，工业（包括采矿业，制造业，电力、热力、燃气及水生产和供应业），建筑业，批发业，零售业，交通运输业（不含铁路运输业），仓储业</w:t>
      </w:r>
      <w:r>
        <w:rPr>
          <w:rFonts w:ascii="宋体" w:hAnsi="宋体" w:cs="宋体" w:hint="eastAsia"/>
          <w:sz w:val="21"/>
          <w:szCs w:val="21"/>
        </w:rPr>
        <w:t>，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ascii="宋体" w:hAnsi="宋体" w:cs="宋体" w:hint="eastAsia"/>
          <w:sz w:val="21"/>
          <w:szCs w:val="21"/>
        </w:rPr>
        <w:br/>
      </w:r>
      <w:r>
        <w:rPr>
          <w:rFonts w:ascii="宋体" w:hAnsi="宋体" w:cs="宋体" w:hint="eastAsia"/>
          <w:sz w:val="21"/>
          <w:szCs w:val="21"/>
        </w:rPr>
        <w:t>　　四、各行业划型标准为：</w:t>
      </w:r>
      <w:r>
        <w:rPr>
          <w:rFonts w:ascii="宋体" w:hAnsi="宋体" w:cs="宋体" w:hint="eastAsia"/>
          <w:sz w:val="21"/>
          <w:szCs w:val="21"/>
        </w:rPr>
        <w:br/>
      </w:r>
      <w:r>
        <w:rPr>
          <w:rFonts w:ascii="宋体" w:hAnsi="宋体" w:cs="宋体" w:hint="eastAsia"/>
          <w:sz w:val="21"/>
          <w:szCs w:val="21"/>
        </w:rPr>
        <w:t>　　（一）农、林、牧、渔业。营业收入</w:t>
      </w:r>
      <w:r>
        <w:rPr>
          <w:rFonts w:ascii="宋体" w:hAnsi="宋体" w:cs="宋体" w:hint="eastAsia"/>
          <w:sz w:val="21"/>
          <w:szCs w:val="21"/>
        </w:rPr>
        <w:t>20000</w:t>
      </w:r>
      <w:r>
        <w:rPr>
          <w:rFonts w:ascii="宋体" w:hAnsi="宋体" w:cs="宋体" w:hint="eastAsia"/>
          <w:sz w:val="21"/>
          <w:szCs w:val="21"/>
        </w:rPr>
        <w:t>万元以下的为中小微型企业。其中，营业收入</w:t>
      </w:r>
      <w:r>
        <w:rPr>
          <w:rFonts w:ascii="宋体" w:hAnsi="宋体" w:cs="宋体" w:hint="eastAsia"/>
          <w:sz w:val="21"/>
          <w:szCs w:val="21"/>
        </w:rPr>
        <w:t>500</w:t>
      </w:r>
      <w:r>
        <w:rPr>
          <w:rFonts w:ascii="宋体" w:hAnsi="宋体" w:cs="宋体" w:hint="eastAsia"/>
          <w:sz w:val="21"/>
          <w:szCs w:val="21"/>
        </w:rPr>
        <w:t>万元及以上的为中型企业，营业收入</w:t>
      </w:r>
      <w:r>
        <w:rPr>
          <w:rFonts w:ascii="宋体" w:hAnsi="宋体" w:cs="宋体" w:hint="eastAsia"/>
          <w:sz w:val="21"/>
          <w:szCs w:val="21"/>
        </w:rPr>
        <w:t>50</w:t>
      </w:r>
      <w:r>
        <w:rPr>
          <w:rFonts w:ascii="宋体" w:hAnsi="宋体" w:cs="宋体" w:hint="eastAsia"/>
          <w:sz w:val="21"/>
          <w:szCs w:val="21"/>
        </w:rPr>
        <w:t>万元及以上的为小型企业，营业收入</w:t>
      </w:r>
      <w:r>
        <w:rPr>
          <w:rFonts w:ascii="宋体" w:hAnsi="宋体" w:cs="宋体" w:hint="eastAsia"/>
          <w:sz w:val="21"/>
          <w:szCs w:val="21"/>
        </w:rPr>
        <w:t>50</w:t>
      </w:r>
      <w:r>
        <w:rPr>
          <w:rFonts w:ascii="宋体" w:hAnsi="宋体" w:cs="宋体" w:hint="eastAsia"/>
          <w:sz w:val="21"/>
          <w:szCs w:val="21"/>
        </w:rPr>
        <w:t>万元以下的为微型企业。</w:t>
      </w:r>
      <w:r>
        <w:rPr>
          <w:rFonts w:ascii="宋体" w:hAnsi="宋体" w:cs="宋体" w:hint="eastAsia"/>
          <w:sz w:val="21"/>
          <w:szCs w:val="21"/>
        </w:rPr>
        <w:br/>
      </w:r>
      <w:r>
        <w:rPr>
          <w:rFonts w:ascii="宋体" w:hAnsi="宋体" w:cs="宋体" w:hint="eastAsia"/>
          <w:sz w:val="21"/>
          <w:szCs w:val="21"/>
        </w:rPr>
        <w:t>　　（二）工业。从业人员</w:t>
      </w:r>
      <w:r>
        <w:rPr>
          <w:rFonts w:ascii="宋体" w:hAnsi="宋体" w:cs="宋体" w:hint="eastAsia"/>
          <w:sz w:val="21"/>
          <w:szCs w:val="21"/>
        </w:rPr>
        <w:t>10</w:t>
      </w:r>
      <w:r>
        <w:rPr>
          <w:rFonts w:ascii="宋体" w:hAnsi="宋体" w:cs="宋体" w:hint="eastAsia"/>
          <w:sz w:val="21"/>
          <w:szCs w:val="21"/>
        </w:rPr>
        <w:t>00</w:t>
      </w:r>
      <w:r>
        <w:rPr>
          <w:rFonts w:ascii="宋体" w:hAnsi="宋体" w:cs="宋体" w:hint="eastAsia"/>
          <w:sz w:val="21"/>
          <w:szCs w:val="21"/>
        </w:rPr>
        <w:t>人以下或营业收入</w:t>
      </w:r>
      <w:r>
        <w:rPr>
          <w:rFonts w:ascii="宋体" w:hAnsi="宋体" w:cs="宋体" w:hint="eastAsia"/>
          <w:sz w:val="21"/>
          <w:szCs w:val="21"/>
        </w:rPr>
        <w:t>40000</w:t>
      </w:r>
      <w:r>
        <w:rPr>
          <w:rFonts w:ascii="宋体" w:hAnsi="宋体" w:cs="宋体" w:hint="eastAsia"/>
          <w:sz w:val="21"/>
          <w:szCs w:val="21"/>
        </w:rPr>
        <w:t>万元以下的为中小微型企业。其中，从业人员</w:t>
      </w:r>
      <w:r>
        <w:rPr>
          <w:rFonts w:ascii="宋体" w:hAnsi="宋体" w:cs="宋体" w:hint="eastAsia"/>
          <w:sz w:val="21"/>
          <w:szCs w:val="21"/>
        </w:rPr>
        <w:t>300</w:t>
      </w:r>
      <w:r>
        <w:rPr>
          <w:rFonts w:ascii="宋体" w:hAnsi="宋体" w:cs="宋体" w:hint="eastAsia"/>
          <w:sz w:val="21"/>
          <w:szCs w:val="21"/>
        </w:rPr>
        <w:t>人及以上，且营业收入</w:t>
      </w:r>
      <w:r>
        <w:rPr>
          <w:rFonts w:ascii="宋体" w:hAnsi="宋体" w:cs="宋体" w:hint="eastAsia"/>
          <w:sz w:val="21"/>
          <w:szCs w:val="21"/>
        </w:rPr>
        <w:t>2000</w:t>
      </w:r>
      <w:r>
        <w:rPr>
          <w:rFonts w:ascii="宋体" w:hAnsi="宋体" w:cs="宋体" w:hint="eastAsia"/>
          <w:sz w:val="21"/>
          <w:szCs w:val="21"/>
        </w:rPr>
        <w:t>万元及以上的为中型企业；从业人员</w:t>
      </w:r>
      <w:r>
        <w:rPr>
          <w:rFonts w:ascii="宋体" w:hAnsi="宋体" w:cs="宋体" w:hint="eastAsia"/>
          <w:sz w:val="21"/>
          <w:szCs w:val="21"/>
        </w:rPr>
        <w:t>20</w:t>
      </w:r>
      <w:r>
        <w:rPr>
          <w:rFonts w:ascii="宋体" w:hAnsi="宋体" w:cs="宋体" w:hint="eastAsia"/>
          <w:sz w:val="21"/>
          <w:szCs w:val="21"/>
        </w:rPr>
        <w:t>人及以上，且营业收入</w:t>
      </w:r>
      <w:r>
        <w:rPr>
          <w:rFonts w:ascii="宋体" w:hAnsi="宋体" w:cs="宋体" w:hint="eastAsia"/>
          <w:sz w:val="21"/>
          <w:szCs w:val="21"/>
        </w:rPr>
        <w:t>300</w:t>
      </w:r>
      <w:r>
        <w:rPr>
          <w:rFonts w:ascii="宋体" w:hAnsi="宋体" w:cs="宋体" w:hint="eastAsia"/>
          <w:sz w:val="21"/>
          <w:szCs w:val="21"/>
        </w:rPr>
        <w:t>万元及以上的为小型企业；从业人员</w:t>
      </w:r>
      <w:r>
        <w:rPr>
          <w:rFonts w:ascii="宋体" w:hAnsi="宋体" w:cs="宋体" w:hint="eastAsia"/>
          <w:sz w:val="21"/>
          <w:szCs w:val="21"/>
        </w:rPr>
        <w:t>20</w:t>
      </w:r>
      <w:r>
        <w:rPr>
          <w:rFonts w:ascii="宋体" w:hAnsi="宋体" w:cs="宋体" w:hint="eastAsia"/>
          <w:sz w:val="21"/>
          <w:szCs w:val="21"/>
        </w:rPr>
        <w:t>人以下或营业收入</w:t>
      </w:r>
      <w:r>
        <w:rPr>
          <w:rFonts w:ascii="宋体" w:hAnsi="宋体" w:cs="宋体" w:hint="eastAsia"/>
          <w:sz w:val="21"/>
          <w:szCs w:val="21"/>
        </w:rPr>
        <w:t>300</w:t>
      </w:r>
      <w:r>
        <w:rPr>
          <w:rFonts w:ascii="宋体" w:hAnsi="宋体" w:cs="宋体" w:hint="eastAsia"/>
          <w:sz w:val="21"/>
          <w:szCs w:val="21"/>
        </w:rPr>
        <w:t>万元以下的为微型企业。</w:t>
      </w:r>
      <w:r>
        <w:rPr>
          <w:rFonts w:ascii="宋体" w:hAnsi="宋体" w:cs="宋体" w:hint="eastAsia"/>
          <w:sz w:val="21"/>
          <w:szCs w:val="21"/>
        </w:rPr>
        <w:br/>
      </w:r>
      <w:r>
        <w:rPr>
          <w:rFonts w:ascii="宋体" w:hAnsi="宋体" w:cs="宋体" w:hint="eastAsia"/>
          <w:sz w:val="21"/>
          <w:szCs w:val="21"/>
        </w:rPr>
        <w:t>　　（三）建筑业。营业收入</w:t>
      </w:r>
      <w:r>
        <w:rPr>
          <w:rFonts w:ascii="宋体" w:hAnsi="宋体" w:cs="宋体" w:hint="eastAsia"/>
          <w:sz w:val="21"/>
          <w:szCs w:val="21"/>
        </w:rPr>
        <w:t>80000</w:t>
      </w:r>
      <w:r>
        <w:rPr>
          <w:rFonts w:ascii="宋体" w:hAnsi="宋体" w:cs="宋体" w:hint="eastAsia"/>
          <w:sz w:val="21"/>
          <w:szCs w:val="21"/>
        </w:rPr>
        <w:t>万元以下或资产总额</w:t>
      </w:r>
      <w:r>
        <w:rPr>
          <w:rFonts w:ascii="宋体" w:hAnsi="宋体" w:cs="宋体" w:hint="eastAsia"/>
          <w:sz w:val="21"/>
          <w:szCs w:val="21"/>
        </w:rPr>
        <w:t>80000</w:t>
      </w:r>
      <w:r>
        <w:rPr>
          <w:rFonts w:ascii="宋体" w:hAnsi="宋体" w:cs="宋体" w:hint="eastAsia"/>
          <w:sz w:val="21"/>
          <w:szCs w:val="21"/>
        </w:rPr>
        <w:t>万元以下的为中小微型企业。</w:t>
      </w:r>
      <w:r>
        <w:rPr>
          <w:rFonts w:ascii="宋体" w:hAnsi="宋体" w:cs="宋体" w:hint="eastAsia"/>
          <w:sz w:val="21"/>
          <w:szCs w:val="21"/>
        </w:rPr>
        <w:t>其中，营业收入</w:t>
      </w:r>
      <w:r>
        <w:rPr>
          <w:rFonts w:ascii="宋体" w:hAnsi="宋体" w:cs="宋体" w:hint="eastAsia"/>
          <w:sz w:val="21"/>
          <w:szCs w:val="21"/>
        </w:rPr>
        <w:t>6000</w:t>
      </w:r>
      <w:r>
        <w:rPr>
          <w:rFonts w:ascii="宋体" w:hAnsi="宋体" w:cs="宋体" w:hint="eastAsia"/>
          <w:sz w:val="21"/>
          <w:szCs w:val="21"/>
        </w:rPr>
        <w:t>万元及以上，且资产总额</w:t>
      </w:r>
      <w:r>
        <w:rPr>
          <w:rFonts w:ascii="宋体" w:hAnsi="宋体" w:cs="宋体" w:hint="eastAsia"/>
          <w:sz w:val="21"/>
          <w:szCs w:val="21"/>
        </w:rPr>
        <w:t>5000</w:t>
      </w:r>
      <w:r>
        <w:rPr>
          <w:rFonts w:ascii="宋体" w:hAnsi="宋体" w:cs="宋体" w:hint="eastAsia"/>
          <w:sz w:val="21"/>
          <w:szCs w:val="21"/>
        </w:rPr>
        <w:t>万元及以上的为中型企业；营业收入</w:t>
      </w:r>
      <w:r>
        <w:rPr>
          <w:rFonts w:ascii="宋体" w:hAnsi="宋体" w:cs="宋体" w:hint="eastAsia"/>
          <w:sz w:val="21"/>
          <w:szCs w:val="21"/>
        </w:rPr>
        <w:t>300</w:t>
      </w:r>
      <w:r>
        <w:rPr>
          <w:rFonts w:ascii="宋体" w:hAnsi="宋体" w:cs="宋体" w:hint="eastAsia"/>
          <w:sz w:val="21"/>
          <w:szCs w:val="21"/>
        </w:rPr>
        <w:t>万元及以上，且资产总额</w:t>
      </w:r>
      <w:r>
        <w:rPr>
          <w:rFonts w:ascii="宋体" w:hAnsi="宋体" w:cs="宋体" w:hint="eastAsia"/>
          <w:sz w:val="21"/>
          <w:szCs w:val="21"/>
        </w:rPr>
        <w:t>300</w:t>
      </w:r>
      <w:r>
        <w:rPr>
          <w:rFonts w:ascii="宋体" w:hAnsi="宋体" w:cs="宋体" w:hint="eastAsia"/>
          <w:sz w:val="21"/>
          <w:szCs w:val="21"/>
        </w:rPr>
        <w:t>万元及以上的为小型企业；营业收入</w:t>
      </w:r>
      <w:r>
        <w:rPr>
          <w:rFonts w:ascii="宋体" w:hAnsi="宋体" w:cs="宋体" w:hint="eastAsia"/>
          <w:sz w:val="21"/>
          <w:szCs w:val="21"/>
        </w:rPr>
        <w:t>300</w:t>
      </w:r>
      <w:r>
        <w:rPr>
          <w:rFonts w:ascii="宋体" w:hAnsi="宋体" w:cs="宋体" w:hint="eastAsia"/>
          <w:sz w:val="21"/>
          <w:szCs w:val="21"/>
        </w:rPr>
        <w:t>万元以下或资产总额</w:t>
      </w:r>
      <w:r>
        <w:rPr>
          <w:rFonts w:ascii="宋体" w:hAnsi="宋体" w:cs="宋体" w:hint="eastAsia"/>
          <w:sz w:val="21"/>
          <w:szCs w:val="21"/>
        </w:rPr>
        <w:t>300</w:t>
      </w:r>
      <w:r>
        <w:rPr>
          <w:rFonts w:ascii="宋体" w:hAnsi="宋体" w:cs="宋体" w:hint="eastAsia"/>
          <w:sz w:val="21"/>
          <w:szCs w:val="21"/>
        </w:rPr>
        <w:t>万元以下的为微型企业。</w:t>
      </w:r>
      <w:r>
        <w:rPr>
          <w:rFonts w:ascii="宋体" w:hAnsi="宋体" w:cs="宋体" w:hint="eastAsia"/>
          <w:sz w:val="21"/>
          <w:szCs w:val="21"/>
        </w:rPr>
        <w:br/>
      </w:r>
      <w:r>
        <w:rPr>
          <w:rFonts w:ascii="宋体" w:hAnsi="宋体" w:cs="宋体" w:hint="eastAsia"/>
          <w:sz w:val="21"/>
          <w:szCs w:val="21"/>
        </w:rPr>
        <w:t>　　（四）批发业。从业人员</w:t>
      </w:r>
      <w:r>
        <w:rPr>
          <w:rFonts w:ascii="宋体" w:hAnsi="宋体" w:cs="宋体" w:hint="eastAsia"/>
          <w:sz w:val="21"/>
          <w:szCs w:val="21"/>
        </w:rPr>
        <w:t>200</w:t>
      </w:r>
      <w:r>
        <w:rPr>
          <w:rFonts w:ascii="宋体" w:hAnsi="宋体" w:cs="宋体" w:hint="eastAsia"/>
          <w:sz w:val="21"/>
          <w:szCs w:val="21"/>
        </w:rPr>
        <w:t>人以下或营业收入</w:t>
      </w:r>
      <w:r>
        <w:rPr>
          <w:rFonts w:ascii="宋体" w:hAnsi="宋体" w:cs="宋体" w:hint="eastAsia"/>
          <w:sz w:val="21"/>
          <w:szCs w:val="21"/>
        </w:rPr>
        <w:t>40000</w:t>
      </w:r>
      <w:r>
        <w:rPr>
          <w:rFonts w:ascii="宋体" w:hAnsi="宋体" w:cs="宋体" w:hint="eastAsia"/>
          <w:sz w:val="21"/>
          <w:szCs w:val="21"/>
        </w:rPr>
        <w:t>万元以下的为中小微型企业。其中，从业人员</w:t>
      </w:r>
      <w:r>
        <w:rPr>
          <w:rFonts w:ascii="宋体" w:hAnsi="宋体" w:cs="宋体" w:hint="eastAsia"/>
          <w:sz w:val="21"/>
          <w:szCs w:val="21"/>
        </w:rPr>
        <w:t>20</w:t>
      </w:r>
      <w:r>
        <w:rPr>
          <w:rFonts w:ascii="宋体" w:hAnsi="宋体" w:cs="宋体" w:hint="eastAsia"/>
          <w:sz w:val="21"/>
          <w:szCs w:val="21"/>
        </w:rPr>
        <w:t>人及以上，且营业收入</w:t>
      </w:r>
      <w:r>
        <w:rPr>
          <w:rFonts w:ascii="宋体" w:hAnsi="宋体" w:cs="宋体" w:hint="eastAsia"/>
          <w:sz w:val="21"/>
          <w:szCs w:val="21"/>
        </w:rPr>
        <w:t>5000</w:t>
      </w:r>
      <w:r>
        <w:rPr>
          <w:rFonts w:ascii="宋体" w:hAnsi="宋体" w:cs="宋体" w:hint="eastAsia"/>
          <w:sz w:val="21"/>
          <w:szCs w:val="21"/>
        </w:rPr>
        <w:t>万元及以上的为中型企业；从业人员</w:t>
      </w:r>
      <w:r>
        <w:rPr>
          <w:rFonts w:ascii="宋体" w:hAnsi="宋体" w:cs="宋体" w:hint="eastAsia"/>
          <w:sz w:val="21"/>
          <w:szCs w:val="21"/>
        </w:rPr>
        <w:t>5</w:t>
      </w:r>
      <w:r>
        <w:rPr>
          <w:rFonts w:ascii="宋体" w:hAnsi="宋体" w:cs="宋体" w:hint="eastAsia"/>
          <w:sz w:val="21"/>
          <w:szCs w:val="21"/>
        </w:rPr>
        <w:t>人及以上，且营业收入</w:t>
      </w:r>
      <w:r>
        <w:rPr>
          <w:rFonts w:ascii="宋体" w:hAnsi="宋体" w:cs="宋体" w:hint="eastAsia"/>
          <w:sz w:val="21"/>
          <w:szCs w:val="21"/>
        </w:rPr>
        <w:t>1000</w:t>
      </w:r>
      <w:r>
        <w:rPr>
          <w:rFonts w:ascii="宋体" w:hAnsi="宋体" w:cs="宋体" w:hint="eastAsia"/>
          <w:sz w:val="21"/>
          <w:szCs w:val="21"/>
        </w:rPr>
        <w:t>万元及以上的为小型企业；从业人员</w:t>
      </w:r>
      <w:r>
        <w:rPr>
          <w:rFonts w:ascii="宋体" w:hAnsi="宋体" w:cs="宋体" w:hint="eastAsia"/>
          <w:sz w:val="21"/>
          <w:szCs w:val="21"/>
        </w:rPr>
        <w:t>5</w:t>
      </w:r>
      <w:r>
        <w:rPr>
          <w:rFonts w:ascii="宋体" w:hAnsi="宋体" w:cs="宋体" w:hint="eastAsia"/>
          <w:sz w:val="21"/>
          <w:szCs w:val="21"/>
        </w:rPr>
        <w:t>人以下或营业收入</w:t>
      </w:r>
      <w:r>
        <w:rPr>
          <w:rFonts w:ascii="宋体" w:hAnsi="宋体" w:cs="宋体" w:hint="eastAsia"/>
          <w:sz w:val="21"/>
          <w:szCs w:val="21"/>
        </w:rPr>
        <w:t>1000</w:t>
      </w:r>
      <w:r>
        <w:rPr>
          <w:rFonts w:ascii="宋体" w:hAnsi="宋体" w:cs="宋体" w:hint="eastAsia"/>
          <w:sz w:val="21"/>
          <w:szCs w:val="21"/>
        </w:rPr>
        <w:t>万元以下的为微型企业。</w:t>
      </w:r>
      <w:r>
        <w:rPr>
          <w:rFonts w:ascii="宋体" w:hAnsi="宋体" w:cs="宋体" w:hint="eastAsia"/>
          <w:sz w:val="21"/>
          <w:szCs w:val="21"/>
        </w:rPr>
        <w:br/>
      </w:r>
      <w:r>
        <w:rPr>
          <w:rFonts w:ascii="宋体" w:hAnsi="宋体" w:cs="宋体" w:hint="eastAsia"/>
          <w:sz w:val="21"/>
          <w:szCs w:val="21"/>
        </w:rPr>
        <w:t>　　（五）零售业。从业人员</w:t>
      </w:r>
      <w:r>
        <w:rPr>
          <w:rFonts w:ascii="宋体" w:hAnsi="宋体" w:cs="宋体" w:hint="eastAsia"/>
          <w:sz w:val="21"/>
          <w:szCs w:val="21"/>
        </w:rPr>
        <w:t>300</w:t>
      </w:r>
      <w:r>
        <w:rPr>
          <w:rFonts w:ascii="宋体" w:hAnsi="宋体" w:cs="宋体" w:hint="eastAsia"/>
          <w:sz w:val="21"/>
          <w:szCs w:val="21"/>
        </w:rPr>
        <w:t>人以下或营业收入</w:t>
      </w:r>
      <w:r>
        <w:rPr>
          <w:rFonts w:ascii="宋体" w:hAnsi="宋体" w:cs="宋体" w:hint="eastAsia"/>
          <w:sz w:val="21"/>
          <w:szCs w:val="21"/>
        </w:rPr>
        <w:t>20000</w:t>
      </w:r>
      <w:r>
        <w:rPr>
          <w:rFonts w:ascii="宋体" w:hAnsi="宋体" w:cs="宋体" w:hint="eastAsia"/>
          <w:sz w:val="21"/>
          <w:szCs w:val="21"/>
        </w:rPr>
        <w:t>万元以下的为中小微型企业。其中，从业人员</w:t>
      </w:r>
      <w:r>
        <w:rPr>
          <w:rFonts w:ascii="宋体" w:hAnsi="宋体" w:cs="宋体" w:hint="eastAsia"/>
          <w:sz w:val="21"/>
          <w:szCs w:val="21"/>
        </w:rPr>
        <w:t>50</w:t>
      </w:r>
      <w:r>
        <w:rPr>
          <w:rFonts w:ascii="宋体" w:hAnsi="宋体" w:cs="宋体" w:hint="eastAsia"/>
          <w:sz w:val="21"/>
          <w:szCs w:val="21"/>
        </w:rPr>
        <w:t>人及以上，且营业收入</w:t>
      </w:r>
      <w:r>
        <w:rPr>
          <w:rFonts w:ascii="宋体" w:hAnsi="宋体" w:cs="宋体" w:hint="eastAsia"/>
          <w:sz w:val="21"/>
          <w:szCs w:val="21"/>
        </w:rPr>
        <w:t>500</w:t>
      </w:r>
      <w:r>
        <w:rPr>
          <w:rFonts w:ascii="宋体" w:hAnsi="宋体" w:cs="宋体" w:hint="eastAsia"/>
          <w:sz w:val="21"/>
          <w:szCs w:val="21"/>
        </w:rPr>
        <w:t>万元及以上的为中型企业；从业人员</w:t>
      </w:r>
      <w:r>
        <w:rPr>
          <w:rFonts w:ascii="宋体" w:hAnsi="宋体" w:cs="宋体" w:hint="eastAsia"/>
          <w:sz w:val="21"/>
          <w:szCs w:val="21"/>
        </w:rPr>
        <w:t>10</w:t>
      </w:r>
      <w:r>
        <w:rPr>
          <w:rFonts w:ascii="宋体" w:hAnsi="宋体" w:cs="宋体" w:hint="eastAsia"/>
          <w:sz w:val="21"/>
          <w:szCs w:val="21"/>
        </w:rPr>
        <w:t>人及以上，且营业收入</w:t>
      </w:r>
      <w:r>
        <w:rPr>
          <w:rFonts w:ascii="宋体" w:hAnsi="宋体" w:cs="宋体" w:hint="eastAsia"/>
          <w:sz w:val="21"/>
          <w:szCs w:val="21"/>
        </w:rPr>
        <w:t>100</w:t>
      </w:r>
      <w:r>
        <w:rPr>
          <w:rFonts w:ascii="宋体" w:hAnsi="宋体" w:cs="宋体" w:hint="eastAsia"/>
          <w:sz w:val="21"/>
          <w:szCs w:val="21"/>
        </w:rPr>
        <w:t>万元及以上的为小型</w:t>
      </w:r>
      <w:r>
        <w:rPr>
          <w:rFonts w:ascii="宋体" w:hAnsi="宋体" w:cs="宋体" w:hint="eastAsia"/>
          <w:sz w:val="21"/>
          <w:szCs w:val="21"/>
        </w:rPr>
        <w:t>企业；从业人员</w:t>
      </w:r>
      <w:r>
        <w:rPr>
          <w:rFonts w:ascii="宋体" w:hAnsi="宋体" w:cs="宋体" w:hint="eastAsia"/>
          <w:sz w:val="21"/>
          <w:szCs w:val="21"/>
        </w:rPr>
        <w:t>10</w:t>
      </w:r>
      <w:r>
        <w:rPr>
          <w:rFonts w:ascii="宋体" w:hAnsi="宋体" w:cs="宋体" w:hint="eastAsia"/>
          <w:sz w:val="21"/>
          <w:szCs w:val="21"/>
        </w:rPr>
        <w:t>人以下或营业收入</w:t>
      </w:r>
      <w:r>
        <w:rPr>
          <w:rFonts w:ascii="宋体" w:hAnsi="宋体" w:cs="宋体" w:hint="eastAsia"/>
          <w:sz w:val="21"/>
          <w:szCs w:val="21"/>
        </w:rPr>
        <w:t>100</w:t>
      </w:r>
      <w:r>
        <w:rPr>
          <w:rFonts w:ascii="宋体" w:hAnsi="宋体" w:cs="宋体" w:hint="eastAsia"/>
          <w:sz w:val="21"/>
          <w:szCs w:val="21"/>
        </w:rPr>
        <w:t>万元以下的为微型企业。</w:t>
      </w:r>
      <w:r>
        <w:rPr>
          <w:rFonts w:ascii="宋体" w:hAnsi="宋体" w:cs="宋体" w:hint="eastAsia"/>
          <w:sz w:val="21"/>
          <w:szCs w:val="21"/>
        </w:rPr>
        <w:br/>
      </w:r>
      <w:r>
        <w:rPr>
          <w:rFonts w:ascii="宋体" w:hAnsi="宋体" w:cs="宋体" w:hint="eastAsia"/>
          <w:sz w:val="21"/>
          <w:szCs w:val="21"/>
        </w:rPr>
        <w:t>　　（六）交通运输业。从业人员</w:t>
      </w:r>
      <w:r>
        <w:rPr>
          <w:rFonts w:ascii="宋体" w:hAnsi="宋体" w:cs="宋体" w:hint="eastAsia"/>
          <w:sz w:val="21"/>
          <w:szCs w:val="21"/>
        </w:rPr>
        <w:t>1000</w:t>
      </w:r>
      <w:r>
        <w:rPr>
          <w:rFonts w:ascii="宋体" w:hAnsi="宋体" w:cs="宋体" w:hint="eastAsia"/>
          <w:sz w:val="21"/>
          <w:szCs w:val="21"/>
        </w:rPr>
        <w:t>人以下或营业收入</w:t>
      </w:r>
      <w:r>
        <w:rPr>
          <w:rFonts w:ascii="宋体" w:hAnsi="宋体" w:cs="宋体" w:hint="eastAsia"/>
          <w:sz w:val="21"/>
          <w:szCs w:val="21"/>
        </w:rPr>
        <w:t>30000</w:t>
      </w:r>
      <w:r>
        <w:rPr>
          <w:rFonts w:ascii="宋体" w:hAnsi="宋体" w:cs="宋体" w:hint="eastAsia"/>
          <w:sz w:val="21"/>
          <w:szCs w:val="21"/>
        </w:rPr>
        <w:t>万元以下的为中小微型企业。其中，从业人员</w:t>
      </w:r>
      <w:r>
        <w:rPr>
          <w:rFonts w:ascii="宋体" w:hAnsi="宋体" w:cs="宋体" w:hint="eastAsia"/>
          <w:sz w:val="21"/>
          <w:szCs w:val="21"/>
        </w:rPr>
        <w:t>300</w:t>
      </w:r>
      <w:r>
        <w:rPr>
          <w:rFonts w:ascii="宋体" w:hAnsi="宋体" w:cs="宋体" w:hint="eastAsia"/>
          <w:sz w:val="21"/>
          <w:szCs w:val="21"/>
        </w:rPr>
        <w:t>人及以上，且营业收入</w:t>
      </w:r>
      <w:r>
        <w:rPr>
          <w:rFonts w:ascii="宋体" w:hAnsi="宋体" w:cs="宋体" w:hint="eastAsia"/>
          <w:sz w:val="21"/>
          <w:szCs w:val="21"/>
        </w:rPr>
        <w:t>3000</w:t>
      </w:r>
      <w:r>
        <w:rPr>
          <w:rFonts w:ascii="宋体" w:hAnsi="宋体" w:cs="宋体" w:hint="eastAsia"/>
          <w:sz w:val="21"/>
          <w:szCs w:val="21"/>
        </w:rPr>
        <w:t>万元及以上的为中型企业；从业人员</w:t>
      </w:r>
      <w:r>
        <w:rPr>
          <w:rFonts w:ascii="宋体" w:hAnsi="宋体" w:cs="宋体" w:hint="eastAsia"/>
          <w:sz w:val="21"/>
          <w:szCs w:val="21"/>
        </w:rPr>
        <w:t>20</w:t>
      </w:r>
      <w:r>
        <w:rPr>
          <w:rFonts w:ascii="宋体" w:hAnsi="宋体" w:cs="宋体" w:hint="eastAsia"/>
          <w:sz w:val="21"/>
          <w:szCs w:val="21"/>
        </w:rPr>
        <w:t>人及以上，且营业收入</w:t>
      </w:r>
      <w:r>
        <w:rPr>
          <w:rFonts w:ascii="宋体" w:hAnsi="宋体" w:cs="宋体" w:hint="eastAsia"/>
          <w:sz w:val="21"/>
          <w:szCs w:val="21"/>
        </w:rPr>
        <w:t>200</w:t>
      </w:r>
      <w:r>
        <w:rPr>
          <w:rFonts w:ascii="宋体" w:hAnsi="宋体" w:cs="宋体" w:hint="eastAsia"/>
          <w:sz w:val="21"/>
          <w:szCs w:val="21"/>
        </w:rPr>
        <w:t>万元及以上的为小型企业；从业人员</w:t>
      </w:r>
      <w:r>
        <w:rPr>
          <w:rFonts w:ascii="宋体" w:hAnsi="宋体" w:cs="宋体" w:hint="eastAsia"/>
          <w:sz w:val="21"/>
          <w:szCs w:val="21"/>
        </w:rPr>
        <w:t>20</w:t>
      </w:r>
      <w:r>
        <w:rPr>
          <w:rFonts w:ascii="宋体" w:hAnsi="宋体" w:cs="宋体" w:hint="eastAsia"/>
          <w:sz w:val="21"/>
          <w:szCs w:val="21"/>
        </w:rPr>
        <w:t>人以下或营业收入</w:t>
      </w:r>
      <w:r>
        <w:rPr>
          <w:rFonts w:ascii="宋体" w:hAnsi="宋体" w:cs="宋体" w:hint="eastAsia"/>
          <w:sz w:val="21"/>
          <w:szCs w:val="21"/>
        </w:rPr>
        <w:t>200</w:t>
      </w:r>
      <w:r>
        <w:rPr>
          <w:rFonts w:ascii="宋体" w:hAnsi="宋体" w:cs="宋体" w:hint="eastAsia"/>
          <w:sz w:val="21"/>
          <w:szCs w:val="21"/>
        </w:rPr>
        <w:t>万元以下的为微型企业。</w:t>
      </w:r>
      <w:r>
        <w:rPr>
          <w:rFonts w:ascii="宋体" w:hAnsi="宋体" w:cs="宋体" w:hint="eastAsia"/>
          <w:sz w:val="21"/>
          <w:szCs w:val="21"/>
        </w:rPr>
        <w:br/>
      </w:r>
      <w:r>
        <w:rPr>
          <w:rFonts w:ascii="宋体" w:hAnsi="宋体" w:cs="宋体" w:hint="eastAsia"/>
          <w:sz w:val="21"/>
          <w:szCs w:val="21"/>
        </w:rPr>
        <w:t>　　（七）仓储业。从业人员</w:t>
      </w:r>
      <w:r>
        <w:rPr>
          <w:rFonts w:ascii="宋体" w:hAnsi="宋体" w:cs="宋体" w:hint="eastAsia"/>
          <w:sz w:val="21"/>
          <w:szCs w:val="21"/>
        </w:rPr>
        <w:t>200</w:t>
      </w:r>
      <w:r>
        <w:rPr>
          <w:rFonts w:ascii="宋体" w:hAnsi="宋体" w:cs="宋体" w:hint="eastAsia"/>
          <w:sz w:val="21"/>
          <w:szCs w:val="21"/>
        </w:rPr>
        <w:t>人以下或营业收入</w:t>
      </w:r>
      <w:r>
        <w:rPr>
          <w:rFonts w:ascii="宋体" w:hAnsi="宋体" w:cs="宋体" w:hint="eastAsia"/>
          <w:sz w:val="21"/>
          <w:szCs w:val="21"/>
        </w:rPr>
        <w:t>30000</w:t>
      </w:r>
      <w:r>
        <w:rPr>
          <w:rFonts w:ascii="宋体" w:hAnsi="宋体" w:cs="宋体" w:hint="eastAsia"/>
          <w:sz w:val="21"/>
          <w:szCs w:val="21"/>
        </w:rPr>
        <w:t>万元以下的为中小微型企业。其中，从业人员</w:t>
      </w:r>
      <w:r>
        <w:rPr>
          <w:rFonts w:ascii="宋体" w:hAnsi="宋体" w:cs="宋体" w:hint="eastAsia"/>
          <w:sz w:val="21"/>
          <w:szCs w:val="21"/>
        </w:rPr>
        <w:t>100</w:t>
      </w:r>
      <w:r>
        <w:rPr>
          <w:rFonts w:ascii="宋体" w:hAnsi="宋体" w:cs="宋体" w:hint="eastAsia"/>
          <w:sz w:val="21"/>
          <w:szCs w:val="21"/>
        </w:rPr>
        <w:t>人及以上，且营业收入</w:t>
      </w:r>
      <w:r>
        <w:rPr>
          <w:rFonts w:ascii="宋体" w:hAnsi="宋体" w:cs="宋体" w:hint="eastAsia"/>
          <w:sz w:val="21"/>
          <w:szCs w:val="21"/>
        </w:rPr>
        <w:t>1000</w:t>
      </w:r>
      <w:r>
        <w:rPr>
          <w:rFonts w:ascii="宋体" w:hAnsi="宋体" w:cs="宋体" w:hint="eastAsia"/>
          <w:sz w:val="21"/>
          <w:szCs w:val="21"/>
        </w:rPr>
        <w:t>万元及以上的为中型企业；从业人员</w:t>
      </w:r>
      <w:r>
        <w:rPr>
          <w:rFonts w:ascii="宋体" w:hAnsi="宋体" w:cs="宋体" w:hint="eastAsia"/>
          <w:sz w:val="21"/>
          <w:szCs w:val="21"/>
        </w:rPr>
        <w:t>2</w:t>
      </w:r>
      <w:r>
        <w:rPr>
          <w:rFonts w:ascii="宋体" w:hAnsi="宋体" w:cs="宋体" w:hint="eastAsia"/>
          <w:sz w:val="21"/>
          <w:szCs w:val="21"/>
        </w:rPr>
        <w:t>0</w:t>
      </w:r>
      <w:r>
        <w:rPr>
          <w:rFonts w:ascii="宋体" w:hAnsi="宋体" w:cs="宋体" w:hint="eastAsia"/>
          <w:sz w:val="21"/>
          <w:szCs w:val="21"/>
        </w:rPr>
        <w:t>人及以上，且营业收入</w:t>
      </w:r>
      <w:r>
        <w:rPr>
          <w:rFonts w:ascii="宋体" w:hAnsi="宋体" w:cs="宋体" w:hint="eastAsia"/>
          <w:sz w:val="21"/>
          <w:szCs w:val="21"/>
        </w:rPr>
        <w:t>100</w:t>
      </w:r>
      <w:r>
        <w:rPr>
          <w:rFonts w:ascii="宋体" w:hAnsi="宋体" w:cs="宋体" w:hint="eastAsia"/>
          <w:sz w:val="21"/>
          <w:szCs w:val="21"/>
        </w:rPr>
        <w:t>万元及以上的为小型企业；从业人员</w:t>
      </w:r>
      <w:r>
        <w:rPr>
          <w:rFonts w:ascii="宋体" w:hAnsi="宋体" w:cs="宋体" w:hint="eastAsia"/>
          <w:sz w:val="21"/>
          <w:szCs w:val="21"/>
        </w:rPr>
        <w:t>20</w:t>
      </w:r>
      <w:r>
        <w:rPr>
          <w:rFonts w:ascii="宋体" w:hAnsi="宋体" w:cs="宋体" w:hint="eastAsia"/>
          <w:sz w:val="21"/>
          <w:szCs w:val="21"/>
        </w:rPr>
        <w:t>人以下或营业收入</w:t>
      </w:r>
      <w:r>
        <w:rPr>
          <w:rFonts w:ascii="宋体" w:hAnsi="宋体" w:cs="宋体" w:hint="eastAsia"/>
          <w:sz w:val="21"/>
          <w:szCs w:val="21"/>
        </w:rPr>
        <w:t>100</w:t>
      </w:r>
      <w:r>
        <w:rPr>
          <w:rFonts w:ascii="宋体" w:hAnsi="宋体" w:cs="宋体" w:hint="eastAsia"/>
          <w:sz w:val="21"/>
          <w:szCs w:val="21"/>
        </w:rPr>
        <w:t>万元以下的为微型企业。</w:t>
      </w:r>
      <w:r>
        <w:rPr>
          <w:rFonts w:ascii="宋体" w:hAnsi="宋体" w:cs="宋体" w:hint="eastAsia"/>
          <w:sz w:val="21"/>
          <w:szCs w:val="21"/>
        </w:rPr>
        <w:br/>
      </w:r>
      <w:r>
        <w:rPr>
          <w:rFonts w:ascii="宋体" w:hAnsi="宋体" w:cs="宋体" w:hint="eastAsia"/>
          <w:sz w:val="21"/>
          <w:szCs w:val="21"/>
        </w:rPr>
        <w:t>　　（八）邮政业。从业人员</w:t>
      </w:r>
      <w:r>
        <w:rPr>
          <w:rFonts w:ascii="宋体" w:hAnsi="宋体" w:cs="宋体" w:hint="eastAsia"/>
          <w:sz w:val="21"/>
          <w:szCs w:val="21"/>
        </w:rPr>
        <w:t>1000</w:t>
      </w:r>
      <w:r>
        <w:rPr>
          <w:rFonts w:ascii="宋体" w:hAnsi="宋体" w:cs="宋体" w:hint="eastAsia"/>
          <w:sz w:val="21"/>
          <w:szCs w:val="21"/>
        </w:rPr>
        <w:t>人以下或营业收入</w:t>
      </w:r>
      <w:r>
        <w:rPr>
          <w:rFonts w:ascii="宋体" w:hAnsi="宋体" w:cs="宋体" w:hint="eastAsia"/>
          <w:sz w:val="21"/>
          <w:szCs w:val="21"/>
        </w:rPr>
        <w:t>30000</w:t>
      </w:r>
      <w:r>
        <w:rPr>
          <w:rFonts w:ascii="宋体" w:hAnsi="宋体" w:cs="宋体" w:hint="eastAsia"/>
          <w:sz w:val="21"/>
          <w:szCs w:val="21"/>
        </w:rPr>
        <w:t>万元以下的为中小微型企业。其中，从业人员</w:t>
      </w:r>
      <w:r>
        <w:rPr>
          <w:rFonts w:ascii="宋体" w:hAnsi="宋体" w:cs="宋体" w:hint="eastAsia"/>
          <w:sz w:val="21"/>
          <w:szCs w:val="21"/>
        </w:rPr>
        <w:t>300</w:t>
      </w:r>
      <w:r>
        <w:rPr>
          <w:rFonts w:ascii="宋体" w:hAnsi="宋体" w:cs="宋体" w:hint="eastAsia"/>
          <w:sz w:val="21"/>
          <w:szCs w:val="21"/>
        </w:rPr>
        <w:t>人及以上，且营业收入</w:t>
      </w:r>
      <w:r>
        <w:rPr>
          <w:rFonts w:ascii="宋体" w:hAnsi="宋体" w:cs="宋体" w:hint="eastAsia"/>
          <w:sz w:val="21"/>
          <w:szCs w:val="21"/>
        </w:rPr>
        <w:t>2000</w:t>
      </w:r>
      <w:r>
        <w:rPr>
          <w:rFonts w:ascii="宋体" w:hAnsi="宋体" w:cs="宋体" w:hint="eastAsia"/>
          <w:sz w:val="21"/>
          <w:szCs w:val="21"/>
        </w:rPr>
        <w:t>万元及以上的为中型企业；从业人员</w:t>
      </w:r>
      <w:r>
        <w:rPr>
          <w:rFonts w:ascii="宋体" w:hAnsi="宋体" w:cs="宋体" w:hint="eastAsia"/>
          <w:sz w:val="21"/>
          <w:szCs w:val="21"/>
        </w:rPr>
        <w:t>20</w:t>
      </w:r>
      <w:r>
        <w:rPr>
          <w:rFonts w:ascii="宋体" w:hAnsi="宋体" w:cs="宋体" w:hint="eastAsia"/>
          <w:sz w:val="21"/>
          <w:szCs w:val="21"/>
        </w:rPr>
        <w:t>人及以上，且营业收入</w:t>
      </w:r>
      <w:r>
        <w:rPr>
          <w:rFonts w:ascii="宋体" w:hAnsi="宋体" w:cs="宋体" w:hint="eastAsia"/>
          <w:sz w:val="21"/>
          <w:szCs w:val="21"/>
        </w:rPr>
        <w:t>100</w:t>
      </w:r>
      <w:r>
        <w:rPr>
          <w:rFonts w:ascii="宋体" w:hAnsi="宋体" w:cs="宋体" w:hint="eastAsia"/>
          <w:sz w:val="21"/>
          <w:szCs w:val="21"/>
        </w:rPr>
        <w:t>万元及以上的为小型企业；从业人员</w:t>
      </w:r>
      <w:r>
        <w:rPr>
          <w:rFonts w:ascii="宋体" w:hAnsi="宋体" w:cs="宋体" w:hint="eastAsia"/>
          <w:sz w:val="21"/>
          <w:szCs w:val="21"/>
        </w:rPr>
        <w:t>20</w:t>
      </w:r>
      <w:r>
        <w:rPr>
          <w:rFonts w:ascii="宋体" w:hAnsi="宋体" w:cs="宋体" w:hint="eastAsia"/>
          <w:sz w:val="21"/>
          <w:szCs w:val="21"/>
        </w:rPr>
        <w:t>人以下或营业收入</w:t>
      </w:r>
      <w:r>
        <w:rPr>
          <w:rFonts w:ascii="宋体" w:hAnsi="宋体" w:cs="宋体" w:hint="eastAsia"/>
          <w:sz w:val="21"/>
          <w:szCs w:val="21"/>
        </w:rPr>
        <w:t>100</w:t>
      </w:r>
      <w:r>
        <w:rPr>
          <w:rFonts w:ascii="宋体" w:hAnsi="宋体" w:cs="宋体" w:hint="eastAsia"/>
          <w:sz w:val="21"/>
          <w:szCs w:val="21"/>
        </w:rPr>
        <w:t>万元以下的为微型企业。</w:t>
      </w:r>
      <w:r>
        <w:rPr>
          <w:rFonts w:ascii="宋体" w:hAnsi="宋体" w:cs="宋体" w:hint="eastAsia"/>
          <w:sz w:val="21"/>
          <w:szCs w:val="21"/>
        </w:rPr>
        <w:br/>
      </w:r>
      <w:r>
        <w:rPr>
          <w:rFonts w:ascii="宋体" w:hAnsi="宋体" w:cs="宋体" w:hint="eastAsia"/>
          <w:sz w:val="21"/>
          <w:szCs w:val="21"/>
        </w:rPr>
        <w:t>　　（九）住宿业。从业人员</w:t>
      </w:r>
      <w:r>
        <w:rPr>
          <w:rFonts w:ascii="宋体" w:hAnsi="宋体" w:cs="宋体" w:hint="eastAsia"/>
          <w:sz w:val="21"/>
          <w:szCs w:val="21"/>
        </w:rPr>
        <w:t>300</w:t>
      </w:r>
      <w:r>
        <w:rPr>
          <w:rFonts w:ascii="宋体" w:hAnsi="宋体" w:cs="宋体" w:hint="eastAsia"/>
          <w:sz w:val="21"/>
          <w:szCs w:val="21"/>
        </w:rPr>
        <w:t>人以下或营业收入</w:t>
      </w:r>
      <w:r>
        <w:rPr>
          <w:rFonts w:ascii="宋体" w:hAnsi="宋体" w:cs="宋体" w:hint="eastAsia"/>
          <w:sz w:val="21"/>
          <w:szCs w:val="21"/>
        </w:rPr>
        <w:t>10000</w:t>
      </w:r>
      <w:r>
        <w:rPr>
          <w:rFonts w:ascii="宋体" w:hAnsi="宋体" w:cs="宋体" w:hint="eastAsia"/>
          <w:sz w:val="21"/>
          <w:szCs w:val="21"/>
        </w:rPr>
        <w:t>万元以下的为中小微型企业。其中，从业人员</w:t>
      </w:r>
      <w:r>
        <w:rPr>
          <w:rFonts w:ascii="宋体" w:hAnsi="宋体" w:cs="宋体" w:hint="eastAsia"/>
          <w:sz w:val="21"/>
          <w:szCs w:val="21"/>
        </w:rPr>
        <w:t>100</w:t>
      </w:r>
      <w:r>
        <w:rPr>
          <w:rFonts w:ascii="宋体" w:hAnsi="宋体" w:cs="宋体" w:hint="eastAsia"/>
          <w:sz w:val="21"/>
          <w:szCs w:val="21"/>
        </w:rPr>
        <w:t>人及以上，且营业收入</w:t>
      </w:r>
      <w:r>
        <w:rPr>
          <w:rFonts w:ascii="宋体" w:hAnsi="宋体" w:cs="宋体" w:hint="eastAsia"/>
          <w:sz w:val="21"/>
          <w:szCs w:val="21"/>
        </w:rPr>
        <w:t>2000</w:t>
      </w:r>
      <w:r>
        <w:rPr>
          <w:rFonts w:ascii="宋体" w:hAnsi="宋体" w:cs="宋体" w:hint="eastAsia"/>
          <w:sz w:val="21"/>
          <w:szCs w:val="21"/>
        </w:rPr>
        <w:t>万元及以上的为中型企业；从业人员</w:t>
      </w:r>
      <w:r>
        <w:rPr>
          <w:rFonts w:ascii="宋体" w:hAnsi="宋体" w:cs="宋体" w:hint="eastAsia"/>
          <w:sz w:val="21"/>
          <w:szCs w:val="21"/>
        </w:rPr>
        <w:t>10</w:t>
      </w:r>
      <w:r>
        <w:rPr>
          <w:rFonts w:ascii="宋体" w:hAnsi="宋体" w:cs="宋体" w:hint="eastAsia"/>
          <w:sz w:val="21"/>
          <w:szCs w:val="21"/>
        </w:rPr>
        <w:t>人及以上，且营业收入</w:t>
      </w:r>
      <w:r>
        <w:rPr>
          <w:rFonts w:ascii="宋体" w:hAnsi="宋体" w:cs="宋体" w:hint="eastAsia"/>
          <w:sz w:val="21"/>
          <w:szCs w:val="21"/>
        </w:rPr>
        <w:t>100</w:t>
      </w:r>
      <w:r>
        <w:rPr>
          <w:rFonts w:ascii="宋体" w:hAnsi="宋体" w:cs="宋体" w:hint="eastAsia"/>
          <w:sz w:val="21"/>
          <w:szCs w:val="21"/>
        </w:rPr>
        <w:t>万元及以上的为小型企业；从业人员</w:t>
      </w:r>
      <w:r>
        <w:rPr>
          <w:rFonts w:ascii="宋体" w:hAnsi="宋体" w:cs="宋体" w:hint="eastAsia"/>
          <w:sz w:val="21"/>
          <w:szCs w:val="21"/>
        </w:rPr>
        <w:t>10</w:t>
      </w:r>
      <w:r>
        <w:rPr>
          <w:rFonts w:ascii="宋体" w:hAnsi="宋体" w:cs="宋体" w:hint="eastAsia"/>
          <w:sz w:val="21"/>
          <w:szCs w:val="21"/>
        </w:rPr>
        <w:t>人以下或营业收入</w:t>
      </w:r>
      <w:r>
        <w:rPr>
          <w:rFonts w:ascii="宋体" w:hAnsi="宋体" w:cs="宋体" w:hint="eastAsia"/>
          <w:sz w:val="21"/>
          <w:szCs w:val="21"/>
        </w:rPr>
        <w:t>100</w:t>
      </w:r>
      <w:r>
        <w:rPr>
          <w:rFonts w:ascii="宋体" w:hAnsi="宋体" w:cs="宋体" w:hint="eastAsia"/>
          <w:sz w:val="21"/>
          <w:szCs w:val="21"/>
        </w:rPr>
        <w:t>万元以下的为微型企业。</w:t>
      </w:r>
      <w:r>
        <w:rPr>
          <w:rFonts w:ascii="宋体" w:hAnsi="宋体" w:cs="宋体" w:hint="eastAsia"/>
          <w:sz w:val="21"/>
          <w:szCs w:val="21"/>
        </w:rPr>
        <w:br/>
      </w:r>
      <w:r>
        <w:rPr>
          <w:rFonts w:ascii="宋体" w:hAnsi="宋体" w:cs="宋体" w:hint="eastAsia"/>
          <w:sz w:val="21"/>
          <w:szCs w:val="21"/>
        </w:rPr>
        <w:t>　　（十）餐饮业。从业人员</w:t>
      </w:r>
      <w:r>
        <w:rPr>
          <w:rFonts w:ascii="宋体" w:hAnsi="宋体" w:cs="宋体" w:hint="eastAsia"/>
          <w:sz w:val="21"/>
          <w:szCs w:val="21"/>
        </w:rPr>
        <w:t>300</w:t>
      </w:r>
      <w:r>
        <w:rPr>
          <w:rFonts w:ascii="宋体" w:hAnsi="宋体" w:cs="宋体" w:hint="eastAsia"/>
          <w:sz w:val="21"/>
          <w:szCs w:val="21"/>
        </w:rPr>
        <w:t>人以下或营业收入</w:t>
      </w:r>
      <w:r>
        <w:rPr>
          <w:rFonts w:ascii="宋体" w:hAnsi="宋体" w:cs="宋体" w:hint="eastAsia"/>
          <w:sz w:val="21"/>
          <w:szCs w:val="21"/>
        </w:rPr>
        <w:t>10000</w:t>
      </w:r>
      <w:r>
        <w:rPr>
          <w:rFonts w:ascii="宋体" w:hAnsi="宋体" w:cs="宋体" w:hint="eastAsia"/>
          <w:sz w:val="21"/>
          <w:szCs w:val="21"/>
        </w:rPr>
        <w:t>万元以下的为中小微型企业。其中，从业人员</w:t>
      </w:r>
      <w:r>
        <w:rPr>
          <w:rFonts w:ascii="宋体" w:hAnsi="宋体" w:cs="宋体" w:hint="eastAsia"/>
          <w:sz w:val="21"/>
          <w:szCs w:val="21"/>
        </w:rPr>
        <w:t>100</w:t>
      </w:r>
      <w:r>
        <w:rPr>
          <w:rFonts w:ascii="宋体" w:hAnsi="宋体" w:cs="宋体" w:hint="eastAsia"/>
          <w:sz w:val="21"/>
          <w:szCs w:val="21"/>
        </w:rPr>
        <w:t>人及以上，且营业收入</w:t>
      </w:r>
      <w:r>
        <w:rPr>
          <w:rFonts w:ascii="宋体" w:hAnsi="宋体" w:cs="宋体" w:hint="eastAsia"/>
          <w:sz w:val="21"/>
          <w:szCs w:val="21"/>
        </w:rPr>
        <w:t>2000</w:t>
      </w:r>
      <w:r>
        <w:rPr>
          <w:rFonts w:ascii="宋体" w:hAnsi="宋体" w:cs="宋体" w:hint="eastAsia"/>
          <w:sz w:val="21"/>
          <w:szCs w:val="21"/>
        </w:rPr>
        <w:t>万元及以上的为中型企业；从业人员</w:t>
      </w:r>
      <w:r>
        <w:rPr>
          <w:rFonts w:ascii="宋体" w:hAnsi="宋体" w:cs="宋体" w:hint="eastAsia"/>
          <w:sz w:val="21"/>
          <w:szCs w:val="21"/>
        </w:rPr>
        <w:t>10</w:t>
      </w:r>
      <w:r>
        <w:rPr>
          <w:rFonts w:ascii="宋体" w:hAnsi="宋体" w:cs="宋体" w:hint="eastAsia"/>
          <w:sz w:val="21"/>
          <w:szCs w:val="21"/>
        </w:rPr>
        <w:t>人及以上，且营业收入</w:t>
      </w:r>
      <w:r>
        <w:rPr>
          <w:rFonts w:ascii="宋体" w:hAnsi="宋体" w:cs="宋体" w:hint="eastAsia"/>
          <w:sz w:val="21"/>
          <w:szCs w:val="21"/>
        </w:rPr>
        <w:t>100</w:t>
      </w:r>
      <w:r>
        <w:rPr>
          <w:rFonts w:ascii="宋体" w:hAnsi="宋体" w:cs="宋体" w:hint="eastAsia"/>
          <w:sz w:val="21"/>
          <w:szCs w:val="21"/>
        </w:rPr>
        <w:t>万元及以上的为小型企业；从业人员</w:t>
      </w:r>
      <w:r>
        <w:rPr>
          <w:rFonts w:ascii="宋体" w:hAnsi="宋体" w:cs="宋体" w:hint="eastAsia"/>
          <w:sz w:val="21"/>
          <w:szCs w:val="21"/>
        </w:rPr>
        <w:t>10</w:t>
      </w:r>
      <w:r>
        <w:rPr>
          <w:rFonts w:ascii="宋体" w:hAnsi="宋体" w:cs="宋体" w:hint="eastAsia"/>
          <w:sz w:val="21"/>
          <w:szCs w:val="21"/>
        </w:rPr>
        <w:t>人以下或营业收入</w:t>
      </w:r>
      <w:r>
        <w:rPr>
          <w:rFonts w:ascii="宋体" w:hAnsi="宋体" w:cs="宋体" w:hint="eastAsia"/>
          <w:sz w:val="21"/>
          <w:szCs w:val="21"/>
        </w:rPr>
        <w:t>100</w:t>
      </w:r>
      <w:r>
        <w:rPr>
          <w:rFonts w:ascii="宋体" w:hAnsi="宋体" w:cs="宋体" w:hint="eastAsia"/>
          <w:sz w:val="21"/>
          <w:szCs w:val="21"/>
        </w:rPr>
        <w:t>万元以下的为微型企业。</w:t>
      </w:r>
      <w:r>
        <w:rPr>
          <w:rFonts w:ascii="宋体" w:hAnsi="宋体" w:cs="宋体" w:hint="eastAsia"/>
          <w:sz w:val="21"/>
          <w:szCs w:val="21"/>
        </w:rPr>
        <w:br/>
      </w:r>
      <w:r>
        <w:rPr>
          <w:rFonts w:ascii="宋体" w:hAnsi="宋体" w:cs="宋体" w:hint="eastAsia"/>
          <w:sz w:val="21"/>
          <w:szCs w:val="21"/>
        </w:rPr>
        <w:t>　　（十一）信息传输业。从业人员</w:t>
      </w:r>
      <w:r>
        <w:rPr>
          <w:rFonts w:ascii="宋体" w:hAnsi="宋体" w:cs="宋体" w:hint="eastAsia"/>
          <w:sz w:val="21"/>
          <w:szCs w:val="21"/>
        </w:rPr>
        <w:t>2000</w:t>
      </w:r>
      <w:r>
        <w:rPr>
          <w:rFonts w:ascii="宋体" w:hAnsi="宋体" w:cs="宋体" w:hint="eastAsia"/>
          <w:sz w:val="21"/>
          <w:szCs w:val="21"/>
        </w:rPr>
        <w:t>人以下或营业收入</w:t>
      </w:r>
      <w:r>
        <w:rPr>
          <w:rFonts w:ascii="宋体" w:hAnsi="宋体" w:cs="宋体" w:hint="eastAsia"/>
          <w:sz w:val="21"/>
          <w:szCs w:val="21"/>
        </w:rPr>
        <w:t>100000</w:t>
      </w:r>
      <w:r>
        <w:rPr>
          <w:rFonts w:ascii="宋体" w:hAnsi="宋体" w:cs="宋体" w:hint="eastAsia"/>
          <w:sz w:val="21"/>
          <w:szCs w:val="21"/>
        </w:rPr>
        <w:t>万元以下的为中小</w:t>
      </w:r>
      <w:r>
        <w:rPr>
          <w:rFonts w:ascii="宋体" w:hAnsi="宋体" w:cs="宋体" w:hint="eastAsia"/>
          <w:sz w:val="21"/>
          <w:szCs w:val="21"/>
        </w:rPr>
        <w:t>微型企业。其中，从业人员</w:t>
      </w:r>
      <w:r>
        <w:rPr>
          <w:rFonts w:ascii="宋体" w:hAnsi="宋体" w:cs="宋体" w:hint="eastAsia"/>
          <w:sz w:val="21"/>
          <w:szCs w:val="21"/>
        </w:rPr>
        <w:t>100</w:t>
      </w:r>
      <w:r>
        <w:rPr>
          <w:rFonts w:ascii="宋体" w:hAnsi="宋体" w:cs="宋体" w:hint="eastAsia"/>
          <w:sz w:val="21"/>
          <w:szCs w:val="21"/>
        </w:rPr>
        <w:t>人及以上，且营业收入</w:t>
      </w:r>
      <w:r>
        <w:rPr>
          <w:rFonts w:ascii="宋体" w:hAnsi="宋体" w:cs="宋体" w:hint="eastAsia"/>
          <w:sz w:val="21"/>
          <w:szCs w:val="21"/>
        </w:rPr>
        <w:t>1000</w:t>
      </w:r>
      <w:r>
        <w:rPr>
          <w:rFonts w:ascii="宋体" w:hAnsi="宋体" w:cs="宋体" w:hint="eastAsia"/>
          <w:sz w:val="21"/>
          <w:szCs w:val="21"/>
        </w:rPr>
        <w:t>万元及以上的为中型企业；从业人员</w:t>
      </w:r>
      <w:r>
        <w:rPr>
          <w:rFonts w:ascii="宋体" w:hAnsi="宋体" w:cs="宋体" w:hint="eastAsia"/>
          <w:sz w:val="21"/>
          <w:szCs w:val="21"/>
        </w:rPr>
        <w:t>10</w:t>
      </w:r>
      <w:r>
        <w:rPr>
          <w:rFonts w:ascii="宋体" w:hAnsi="宋体" w:cs="宋体" w:hint="eastAsia"/>
          <w:sz w:val="21"/>
          <w:szCs w:val="21"/>
        </w:rPr>
        <w:t>人及以上，且营业收入</w:t>
      </w:r>
      <w:r>
        <w:rPr>
          <w:rFonts w:ascii="宋体" w:hAnsi="宋体" w:cs="宋体" w:hint="eastAsia"/>
          <w:sz w:val="21"/>
          <w:szCs w:val="21"/>
        </w:rPr>
        <w:t>100</w:t>
      </w:r>
      <w:r>
        <w:rPr>
          <w:rFonts w:ascii="宋体" w:hAnsi="宋体" w:cs="宋体" w:hint="eastAsia"/>
          <w:sz w:val="21"/>
          <w:szCs w:val="21"/>
        </w:rPr>
        <w:t>万元及以上的为小型企业；从业人员</w:t>
      </w:r>
      <w:r>
        <w:rPr>
          <w:rFonts w:ascii="宋体" w:hAnsi="宋体" w:cs="宋体" w:hint="eastAsia"/>
          <w:sz w:val="21"/>
          <w:szCs w:val="21"/>
        </w:rPr>
        <w:t>10</w:t>
      </w:r>
      <w:r>
        <w:rPr>
          <w:rFonts w:ascii="宋体" w:hAnsi="宋体" w:cs="宋体" w:hint="eastAsia"/>
          <w:sz w:val="21"/>
          <w:szCs w:val="21"/>
        </w:rPr>
        <w:t>人以下或营业收入</w:t>
      </w:r>
      <w:r>
        <w:rPr>
          <w:rFonts w:ascii="宋体" w:hAnsi="宋体" w:cs="宋体" w:hint="eastAsia"/>
          <w:sz w:val="21"/>
          <w:szCs w:val="21"/>
        </w:rPr>
        <w:t>100</w:t>
      </w:r>
      <w:r>
        <w:rPr>
          <w:rFonts w:ascii="宋体" w:hAnsi="宋体" w:cs="宋体" w:hint="eastAsia"/>
          <w:sz w:val="21"/>
          <w:szCs w:val="21"/>
        </w:rPr>
        <w:t>万元以下的为微型企业。</w:t>
      </w:r>
      <w:r>
        <w:rPr>
          <w:rFonts w:ascii="宋体" w:hAnsi="宋体" w:cs="宋体" w:hint="eastAsia"/>
          <w:sz w:val="21"/>
          <w:szCs w:val="21"/>
        </w:rPr>
        <w:br/>
      </w:r>
      <w:r>
        <w:rPr>
          <w:rFonts w:ascii="宋体" w:hAnsi="宋体" w:cs="宋体" w:hint="eastAsia"/>
          <w:sz w:val="21"/>
          <w:szCs w:val="21"/>
        </w:rPr>
        <w:t>　　（十二）软件和信息技术服务业。从业人员</w:t>
      </w:r>
      <w:r>
        <w:rPr>
          <w:rFonts w:ascii="宋体" w:hAnsi="宋体" w:cs="宋体" w:hint="eastAsia"/>
          <w:sz w:val="21"/>
          <w:szCs w:val="21"/>
        </w:rPr>
        <w:t>300</w:t>
      </w:r>
      <w:r>
        <w:rPr>
          <w:rFonts w:ascii="宋体" w:hAnsi="宋体" w:cs="宋体" w:hint="eastAsia"/>
          <w:sz w:val="21"/>
          <w:szCs w:val="21"/>
        </w:rPr>
        <w:t>人以下或营业收入</w:t>
      </w:r>
      <w:r>
        <w:rPr>
          <w:rFonts w:ascii="宋体" w:hAnsi="宋体" w:cs="宋体" w:hint="eastAsia"/>
          <w:sz w:val="21"/>
          <w:szCs w:val="21"/>
        </w:rPr>
        <w:t>10000</w:t>
      </w:r>
      <w:r>
        <w:rPr>
          <w:rFonts w:ascii="宋体" w:hAnsi="宋体" w:cs="宋体" w:hint="eastAsia"/>
          <w:sz w:val="21"/>
          <w:szCs w:val="21"/>
        </w:rPr>
        <w:t>万元以下的为中小微型企业。其中，从业人员</w:t>
      </w:r>
      <w:r>
        <w:rPr>
          <w:rFonts w:ascii="宋体" w:hAnsi="宋体" w:cs="宋体" w:hint="eastAsia"/>
          <w:sz w:val="21"/>
          <w:szCs w:val="21"/>
        </w:rPr>
        <w:t>100</w:t>
      </w:r>
      <w:r>
        <w:rPr>
          <w:rFonts w:ascii="宋体" w:hAnsi="宋体" w:cs="宋体" w:hint="eastAsia"/>
          <w:sz w:val="21"/>
          <w:szCs w:val="21"/>
        </w:rPr>
        <w:t>人及以上，且营业收入</w:t>
      </w:r>
      <w:r>
        <w:rPr>
          <w:rFonts w:ascii="宋体" w:hAnsi="宋体" w:cs="宋体" w:hint="eastAsia"/>
          <w:sz w:val="21"/>
          <w:szCs w:val="21"/>
        </w:rPr>
        <w:t>1000</w:t>
      </w:r>
      <w:r>
        <w:rPr>
          <w:rFonts w:ascii="宋体" w:hAnsi="宋体" w:cs="宋体" w:hint="eastAsia"/>
          <w:sz w:val="21"/>
          <w:szCs w:val="21"/>
        </w:rPr>
        <w:t>万元及以上的为中型企业；从业人员</w:t>
      </w:r>
      <w:r>
        <w:rPr>
          <w:rFonts w:ascii="宋体" w:hAnsi="宋体" w:cs="宋体" w:hint="eastAsia"/>
          <w:sz w:val="21"/>
          <w:szCs w:val="21"/>
        </w:rPr>
        <w:t>10</w:t>
      </w:r>
      <w:r>
        <w:rPr>
          <w:rFonts w:ascii="宋体" w:hAnsi="宋体" w:cs="宋体" w:hint="eastAsia"/>
          <w:sz w:val="21"/>
          <w:szCs w:val="21"/>
        </w:rPr>
        <w:t>人及以上，且营业收入</w:t>
      </w:r>
      <w:r>
        <w:rPr>
          <w:rFonts w:ascii="宋体" w:hAnsi="宋体" w:cs="宋体" w:hint="eastAsia"/>
          <w:sz w:val="21"/>
          <w:szCs w:val="21"/>
        </w:rPr>
        <w:t>50</w:t>
      </w:r>
      <w:r>
        <w:rPr>
          <w:rFonts w:ascii="宋体" w:hAnsi="宋体" w:cs="宋体" w:hint="eastAsia"/>
          <w:sz w:val="21"/>
          <w:szCs w:val="21"/>
        </w:rPr>
        <w:t>万元及以上的为小型企业；从业人员</w:t>
      </w:r>
      <w:r>
        <w:rPr>
          <w:rFonts w:ascii="宋体" w:hAnsi="宋体" w:cs="宋体" w:hint="eastAsia"/>
          <w:sz w:val="21"/>
          <w:szCs w:val="21"/>
        </w:rPr>
        <w:t>10</w:t>
      </w:r>
      <w:r>
        <w:rPr>
          <w:rFonts w:ascii="宋体" w:hAnsi="宋体" w:cs="宋体" w:hint="eastAsia"/>
          <w:sz w:val="21"/>
          <w:szCs w:val="21"/>
        </w:rPr>
        <w:t>人以下或营业收入</w:t>
      </w:r>
      <w:r>
        <w:rPr>
          <w:rFonts w:ascii="宋体" w:hAnsi="宋体" w:cs="宋体" w:hint="eastAsia"/>
          <w:sz w:val="21"/>
          <w:szCs w:val="21"/>
        </w:rPr>
        <w:t>50</w:t>
      </w:r>
      <w:r>
        <w:rPr>
          <w:rFonts w:ascii="宋体" w:hAnsi="宋体" w:cs="宋体" w:hint="eastAsia"/>
          <w:sz w:val="21"/>
          <w:szCs w:val="21"/>
        </w:rPr>
        <w:t>万元以下的为微型企业。</w:t>
      </w:r>
      <w:r>
        <w:rPr>
          <w:rFonts w:ascii="宋体" w:hAnsi="宋体" w:cs="宋体" w:hint="eastAsia"/>
          <w:sz w:val="21"/>
          <w:szCs w:val="21"/>
        </w:rPr>
        <w:br/>
      </w:r>
      <w:r>
        <w:rPr>
          <w:rFonts w:ascii="宋体" w:hAnsi="宋体" w:cs="宋体" w:hint="eastAsia"/>
          <w:sz w:val="21"/>
          <w:szCs w:val="21"/>
        </w:rPr>
        <w:t>　　（十三）房地产开发</w:t>
      </w:r>
      <w:r>
        <w:rPr>
          <w:rFonts w:ascii="宋体" w:hAnsi="宋体" w:cs="宋体" w:hint="eastAsia"/>
          <w:sz w:val="21"/>
          <w:szCs w:val="21"/>
        </w:rPr>
        <w:t>经营。营业收入</w:t>
      </w:r>
      <w:r>
        <w:rPr>
          <w:rFonts w:ascii="宋体" w:hAnsi="宋体" w:cs="宋体" w:hint="eastAsia"/>
          <w:sz w:val="21"/>
          <w:szCs w:val="21"/>
        </w:rPr>
        <w:t>200000</w:t>
      </w:r>
      <w:r>
        <w:rPr>
          <w:rFonts w:ascii="宋体" w:hAnsi="宋体" w:cs="宋体" w:hint="eastAsia"/>
          <w:sz w:val="21"/>
          <w:szCs w:val="21"/>
        </w:rPr>
        <w:t>万元以下或资产总额</w:t>
      </w:r>
      <w:r>
        <w:rPr>
          <w:rFonts w:ascii="宋体" w:hAnsi="宋体" w:cs="宋体" w:hint="eastAsia"/>
          <w:sz w:val="21"/>
          <w:szCs w:val="21"/>
        </w:rPr>
        <w:t>10000</w:t>
      </w:r>
      <w:r>
        <w:rPr>
          <w:rFonts w:ascii="宋体" w:hAnsi="宋体" w:cs="宋体" w:hint="eastAsia"/>
          <w:sz w:val="21"/>
          <w:szCs w:val="21"/>
        </w:rPr>
        <w:t>万元以下的为中小微型企业。其中，营业收入</w:t>
      </w:r>
      <w:r>
        <w:rPr>
          <w:rFonts w:ascii="宋体" w:hAnsi="宋体" w:cs="宋体" w:hint="eastAsia"/>
          <w:sz w:val="21"/>
          <w:szCs w:val="21"/>
        </w:rPr>
        <w:t>1000</w:t>
      </w:r>
      <w:r>
        <w:rPr>
          <w:rFonts w:ascii="宋体" w:hAnsi="宋体" w:cs="宋体" w:hint="eastAsia"/>
          <w:sz w:val="21"/>
          <w:szCs w:val="21"/>
        </w:rPr>
        <w:t>万元及以上，且资产总额</w:t>
      </w:r>
      <w:r>
        <w:rPr>
          <w:rFonts w:ascii="宋体" w:hAnsi="宋体" w:cs="宋体" w:hint="eastAsia"/>
          <w:sz w:val="21"/>
          <w:szCs w:val="21"/>
        </w:rPr>
        <w:t>5000</w:t>
      </w:r>
      <w:r>
        <w:rPr>
          <w:rFonts w:ascii="宋体" w:hAnsi="宋体" w:cs="宋体" w:hint="eastAsia"/>
          <w:sz w:val="21"/>
          <w:szCs w:val="21"/>
        </w:rPr>
        <w:t>万元及以上的为中型企业；营业收入</w:t>
      </w:r>
      <w:r>
        <w:rPr>
          <w:rFonts w:ascii="宋体" w:hAnsi="宋体" w:cs="宋体" w:hint="eastAsia"/>
          <w:sz w:val="21"/>
          <w:szCs w:val="21"/>
        </w:rPr>
        <w:t>100</w:t>
      </w:r>
      <w:r>
        <w:rPr>
          <w:rFonts w:ascii="宋体" w:hAnsi="宋体" w:cs="宋体" w:hint="eastAsia"/>
          <w:sz w:val="21"/>
          <w:szCs w:val="21"/>
        </w:rPr>
        <w:t>万元及以上，且资产总额</w:t>
      </w:r>
      <w:r>
        <w:rPr>
          <w:rFonts w:ascii="宋体" w:hAnsi="宋体" w:cs="宋体" w:hint="eastAsia"/>
          <w:sz w:val="21"/>
          <w:szCs w:val="21"/>
        </w:rPr>
        <w:t>2000</w:t>
      </w:r>
      <w:r>
        <w:rPr>
          <w:rFonts w:ascii="宋体" w:hAnsi="宋体" w:cs="宋体" w:hint="eastAsia"/>
          <w:sz w:val="21"/>
          <w:szCs w:val="21"/>
        </w:rPr>
        <w:t>万元及以上的为小型企业；营业收入</w:t>
      </w:r>
      <w:r>
        <w:rPr>
          <w:rFonts w:ascii="宋体" w:hAnsi="宋体" w:cs="宋体" w:hint="eastAsia"/>
          <w:sz w:val="21"/>
          <w:szCs w:val="21"/>
        </w:rPr>
        <w:t>100</w:t>
      </w:r>
      <w:r>
        <w:rPr>
          <w:rFonts w:ascii="宋体" w:hAnsi="宋体" w:cs="宋体" w:hint="eastAsia"/>
          <w:sz w:val="21"/>
          <w:szCs w:val="21"/>
        </w:rPr>
        <w:t>万元以下或资产总额</w:t>
      </w:r>
      <w:r>
        <w:rPr>
          <w:rFonts w:ascii="宋体" w:hAnsi="宋体" w:cs="宋体" w:hint="eastAsia"/>
          <w:sz w:val="21"/>
          <w:szCs w:val="21"/>
        </w:rPr>
        <w:t>2000</w:t>
      </w:r>
      <w:r>
        <w:rPr>
          <w:rFonts w:ascii="宋体" w:hAnsi="宋体" w:cs="宋体" w:hint="eastAsia"/>
          <w:sz w:val="21"/>
          <w:szCs w:val="21"/>
        </w:rPr>
        <w:t>万元以下的为微型企业。</w:t>
      </w:r>
      <w:r>
        <w:rPr>
          <w:rFonts w:ascii="宋体" w:hAnsi="宋体" w:cs="宋体" w:hint="eastAsia"/>
          <w:sz w:val="21"/>
          <w:szCs w:val="21"/>
        </w:rPr>
        <w:br/>
      </w:r>
      <w:r>
        <w:rPr>
          <w:rFonts w:ascii="宋体" w:hAnsi="宋体" w:cs="宋体" w:hint="eastAsia"/>
          <w:sz w:val="21"/>
          <w:szCs w:val="21"/>
        </w:rPr>
        <w:t>　　（十四）物业管理。从业人员</w:t>
      </w:r>
      <w:r>
        <w:rPr>
          <w:rFonts w:ascii="宋体" w:hAnsi="宋体" w:cs="宋体" w:hint="eastAsia"/>
          <w:sz w:val="21"/>
          <w:szCs w:val="21"/>
        </w:rPr>
        <w:t>1000</w:t>
      </w:r>
      <w:r>
        <w:rPr>
          <w:rFonts w:ascii="宋体" w:hAnsi="宋体" w:cs="宋体" w:hint="eastAsia"/>
          <w:sz w:val="21"/>
          <w:szCs w:val="21"/>
        </w:rPr>
        <w:t>人以下或营业收入</w:t>
      </w:r>
      <w:r>
        <w:rPr>
          <w:rFonts w:ascii="宋体" w:hAnsi="宋体" w:cs="宋体" w:hint="eastAsia"/>
          <w:sz w:val="21"/>
          <w:szCs w:val="21"/>
        </w:rPr>
        <w:t>5000</w:t>
      </w:r>
      <w:r>
        <w:rPr>
          <w:rFonts w:ascii="宋体" w:hAnsi="宋体" w:cs="宋体" w:hint="eastAsia"/>
          <w:sz w:val="21"/>
          <w:szCs w:val="21"/>
        </w:rPr>
        <w:t>万元以下的为中小微型企业。其中，从业人员</w:t>
      </w:r>
      <w:r>
        <w:rPr>
          <w:rFonts w:ascii="宋体" w:hAnsi="宋体" w:cs="宋体" w:hint="eastAsia"/>
          <w:sz w:val="21"/>
          <w:szCs w:val="21"/>
        </w:rPr>
        <w:t>300</w:t>
      </w:r>
      <w:r>
        <w:rPr>
          <w:rFonts w:ascii="宋体" w:hAnsi="宋体" w:cs="宋体" w:hint="eastAsia"/>
          <w:sz w:val="21"/>
          <w:szCs w:val="21"/>
        </w:rPr>
        <w:t>人及以上，且营业收入</w:t>
      </w:r>
      <w:r>
        <w:rPr>
          <w:rFonts w:ascii="宋体" w:hAnsi="宋体" w:cs="宋体" w:hint="eastAsia"/>
          <w:sz w:val="21"/>
          <w:szCs w:val="21"/>
        </w:rPr>
        <w:t>1000</w:t>
      </w:r>
      <w:r>
        <w:rPr>
          <w:rFonts w:ascii="宋体" w:hAnsi="宋体" w:cs="宋体" w:hint="eastAsia"/>
          <w:sz w:val="21"/>
          <w:szCs w:val="21"/>
        </w:rPr>
        <w:t>万元及以上的为中型企业；从业人员</w:t>
      </w:r>
      <w:r>
        <w:rPr>
          <w:rFonts w:ascii="宋体" w:hAnsi="宋体" w:cs="宋体" w:hint="eastAsia"/>
          <w:sz w:val="21"/>
          <w:szCs w:val="21"/>
        </w:rPr>
        <w:t>100</w:t>
      </w:r>
      <w:r>
        <w:rPr>
          <w:rFonts w:ascii="宋体" w:hAnsi="宋体" w:cs="宋体" w:hint="eastAsia"/>
          <w:sz w:val="21"/>
          <w:szCs w:val="21"/>
        </w:rPr>
        <w:t>人及以上，且营业收入</w:t>
      </w:r>
      <w:r>
        <w:rPr>
          <w:rFonts w:ascii="宋体" w:hAnsi="宋体" w:cs="宋体" w:hint="eastAsia"/>
          <w:sz w:val="21"/>
          <w:szCs w:val="21"/>
        </w:rPr>
        <w:t>500</w:t>
      </w:r>
      <w:r>
        <w:rPr>
          <w:rFonts w:ascii="宋体" w:hAnsi="宋体" w:cs="宋体" w:hint="eastAsia"/>
          <w:sz w:val="21"/>
          <w:szCs w:val="21"/>
        </w:rPr>
        <w:t>万元及以上的为小型企业；</w:t>
      </w:r>
      <w:r>
        <w:rPr>
          <w:rFonts w:ascii="宋体" w:hAnsi="宋体" w:cs="宋体" w:hint="eastAsia"/>
          <w:sz w:val="21"/>
          <w:szCs w:val="21"/>
        </w:rPr>
        <w:t>从业人员</w:t>
      </w:r>
      <w:r>
        <w:rPr>
          <w:rFonts w:ascii="宋体" w:hAnsi="宋体" w:cs="宋体" w:hint="eastAsia"/>
          <w:sz w:val="21"/>
          <w:szCs w:val="21"/>
        </w:rPr>
        <w:t>100</w:t>
      </w:r>
      <w:r>
        <w:rPr>
          <w:rFonts w:ascii="宋体" w:hAnsi="宋体" w:cs="宋体" w:hint="eastAsia"/>
          <w:sz w:val="21"/>
          <w:szCs w:val="21"/>
        </w:rPr>
        <w:t>人以下或营业收入</w:t>
      </w:r>
      <w:r>
        <w:rPr>
          <w:rFonts w:ascii="宋体" w:hAnsi="宋体" w:cs="宋体" w:hint="eastAsia"/>
          <w:sz w:val="21"/>
          <w:szCs w:val="21"/>
        </w:rPr>
        <w:t>500</w:t>
      </w:r>
      <w:r>
        <w:rPr>
          <w:rFonts w:ascii="宋体" w:hAnsi="宋体" w:cs="宋体" w:hint="eastAsia"/>
          <w:sz w:val="21"/>
          <w:szCs w:val="21"/>
        </w:rPr>
        <w:t>万元以下的为微型企业。</w:t>
      </w:r>
      <w:r>
        <w:rPr>
          <w:rFonts w:ascii="宋体" w:hAnsi="宋体" w:cs="宋体" w:hint="eastAsia"/>
          <w:sz w:val="21"/>
          <w:szCs w:val="21"/>
        </w:rPr>
        <w:br/>
      </w:r>
      <w:r>
        <w:rPr>
          <w:rFonts w:ascii="宋体" w:hAnsi="宋体" w:cs="宋体" w:hint="eastAsia"/>
          <w:sz w:val="21"/>
          <w:szCs w:val="21"/>
        </w:rPr>
        <w:t>　　（十五）租赁和商务服务业。从业人员</w:t>
      </w:r>
      <w:r>
        <w:rPr>
          <w:rFonts w:ascii="宋体" w:hAnsi="宋体" w:cs="宋体" w:hint="eastAsia"/>
          <w:sz w:val="21"/>
          <w:szCs w:val="21"/>
        </w:rPr>
        <w:t>300</w:t>
      </w:r>
      <w:r>
        <w:rPr>
          <w:rFonts w:ascii="宋体" w:hAnsi="宋体" w:cs="宋体" w:hint="eastAsia"/>
          <w:sz w:val="21"/>
          <w:szCs w:val="21"/>
        </w:rPr>
        <w:t>人以下或资产总额</w:t>
      </w:r>
      <w:r>
        <w:rPr>
          <w:rFonts w:ascii="宋体" w:hAnsi="宋体" w:cs="宋体" w:hint="eastAsia"/>
          <w:sz w:val="21"/>
          <w:szCs w:val="21"/>
        </w:rPr>
        <w:t>120000</w:t>
      </w:r>
      <w:r>
        <w:rPr>
          <w:rFonts w:ascii="宋体" w:hAnsi="宋体" w:cs="宋体" w:hint="eastAsia"/>
          <w:sz w:val="21"/>
          <w:szCs w:val="21"/>
        </w:rPr>
        <w:t>万元以下的为中小微型企业。其中，从业人员</w:t>
      </w:r>
      <w:r>
        <w:rPr>
          <w:rFonts w:ascii="宋体" w:hAnsi="宋体" w:cs="宋体" w:hint="eastAsia"/>
          <w:sz w:val="21"/>
          <w:szCs w:val="21"/>
        </w:rPr>
        <w:t>100</w:t>
      </w:r>
      <w:r>
        <w:rPr>
          <w:rFonts w:ascii="宋体" w:hAnsi="宋体" w:cs="宋体" w:hint="eastAsia"/>
          <w:sz w:val="21"/>
          <w:szCs w:val="21"/>
        </w:rPr>
        <w:t>人及以上，且资产总额</w:t>
      </w:r>
      <w:r>
        <w:rPr>
          <w:rFonts w:ascii="宋体" w:hAnsi="宋体" w:cs="宋体" w:hint="eastAsia"/>
          <w:sz w:val="21"/>
          <w:szCs w:val="21"/>
        </w:rPr>
        <w:t>8000</w:t>
      </w:r>
      <w:r>
        <w:rPr>
          <w:rFonts w:ascii="宋体" w:hAnsi="宋体" w:cs="宋体" w:hint="eastAsia"/>
          <w:sz w:val="21"/>
          <w:szCs w:val="21"/>
        </w:rPr>
        <w:t>万元及以上的为中型企业；从业人员</w:t>
      </w:r>
      <w:r>
        <w:rPr>
          <w:rFonts w:ascii="宋体" w:hAnsi="宋体" w:cs="宋体" w:hint="eastAsia"/>
          <w:sz w:val="21"/>
          <w:szCs w:val="21"/>
        </w:rPr>
        <w:t>10</w:t>
      </w:r>
      <w:r>
        <w:rPr>
          <w:rFonts w:ascii="宋体" w:hAnsi="宋体" w:cs="宋体" w:hint="eastAsia"/>
          <w:sz w:val="21"/>
          <w:szCs w:val="21"/>
        </w:rPr>
        <w:t>人及以上，且资产总额</w:t>
      </w:r>
      <w:r>
        <w:rPr>
          <w:rFonts w:ascii="宋体" w:hAnsi="宋体" w:cs="宋体" w:hint="eastAsia"/>
          <w:sz w:val="21"/>
          <w:szCs w:val="21"/>
        </w:rPr>
        <w:t>100</w:t>
      </w:r>
      <w:r>
        <w:rPr>
          <w:rFonts w:ascii="宋体" w:hAnsi="宋体" w:cs="宋体" w:hint="eastAsia"/>
          <w:sz w:val="21"/>
          <w:szCs w:val="21"/>
        </w:rPr>
        <w:t>万元及以上的为小型企业；从业人员</w:t>
      </w:r>
      <w:r>
        <w:rPr>
          <w:rFonts w:ascii="宋体" w:hAnsi="宋体" w:cs="宋体" w:hint="eastAsia"/>
          <w:sz w:val="21"/>
          <w:szCs w:val="21"/>
        </w:rPr>
        <w:t>10</w:t>
      </w:r>
      <w:r>
        <w:rPr>
          <w:rFonts w:ascii="宋体" w:hAnsi="宋体" w:cs="宋体" w:hint="eastAsia"/>
          <w:sz w:val="21"/>
          <w:szCs w:val="21"/>
        </w:rPr>
        <w:t>人以下或资产总额</w:t>
      </w:r>
      <w:r>
        <w:rPr>
          <w:rFonts w:ascii="宋体" w:hAnsi="宋体" w:cs="宋体" w:hint="eastAsia"/>
          <w:sz w:val="21"/>
          <w:szCs w:val="21"/>
        </w:rPr>
        <w:t>100</w:t>
      </w:r>
      <w:r>
        <w:rPr>
          <w:rFonts w:ascii="宋体" w:hAnsi="宋体" w:cs="宋体" w:hint="eastAsia"/>
          <w:sz w:val="21"/>
          <w:szCs w:val="21"/>
        </w:rPr>
        <w:t>万元以下的为微型企业。</w:t>
      </w:r>
      <w:r>
        <w:rPr>
          <w:rFonts w:ascii="宋体" w:hAnsi="宋体" w:cs="宋体" w:hint="eastAsia"/>
          <w:sz w:val="21"/>
          <w:szCs w:val="21"/>
        </w:rPr>
        <w:br/>
      </w:r>
      <w:r>
        <w:rPr>
          <w:rFonts w:ascii="宋体" w:hAnsi="宋体" w:cs="宋体" w:hint="eastAsia"/>
          <w:sz w:val="21"/>
          <w:szCs w:val="21"/>
        </w:rPr>
        <w:t>　　（十六）其他未列明行业。从业人员</w:t>
      </w:r>
      <w:r>
        <w:rPr>
          <w:rFonts w:ascii="宋体" w:hAnsi="宋体" w:cs="宋体" w:hint="eastAsia"/>
          <w:sz w:val="21"/>
          <w:szCs w:val="21"/>
        </w:rPr>
        <w:t>300</w:t>
      </w:r>
      <w:r>
        <w:rPr>
          <w:rFonts w:ascii="宋体" w:hAnsi="宋体" w:cs="宋体" w:hint="eastAsia"/>
          <w:sz w:val="21"/>
          <w:szCs w:val="21"/>
        </w:rPr>
        <w:t>人以下的为中小微型企业。其中，从业人员</w:t>
      </w:r>
      <w:r>
        <w:rPr>
          <w:rFonts w:ascii="宋体" w:hAnsi="宋体" w:cs="宋体" w:hint="eastAsia"/>
          <w:sz w:val="21"/>
          <w:szCs w:val="21"/>
        </w:rPr>
        <w:t>100</w:t>
      </w:r>
      <w:r>
        <w:rPr>
          <w:rFonts w:ascii="宋体" w:hAnsi="宋体" w:cs="宋体" w:hint="eastAsia"/>
          <w:sz w:val="21"/>
          <w:szCs w:val="21"/>
        </w:rPr>
        <w:t>人及以上的为中型企业；从业人员</w:t>
      </w:r>
      <w:r>
        <w:rPr>
          <w:rFonts w:ascii="宋体" w:hAnsi="宋体" w:cs="宋体" w:hint="eastAsia"/>
          <w:sz w:val="21"/>
          <w:szCs w:val="21"/>
        </w:rPr>
        <w:t>10</w:t>
      </w:r>
      <w:r>
        <w:rPr>
          <w:rFonts w:ascii="宋体" w:hAnsi="宋体" w:cs="宋体" w:hint="eastAsia"/>
          <w:sz w:val="21"/>
          <w:szCs w:val="21"/>
        </w:rPr>
        <w:t>人及以上的为小型企业；从业人员</w:t>
      </w:r>
      <w:r>
        <w:rPr>
          <w:rFonts w:ascii="宋体" w:hAnsi="宋体" w:cs="宋体" w:hint="eastAsia"/>
          <w:sz w:val="21"/>
          <w:szCs w:val="21"/>
        </w:rPr>
        <w:t>10</w:t>
      </w:r>
      <w:r>
        <w:rPr>
          <w:rFonts w:ascii="宋体" w:hAnsi="宋体" w:cs="宋体" w:hint="eastAsia"/>
          <w:sz w:val="21"/>
          <w:szCs w:val="21"/>
        </w:rPr>
        <w:t>人以下的</w:t>
      </w:r>
      <w:r>
        <w:rPr>
          <w:rFonts w:ascii="宋体" w:hAnsi="宋体" w:cs="宋体" w:hint="eastAsia"/>
          <w:sz w:val="21"/>
          <w:szCs w:val="21"/>
        </w:rPr>
        <w:t>为微型企业。</w:t>
      </w:r>
      <w:r>
        <w:rPr>
          <w:rFonts w:ascii="宋体" w:hAnsi="宋体" w:cs="宋体" w:hint="eastAsia"/>
          <w:sz w:val="21"/>
          <w:szCs w:val="21"/>
        </w:rPr>
        <w:br/>
      </w:r>
      <w:r>
        <w:rPr>
          <w:rFonts w:ascii="宋体" w:hAnsi="宋体" w:cs="宋体" w:hint="eastAsia"/>
          <w:sz w:val="21"/>
          <w:szCs w:val="21"/>
        </w:rPr>
        <w:t>　　五、企业类型的划分以统计部门的统计数据为依据。</w:t>
      </w:r>
      <w:r>
        <w:rPr>
          <w:rFonts w:ascii="宋体" w:hAnsi="宋体" w:cs="宋体" w:hint="eastAsia"/>
          <w:sz w:val="21"/>
          <w:szCs w:val="21"/>
        </w:rPr>
        <w:br/>
      </w:r>
      <w:r>
        <w:rPr>
          <w:rFonts w:ascii="宋体" w:hAnsi="宋体" w:cs="宋体" w:hint="eastAsia"/>
          <w:sz w:val="21"/>
          <w:szCs w:val="21"/>
        </w:rPr>
        <w:t>　　六、本规定适用于在中华人民共和国境内依法设立的各类所有制和各种组织形式的企业。个体工商户和本规定以外的行业，参照本规定进行划型。</w:t>
      </w:r>
      <w:r>
        <w:rPr>
          <w:rFonts w:ascii="宋体" w:hAnsi="宋体" w:cs="宋体" w:hint="eastAsia"/>
          <w:sz w:val="21"/>
          <w:szCs w:val="21"/>
        </w:rPr>
        <w:br/>
      </w:r>
      <w:r>
        <w:rPr>
          <w:rFonts w:ascii="宋体" w:hAnsi="宋体" w:cs="宋体" w:hint="eastAsia"/>
          <w:sz w:val="21"/>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ascii="宋体" w:hAnsi="宋体" w:cs="宋体" w:hint="eastAsia"/>
          <w:sz w:val="21"/>
          <w:szCs w:val="21"/>
        </w:rPr>
        <w:br/>
      </w:r>
      <w:r>
        <w:rPr>
          <w:rFonts w:ascii="宋体" w:hAnsi="宋体" w:cs="宋体" w:hint="eastAsia"/>
          <w:sz w:val="21"/>
          <w:szCs w:val="21"/>
        </w:rPr>
        <w:t>　　八、本规定由工业和信息化部、国家统计局会同有关部门根据《国民经济行业分类》修订情况和企业发展变化情况适时修订。</w:t>
      </w:r>
      <w:r>
        <w:rPr>
          <w:rFonts w:ascii="宋体" w:hAnsi="宋体" w:cs="宋体" w:hint="eastAsia"/>
          <w:sz w:val="21"/>
          <w:szCs w:val="21"/>
        </w:rPr>
        <w:br/>
      </w:r>
      <w:r>
        <w:rPr>
          <w:rFonts w:ascii="宋体" w:hAnsi="宋体" w:cs="宋体" w:hint="eastAsia"/>
          <w:sz w:val="21"/>
          <w:szCs w:val="21"/>
        </w:rPr>
        <w:t>　　九、本规定由工</w:t>
      </w:r>
      <w:r>
        <w:rPr>
          <w:rFonts w:ascii="宋体" w:hAnsi="宋体" w:cs="宋体" w:hint="eastAsia"/>
          <w:sz w:val="21"/>
          <w:szCs w:val="21"/>
        </w:rPr>
        <w:t>业和信息化部、国家统计局会同有关部门负责解释。</w:t>
      </w:r>
      <w:r>
        <w:rPr>
          <w:rFonts w:ascii="宋体" w:hAnsi="宋体" w:cs="宋体" w:hint="eastAsia"/>
          <w:sz w:val="21"/>
          <w:szCs w:val="21"/>
        </w:rPr>
        <w:br/>
      </w:r>
      <w:r>
        <w:rPr>
          <w:rFonts w:ascii="宋体" w:hAnsi="宋体" w:cs="宋体" w:hint="eastAsia"/>
          <w:sz w:val="21"/>
          <w:szCs w:val="21"/>
        </w:rPr>
        <w:t>　　十、本规定自发布之日起执行，原国家经贸委、原国家计委、财政部和国家统计局</w:t>
      </w:r>
      <w:r>
        <w:rPr>
          <w:rFonts w:ascii="宋体" w:hAnsi="宋体" w:cs="宋体" w:hint="eastAsia"/>
          <w:sz w:val="21"/>
          <w:szCs w:val="21"/>
        </w:rPr>
        <w:t>2003</w:t>
      </w:r>
      <w:r>
        <w:rPr>
          <w:rFonts w:ascii="宋体" w:hAnsi="宋体" w:cs="宋体" w:hint="eastAsia"/>
          <w:sz w:val="21"/>
          <w:szCs w:val="21"/>
        </w:rPr>
        <w:t>年颁布的《中小企业标准暂行规定》同时废止。</w:t>
      </w:r>
    </w:p>
    <w:p w:rsidR="008C0A47">
      <w:pPr>
        <w:rPr>
          <w:rFonts w:ascii="宋体" w:hAnsi="宋体" w:cs="宋体"/>
          <w:szCs w:val="21"/>
        </w:rPr>
      </w:pPr>
      <w:r>
        <w:rPr>
          <w:rFonts w:ascii="宋体" w:hAnsi="宋体" w:cs="宋体" w:hint="eastAsia"/>
          <w:szCs w:val="21"/>
        </w:rPr>
        <w:br w:type="page"/>
      </w:r>
    </w:p>
    <w:p w:rsidR="008C0A47">
      <w:pPr>
        <w:spacing w:line="375" w:lineRule="atLeast"/>
        <w:jc w:val="center"/>
        <w:rPr>
          <w:sz w:val="28"/>
          <w:szCs w:val="28"/>
        </w:rPr>
      </w:pPr>
      <w:r>
        <w:rPr>
          <w:rFonts w:ascii="宋体" w:hAnsi="宋体" w:cs="宋体" w:hint="eastAsia"/>
          <w:b/>
          <w:color w:val="333333"/>
          <w:kern w:val="0"/>
          <w:sz w:val="28"/>
          <w:szCs w:val="28"/>
        </w:rPr>
        <w:t>国家统计局关于印发《统计上大中小微型企业划分办法（</w:t>
      </w:r>
      <w:r>
        <w:rPr>
          <w:b/>
          <w:color w:val="333333"/>
          <w:kern w:val="0"/>
          <w:sz w:val="28"/>
          <w:szCs w:val="28"/>
        </w:rPr>
        <w:t>2017</w:t>
      </w:r>
      <w:r>
        <w:rPr>
          <w:rFonts w:ascii="宋体" w:hAnsi="宋体" w:cs="宋体" w:hint="eastAsia"/>
          <w:b/>
          <w:color w:val="333333"/>
          <w:kern w:val="0"/>
          <w:sz w:val="28"/>
          <w:szCs w:val="28"/>
        </w:rPr>
        <w:t>）》的通知</w:t>
      </w:r>
    </w:p>
    <w:p w:rsidR="008C0A47">
      <w:pPr>
        <w:pStyle w:val="NormalWeb"/>
        <w:spacing w:line="440" w:lineRule="exact"/>
        <w:jc w:val="center"/>
        <w:rPr>
          <w:rFonts w:ascii="宋体" w:hAnsi="宋体" w:cs="宋体"/>
          <w:sz w:val="21"/>
          <w:szCs w:val="21"/>
        </w:rPr>
      </w:pPr>
      <w:r>
        <w:rPr>
          <w:rFonts w:ascii="宋体" w:hAnsi="宋体" w:cs="宋体" w:hint="eastAsia"/>
          <w:sz w:val="21"/>
          <w:szCs w:val="21"/>
        </w:rPr>
        <w:t>国统字〔</w:t>
      </w:r>
      <w:r>
        <w:rPr>
          <w:rFonts w:ascii="宋体" w:hAnsi="宋体" w:cs="宋体" w:hint="eastAsia"/>
          <w:sz w:val="21"/>
          <w:szCs w:val="21"/>
        </w:rPr>
        <w:t>2017</w:t>
      </w:r>
      <w:r>
        <w:rPr>
          <w:rFonts w:ascii="宋体" w:hAnsi="宋体" w:cs="宋体" w:hint="eastAsia"/>
          <w:sz w:val="21"/>
          <w:szCs w:val="21"/>
        </w:rPr>
        <w:t>〕</w:t>
      </w:r>
      <w:r>
        <w:rPr>
          <w:rFonts w:ascii="宋体" w:hAnsi="宋体" w:cs="宋体" w:hint="eastAsia"/>
          <w:sz w:val="21"/>
          <w:szCs w:val="21"/>
        </w:rPr>
        <w:t>213</w:t>
      </w:r>
      <w:r>
        <w:rPr>
          <w:rFonts w:ascii="宋体" w:hAnsi="宋体" w:cs="宋体" w:hint="eastAsia"/>
          <w:sz w:val="21"/>
          <w:szCs w:val="21"/>
        </w:rPr>
        <w:t>号</w:t>
      </w:r>
    </w:p>
    <w:p w:rsidR="008C0A47">
      <w:pPr>
        <w:pStyle w:val="NormalWeb"/>
        <w:spacing w:line="440" w:lineRule="exact"/>
        <w:rPr>
          <w:rFonts w:ascii="宋体" w:hAnsi="宋体" w:cs="宋体"/>
          <w:sz w:val="21"/>
          <w:szCs w:val="21"/>
        </w:rPr>
      </w:pPr>
      <w:r>
        <w:rPr>
          <w:rFonts w:ascii="宋体" w:hAnsi="宋体" w:cs="宋体" w:hint="eastAsia"/>
          <w:sz w:val="21"/>
          <w:szCs w:val="21"/>
        </w:rPr>
        <w:t>各省、自治区、直辖市统计局，新疆生产建设兵团统计局，国务院各有关部门，国家统计局各调查总队：</w:t>
      </w:r>
    </w:p>
    <w:p w:rsidR="008C0A47">
      <w:pPr>
        <w:pStyle w:val="NormalWeb"/>
        <w:spacing w:line="440" w:lineRule="exact"/>
        <w:ind w:firstLine="480" w:firstLineChars="200"/>
        <w:rPr>
          <w:rFonts w:ascii="宋体" w:hAnsi="宋体" w:cs="宋体"/>
          <w:sz w:val="21"/>
          <w:szCs w:val="21"/>
        </w:rPr>
      </w:pPr>
      <w:r>
        <w:rPr>
          <w:rFonts w:ascii="宋体" w:hAnsi="宋体" w:cs="宋体" w:hint="eastAsia"/>
          <w:sz w:val="21"/>
          <w:szCs w:val="21"/>
        </w:rPr>
        <w:t>《国民经济行业分类》（</w:t>
      </w:r>
      <w:r>
        <w:rPr>
          <w:rFonts w:ascii="宋体" w:hAnsi="宋体" w:cs="宋体"/>
          <w:sz w:val="21"/>
          <w:szCs w:val="21"/>
        </w:rPr>
        <w:t>GB/T 4754</w:t>
      </w:r>
      <w:r>
        <w:rPr>
          <w:rFonts w:ascii="宋体" w:hAnsi="宋体" w:cs="宋体" w:hint="eastAsia"/>
          <w:sz w:val="21"/>
          <w:szCs w:val="21"/>
        </w:rPr>
        <w:t>—</w:t>
      </w:r>
      <w:r>
        <w:rPr>
          <w:rFonts w:ascii="宋体" w:hAnsi="宋体" w:cs="宋体"/>
          <w:sz w:val="21"/>
          <w:szCs w:val="21"/>
        </w:rPr>
        <w:t>2017</w:t>
      </w:r>
      <w:r>
        <w:rPr>
          <w:rFonts w:ascii="宋体" w:hAnsi="宋体" w:cs="宋体" w:hint="eastAsia"/>
          <w:sz w:val="21"/>
          <w:szCs w:val="21"/>
        </w:rPr>
        <w:t>）已正式实施，现对</w:t>
      </w:r>
      <w:r>
        <w:rPr>
          <w:rFonts w:ascii="宋体" w:hAnsi="宋体" w:cs="宋体"/>
          <w:sz w:val="21"/>
          <w:szCs w:val="21"/>
        </w:rPr>
        <w:t>2011</w:t>
      </w:r>
      <w:r>
        <w:rPr>
          <w:rFonts w:ascii="宋体" w:hAnsi="宋体" w:cs="宋体" w:hint="eastAsia"/>
          <w:sz w:val="21"/>
          <w:szCs w:val="21"/>
        </w:rPr>
        <w:t>年制定的《统计上大中小微型企业划分办法》进行修订。本次修订保持原</w:t>
      </w:r>
      <w:r>
        <w:rPr>
          <w:rFonts w:ascii="宋体" w:hAnsi="宋体" w:cs="宋体" w:hint="eastAsia"/>
          <w:sz w:val="21"/>
          <w:szCs w:val="21"/>
        </w:rPr>
        <w:t>有的分类原则、方法、结构框架和适用范围，仅将所涉及的行业按照《国民经济行业分类》（</w:t>
      </w:r>
      <w:r>
        <w:rPr>
          <w:rFonts w:ascii="宋体" w:hAnsi="宋体" w:cs="宋体"/>
          <w:sz w:val="21"/>
          <w:szCs w:val="21"/>
        </w:rPr>
        <w:t>GB/T 4754</w:t>
      </w:r>
      <w:r>
        <w:rPr>
          <w:rFonts w:ascii="宋体" w:hAnsi="宋体" w:cs="宋体" w:hint="eastAsia"/>
          <w:sz w:val="21"/>
          <w:szCs w:val="21"/>
        </w:rPr>
        <w:t>—</w:t>
      </w:r>
      <w:r>
        <w:rPr>
          <w:rFonts w:ascii="宋体" w:hAnsi="宋体" w:cs="宋体"/>
          <w:sz w:val="21"/>
          <w:szCs w:val="21"/>
        </w:rPr>
        <w:t>2011</w:t>
      </w:r>
      <w:r>
        <w:rPr>
          <w:rFonts w:ascii="宋体" w:hAnsi="宋体" w:cs="宋体" w:hint="eastAsia"/>
          <w:sz w:val="21"/>
          <w:szCs w:val="21"/>
        </w:rPr>
        <w:t>）和《国民经济行业分类》（</w:t>
      </w:r>
      <w:r>
        <w:rPr>
          <w:rFonts w:ascii="宋体" w:hAnsi="宋体" w:cs="宋体"/>
          <w:sz w:val="21"/>
          <w:szCs w:val="21"/>
        </w:rPr>
        <w:t>GB/T 4754</w:t>
      </w:r>
      <w:r>
        <w:rPr>
          <w:rFonts w:ascii="宋体" w:hAnsi="宋体" w:cs="宋体" w:hint="eastAsia"/>
          <w:sz w:val="21"/>
          <w:szCs w:val="21"/>
        </w:rPr>
        <w:t>—</w:t>
      </w:r>
      <w:r>
        <w:rPr>
          <w:rFonts w:ascii="宋体" w:hAnsi="宋体" w:cs="宋体"/>
          <w:sz w:val="21"/>
          <w:szCs w:val="21"/>
        </w:rPr>
        <w:t>2017</w:t>
      </w:r>
      <w:r>
        <w:rPr>
          <w:rFonts w:ascii="宋体" w:hAnsi="宋体" w:cs="宋体" w:hint="eastAsia"/>
          <w:sz w:val="21"/>
          <w:szCs w:val="21"/>
        </w:rPr>
        <w:t>）的对应关系，进行相应调整，形成《统计上大中小微型企业划分办法（</w:t>
      </w:r>
      <w:r>
        <w:rPr>
          <w:rFonts w:ascii="宋体" w:hAnsi="宋体" w:cs="宋体"/>
          <w:sz w:val="21"/>
          <w:szCs w:val="21"/>
        </w:rPr>
        <w:t>2017</w:t>
      </w:r>
      <w:r>
        <w:rPr>
          <w:rFonts w:ascii="宋体" w:hAnsi="宋体" w:cs="宋体" w:hint="eastAsia"/>
          <w:sz w:val="21"/>
          <w:szCs w:val="21"/>
        </w:rPr>
        <w:t>）》。现将《统计上大中小微型企业划分办法（</w:t>
      </w:r>
      <w:r>
        <w:rPr>
          <w:rFonts w:ascii="宋体" w:hAnsi="宋体" w:cs="宋体"/>
          <w:sz w:val="21"/>
          <w:szCs w:val="21"/>
        </w:rPr>
        <w:t>2017</w:t>
      </w:r>
      <w:r>
        <w:rPr>
          <w:rFonts w:ascii="宋体" w:hAnsi="宋体" w:cs="宋体" w:hint="eastAsia"/>
          <w:sz w:val="21"/>
          <w:szCs w:val="21"/>
        </w:rPr>
        <w:t>）》印发给你们，请在统计工作中认真贯彻执行。</w:t>
      </w:r>
    </w:p>
    <w:p w:rsidR="008C0A47">
      <w:pPr>
        <w:pStyle w:val="NormalWeb"/>
        <w:spacing w:line="440" w:lineRule="exact"/>
        <w:ind w:firstLine="480" w:firstLineChars="200"/>
        <w:rPr>
          <w:rFonts w:ascii="宋体" w:hAnsi="宋体" w:cs="宋体"/>
          <w:sz w:val="21"/>
          <w:szCs w:val="21"/>
        </w:rPr>
      </w:pPr>
      <w:r>
        <w:rPr>
          <w:rFonts w:ascii="宋体" w:hAnsi="宋体" w:cs="宋体"/>
          <w:sz w:val="21"/>
          <w:szCs w:val="21"/>
        </w:rPr>
        <w:t> </w:t>
      </w:r>
      <w:r>
        <w:rPr>
          <w:rFonts w:ascii="宋体" w:hAnsi="宋体" w:cs="宋体" w:hint="eastAsia"/>
          <w:sz w:val="21"/>
          <w:szCs w:val="21"/>
        </w:rPr>
        <w:t>附件：《统计上大中小微型企业划分办法（</w:t>
      </w:r>
      <w:r>
        <w:rPr>
          <w:rFonts w:ascii="宋体" w:hAnsi="宋体" w:cs="宋体"/>
          <w:sz w:val="21"/>
          <w:szCs w:val="21"/>
        </w:rPr>
        <w:t>2017</w:t>
      </w:r>
      <w:r>
        <w:rPr>
          <w:rFonts w:ascii="宋体" w:hAnsi="宋体" w:cs="宋体" w:hint="eastAsia"/>
          <w:sz w:val="21"/>
          <w:szCs w:val="21"/>
        </w:rPr>
        <w:t>）》修订说明</w:t>
      </w:r>
    </w:p>
    <w:p w:rsidR="008C0A47">
      <w:pPr>
        <w:pStyle w:val="NormalWeb"/>
        <w:spacing w:line="440" w:lineRule="exact"/>
        <w:ind w:firstLine="480" w:firstLineChars="200"/>
        <w:jc w:val="right"/>
        <w:rPr>
          <w:rFonts w:ascii="宋体" w:hAnsi="宋体" w:cs="宋体"/>
          <w:sz w:val="21"/>
          <w:szCs w:val="21"/>
        </w:rPr>
      </w:pPr>
      <w:r>
        <w:rPr>
          <w:rFonts w:ascii="宋体" w:hAnsi="宋体" w:cs="宋体"/>
          <w:sz w:val="21"/>
          <w:szCs w:val="21"/>
        </w:rPr>
        <w:t> </w:t>
      </w:r>
    </w:p>
    <w:p w:rsidR="008C0A47">
      <w:pPr>
        <w:pStyle w:val="NormalWeb"/>
        <w:spacing w:line="440" w:lineRule="exact"/>
        <w:ind w:firstLine="480" w:firstLineChars="200"/>
        <w:jc w:val="right"/>
        <w:rPr>
          <w:rFonts w:ascii="宋体" w:hAnsi="宋体" w:cs="宋体"/>
          <w:sz w:val="21"/>
          <w:szCs w:val="21"/>
        </w:rPr>
      </w:pPr>
      <w:r>
        <w:rPr>
          <w:rFonts w:ascii="宋体" w:hAnsi="宋体" w:cs="宋体" w:hint="eastAsia"/>
          <w:sz w:val="21"/>
          <w:szCs w:val="21"/>
        </w:rPr>
        <w:t>国家统计局</w:t>
      </w:r>
      <w:r>
        <w:rPr>
          <w:rFonts w:ascii="宋体" w:hAnsi="宋体" w:cs="宋体" w:hint="eastAsia"/>
          <w:sz w:val="21"/>
          <w:szCs w:val="21"/>
        </w:rPr>
        <w:t xml:space="preserve">   </w:t>
      </w:r>
    </w:p>
    <w:p w:rsidR="008C0A47">
      <w:pPr>
        <w:pStyle w:val="NormalWeb"/>
        <w:spacing w:line="440" w:lineRule="exact"/>
        <w:ind w:firstLine="480" w:firstLineChars="200"/>
        <w:jc w:val="right"/>
        <w:rPr>
          <w:rFonts w:ascii="宋体" w:hAnsi="宋体" w:cs="宋体"/>
          <w:sz w:val="21"/>
          <w:szCs w:val="21"/>
        </w:rPr>
      </w:pPr>
      <w:r>
        <w:rPr>
          <w:rFonts w:ascii="宋体" w:hAnsi="宋体" w:cs="宋体"/>
          <w:sz w:val="21"/>
          <w:szCs w:val="21"/>
        </w:rPr>
        <w:t>2017</w:t>
      </w:r>
      <w:r>
        <w:rPr>
          <w:rFonts w:ascii="宋体" w:hAnsi="宋体" w:cs="宋体" w:hint="eastAsia"/>
          <w:sz w:val="21"/>
          <w:szCs w:val="21"/>
        </w:rPr>
        <w:t>年</w:t>
      </w:r>
      <w:r>
        <w:rPr>
          <w:rFonts w:ascii="宋体" w:hAnsi="宋体" w:cs="宋体"/>
          <w:sz w:val="21"/>
          <w:szCs w:val="21"/>
        </w:rPr>
        <w:t>12</w:t>
      </w:r>
      <w:r>
        <w:rPr>
          <w:rFonts w:ascii="宋体" w:hAnsi="宋体" w:cs="宋体" w:hint="eastAsia"/>
          <w:sz w:val="21"/>
          <w:szCs w:val="21"/>
        </w:rPr>
        <w:t>月</w:t>
      </w:r>
      <w:r>
        <w:rPr>
          <w:rFonts w:ascii="宋体" w:hAnsi="宋体" w:cs="宋体"/>
          <w:sz w:val="21"/>
          <w:szCs w:val="21"/>
        </w:rPr>
        <w:t>28</w:t>
      </w:r>
      <w:r>
        <w:rPr>
          <w:rFonts w:ascii="宋体" w:hAnsi="宋体" w:cs="宋体" w:hint="eastAsia"/>
          <w:sz w:val="21"/>
          <w:szCs w:val="21"/>
        </w:rPr>
        <w:t>日</w:t>
      </w:r>
    </w:p>
    <w:p w:rsidR="008C0A47">
      <w:pPr>
        <w:pStyle w:val="NormalWeb"/>
        <w:spacing w:line="440" w:lineRule="exact"/>
        <w:jc w:val="center"/>
        <w:rPr>
          <w:rFonts w:ascii="宋体" w:hAnsi="宋体" w:cs="宋体"/>
        </w:rPr>
      </w:pPr>
      <w:r>
        <w:rPr>
          <w:rFonts w:ascii="宋体" w:hAnsi="宋体" w:cs="宋体" w:hint="eastAsia"/>
          <w:b/>
          <w:color w:val="333333"/>
        </w:rPr>
        <w:t>统计上大中小微型企业划分办法（</w:t>
      </w:r>
      <w:r>
        <w:rPr>
          <w:rFonts w:ascii="宋体" w:hAnsi="宋体" w:cs="宋体" w:hint="eastAsia"/>
          <w:b/>
          <w:color w:val="333333"/>
        </w:rPr>
        <w:t>2017</w:t>
      </w:r>
      <w:r>
        <w:rPr>
          <w:rFonts w:ascii="宋体" w:hAnsi="宋体" w:cs="宋体" w:hint="eastAsia"/>
          <w:b/>
          <w:color w:val="333333"/>
        </w:rPr>
        <w:t>）</w:t>
      </w:r>
    </w:p>
    <w:p w:rsidR="008C0A47">
      <w:pPr>
        <w:pStyle w:val="NormalWeb"/>
        <w:spacing w:line="440" w:lineRule="exact"/>
        <w:ind w:firstLine="480" w:firstLineChars="200"/>
        <w:rPr>
          <w:rFonts w:ascii="宋体" w:hAnsi="宋体" w:cs="宋体"/>
          <w:sz w:val="21"/>
          <w:szCs w:val="21"/>
        </w:rPr>
      </w:pPr>
      <w:r>
        <w:rPr>
          <w:rFonts w:ascii="宋体" w:hAnsi="宋体" w:cs="宋体" w:hint="eastAsia"/>
          <w:sz w:val="21"/>
          <w:szCs w:val="21"/>
        </w:rPr>
        <w:t>一、根据工业和信息化部、国家统计局、国家发展改革委、财政部《关于印发中小企业划型标准规定的通知》（工信部联企业〔</w:t>
      </w:r>
      <w:r>
        <w:rPr>
          <w:rFonts w:ascii="宋体" w:hAnsi="宋体" w:cs="宋体"/>
          <w:sz w:val="21"/>
          <w:szCs w:val="21"/>
        </w:rPr>
        <w:t>2011</w:t>
      </w:r>
      <w:r>
        <w:rPr>
          <w:rFonts w:ascii="宋体" w:hAnsi="宋体" w:cs="宋体" w:hint="eastAsia"/>
          <w:sz w:val="21"/>
          <w:szCs w:val="21"/>
        </w:rPr>
        <w:t>〕</w:t>
      </w:r>
      <w:r>
        <w:rPr>
          <w:rFonts w:ascii="宋体" w:hAnsi="宋体" w:cs="宋体"/>
          <w:sz w:val="21"/>
          <w:szCs w:val="21"/>
        </w:rPr>
        <w:t>300</w:t>
      </w:r>
      <w:r>
        <w:rPr>
          <w:rFonts w:ascii="宋体" w:hAnsi="宋体" w:cs="宋体" w:hint="eastAsia"/>
          <w:sz w:val="21"/>
          <w:szCs w:val="21"/>
        </w:rPr>
        <w:t>号），以《国民经济行业分类》（</w:t>
      </w:r>
      <w:r>
        <w:rPr>
          <w:rFonts w:ascii="宋体" w:hAnsi="宋体" w:cs="宋体"/>
          <w:sz w:val="21"/>
          <w:szCs w:val="21"/>
        </w:rPr>
        <w:t>GB/T4754-2017</w:t>
      </w:r>
      <w:r>
        <w:rPr>
          <w:rFonts w:ascii="宋体" w:hAnsi="宋体" w:cs="宋体" w:hint="eastAsia"/>
          <w:sz w:val="21"/>
          <w:szCs w:val="21"/>
        </w:rPr>
        <w:t>）为基础，结合统计工作的实际情况，制定本办法。</w:t>
      </w:r>
    </w:p>
    <w:p w:rsidR="008C0A47">
      <w:pPr>
        <w:pStyle w:val="NormalWeb"/>
        <w:spacing w:line="440" w:lineRule="exact"/>
        <w:ind w:firstLine="480" w:firstLineChars="200"/>
        <w:rPr>
          <w:rFonts w:ascii="宋体" w:hAnsi="宋体" w:cs="宋体"/>
          <w:sz w:val="21"/>
          <w:szCs w:val="21"/>
        </w:rPr>
      </w:pPr>
      <w:r>
        <w:rPr>
          <w:rFonts w:ascii="宋体" w:hAnsi="宋体" w:cs="宋体" w:hint="eastAsia"/>
          <w:sz w:val="21"/>
          <w:szCs w:val="21"/>
        </w:rPr>
        <w:t>二、本办法适用对象为在中华人民共和国境内依法设立的各种组织形式的法人企业或单位。个体工商户参照本办法进行划分。</w:t>
      </w:r>
    </w:p>
    <w:p w:rsidR="008C0A47">
      <w:pPr>
        <w:pStyle w:val="NormalWeb"/>
        <w:spacing w:line="440" w:lineRule="exact"/>
        <w:ind w:firstLine="480" w:firstLineChars="200"/>
        <w:rPr>
          <w:rFonts w:ascii="宋体" w:hAnsi="宋体" w:cs="宋体"/>
          <w:sz w:val="21"/>
          <w:szCs w:val="21"/>
        </w:rPr>
      </w:pPr>
      <w:r>
        <w:rPr>
          <w:rFonts w:ascii="宋体" w:hAnsi="宋体" w:cs="宋体" w:hint="eastAsia"/>
          <w:sz w:val="21"/>
          <w:szCs w:val="21"/>
        </w:rPr>
        <w:t>三、本办法适用范围包括：农、林、牧、渔业，采矿业，制造业，电力、热力、燃气及水生产和供应业，建筑业，批发和零售业，交通运输、仓</w:t>
      </w:r>
      <w:r>
        <w:rPr>
          <w:rFonts w:ascii="宋体" w:hAnsi="宋体" w:cs="宋体" w:hint="eastAsia"/>
          <w:sz w:val="21"/>
          <w:szCs w:val="21"/>
        </w:rPr>
        <w:t>储和邮政业，住宿和餐饮业，信息传输、软件和信息技术服务业，房地产业，租赁和商务服务业，科学研究和技术服务业，水利、环境和公共设施管理业，居民服务、修理和其他服务业，文化、体育和娱乐业等</w:t>
      </w:r>
      <w:r>
        <w:rPr>
          <w:rFonts w:ascii="宋体" w:hAnsi="宋体" w:cs="宋体"/>
          <w:sz w:val="21"/>
          <w:szCs w:val="21"/>
        </w:rPr>
        <w:t>15</w:t>
      </w:r>
      <w:r>
        <w:rPr>
          <w:rFonts w:ascii="宋体" w:hAnsi="宋体" w:cs="宋体" w:hint="eastAsia"/>
          <w:sz w:val="21"/>
          <w:szCs w:val="21"/>
        </w:rPr>
        <w:t>个行业门类以及社会工作行业大类。</w:t>
      </w:r>
    </w:p>
    <w:p w:rsidR="008C0A47">
      <w:pPr>
        <w:pStyle w:val="NormalWeb"/>
        <w:spacing w:line="440" w:lineRule="exact"/>
        <w:ind w:firstLine="480" w:firstLineChars="200"/>
        <w:rPr>
          <w:rFonts w:ascii="宋体" w:hAnsi="宋体" w:cs="宋体"/>
          <w:sz w:val="21"/>
          <w:szCs w:val="21"/>
        </w:rPr>
      </w:pPr>
      <w:r>
        <w:rPr>
          <w:rFonts w:ascii="宋体" w:hAnsi="宋体" w:cs="宋体" w:hint="eastAsia"/>
          <w:sz w:val="21"/>
          <w:szCs w:val="21"/>
        </w:rPr>
        <w:t>四、本办法按照行业门类、大类、中类和组合类别，依据从业人员、营业收入、资产总额等指标或替代指标，将我国的企业划分为大型、中型、小型、</w:t>
      </w:r>
      <w:r>
        <w:rPr>
          <w:rFonts w:ascii="宋体" w:hAnsi="宋体" w:cs="宋体" w:hint="eastAsia"/>
          <w:sz w:val="21"/>
          <w:szCs w:val="21"/>
        </w:rPr>
        <w:t>微型等</w:t>
      </w:r>
      <w:r>
        <w:rPr>
          <w:rFonts w:ascii="宋体" w:hAnsi="宋体" w:cs="宋体" w:hint="eastAsia"/>
          <w:sz w:val="21"/>
          <w:szCs w:val="21"/>
        </w:rPr>
        <w:t>四种类型。具体划分标准见附表。</w:t>
      </w:r>
    </w:p>
    <w:p w:rsidR="008C0A47">
      <w:pPr>
        <w:pStyle w:val="NormalWeb"/>
        <w:spacing w:line="440" w:lineRule="exact"/>
        <w:ind w:firstLine="480" w:firstLineChars="200"/>
        <w:rPr>
          <w:rFonts w:ascii="宋体" w:hAnsi="宋体" w:cs="宋体"/>
          <w:sz w:val="21"/>
          <w:szCs w:val="21"/>
        </w:rPr>
      </w:pPr>
      <w:r>
        <w:rPr>
          <w:rFonts w:ascii="宋体" w:hAnsi="宋体" w:cs="宋体" w:hint="eastAsia"/>
          <w:sz w:val="21"/>
          <w:szCs w:val="21"/>
        </w:rPr>
        <w:t>五、企业划分由政府综合统计部门根据统计年报每年确定一次，</w:t>
      </w:r>
      <w:r>
        <w:rPr>
          <w:rFonts w:ascii="宋体" w:hAnsi="宋体" w:cs="宋体" w:hint="eastAsia"/>
          <w:sz w:val="21"/>
          <w:szCs w:val="21"/>
        </w:rPr>
        <w:t>定报统计</w:t>
      </w:r>
      <w:r>
        <w:rPr>
          <w:rFonts w:ascii="宋体" w:hAnsi="宋体" w:cs="宋体" w:hint="eastAsia"/>
          <w:sz w:val="21"/>
          <w:szCs w:val="21"/>
        </w:rPr>
        <w:t>原则上不进行调整。</w:t>
      </w:r>
    </w:p>
    <w:p w:rsidR="008C0A47">
      <w:pPr>
        <w:pStyle w:val="NormalWeb"/>
        <w:spacing w:line="440" w:lineRule="exact"/>
        <w:ind w:firstLine="480" w:firstLineChars="200"/>
        <w:rPr>
          <w:rFonts w:ascii="宋体" w:hAnsi="宋体" w:cs="宋体"/>
          <w:sz w:val="21"/>
          <w:szCs w:val="21"/>
        </w:rPr>
      </w:pPr>
      <w:r>
        <w:rPr>
          <w:rFonts w:ascii="宋体" w:hAnsi="宋体" w:cs="宋体" w:hint="eastAsia"/>
          <w:sz w:val="21"/>
          <w:szCs w:val="21"/>
        </w:rPr>
        <w:t>六、本办法自印发之日起执行，国家统计</w:t>
      </w:r>
      <w:r>
        <w:rPr>
          <w:rFonts w:ascii="宋体" w:hAnsi="宋体" w:cs="宋体" w:hint="eastAsia"/>
          <w:sz w:val="21"/>
          <w:szCs w:val="21"/>
        </w:rPr>
        <w:t>局</w:t>
      </w:r>
      <w:r>
        <w:rPr>
          <w:rFonts w:ascii="宋体" w:hAnsi="宋体" w:cs="宋体"/>
          <w:sz w:val="21"/>
          <w:szCs w:val="21"/>
        </w:rPr>
        <w:t>2011</w:t>
      </w:r>
      <w:r>
        <w:rPr>
          <w:rFonts w:ascii="宋体" w:hAnsi="宋体" w:cs="宋体" w:hint="eastAsia"/>
          <w:sz w:val="21"/>
          <w:szCs w:val="21"/>
        </w:rPr>
        <w:t>年印发的《统计上大中小微型企业划分办法》（国统字〔</w:t>
      </w:r>
      <w:r>
        <w:rPr>
          <w:rFonts w:ascii="宋体" w:hAnsi="宋体" w:cs="宋体"/>
          <w:sz w:val="21"/>
          <w:szCs w:val="21"/>
        </w:rPr>
        <w:t>2011</w:t>
      </w:r>
      <w:r>
        <w:rPr>
          <w:rFonts w:ascii="宋体" w:hAnsi="宋体" w:cs="宋体" w:hint="eastAsia"/>
          <w:sz w:val="21"/>
          <w:szCs w:val="21"/>
        </w:rPr>
        <w:t>〕</w:t>
      </w:r>
      <w:r>
        <w:rPr>
          <w:rFonts w:ascii="宋体" w:hAnsi="宋体" w:cs="宋体"/>
          <w:sz w:val="21"/>
          <w:szCs w:val="21"/>
        </w:rPr>
        <w:t>75</w:t>
      </w:r>
      <w:r>
        <w:rPr>
          <w:rFonts w:ascii="宋体" w:hAnsi="宋体" w:cs="宋体" w:hint="eastAsia"/>
          <w:sz w:val="21"/>
          <w:szCs w:val="21"/>
        </w:rPr>
        <w:t>号）同时废止。</w:t>
      </w:r>
    </w:p>
    <w:p w:rsidR="008C0A47">
      <w:pPr>
        <w:pStyle w:val="NormalWeb"/>
        <w:spacing w:line="440" w:lineRule="exact"/>
        <w:ind w:firstLine="480" w:firstLineChars="200"/>
        <w:rPr>
          <w:rFonts w:ascii="宋体" w:hAnsi="宋体" w:cs="宋体"/>
          <w:sz w:val="21"/>
          <w:szCs w:val="21"/>
        </w:rPr>
      </w:pPr>
      <w:r>
        <w:rPr>
          <w:rFonts w:ascii="宋体" w:hAnsi="宋体" w:cs="宋体" w:hint="eastAsia"/>
          <w:sz w:val="21"/>
          <w:szCs w:val="21"/>
        </w:rPr>
        <w:t>附表：统计上大中小微型企业划分标准</w:t>
      </w:r>
    </w:p>
    <w:p w:rsidR="008C0A47">
      <w:pPr>
        <w:pStyle w:val="NormalWeb"/>
        <w:spacing w:line="440" w:lineRule="exact"/>
        <w:rPr>
          <w:rFonts w:ascii="宋体" w:hAnsi="宋体" w:cs="宋体"/>
          <w:sz w:val="21"/>
          <w:szCs w:val="21"/>
        </w:rPr>
      </w:pPr>
      <w:r>
        <w:rPr>
          <w:rFonts w:ascii="宋体" w:hAnsi="宋体" w:cs="宋体" w:hint="eastAsia"/>
          <w:sz w:val="21"/>
          <w:szCs w:val="21"/>
        </w:rPr>
        <w:t>附表</w:t>
      </w:r>
    </w:p>
    <w:p w:rsidR="008C0A47">
      <w:pPr>
        <w:pStyle w:val="NormalWeb"/>
        <w:spacing w:line="440" w:lineRule="exact"/>
        <w:ind w:firstLine="480" w:firstLineChars="200"/>
        <w:jc w:val="center"/>
        <w:rPr>
          <w:rFonts w:ascii="宋体" w:hAnsi="宋体" w:cs="宋体"/>
          <w:b/>
          <w:bCs/>
        </w:rPr>
      </w:pPr>
      <w:r>
        <w:rPr>
          <w:rFonts w:ascii="宋体" w:hAnsi="宋体" w:cs="宋体" w:hint="eastAsia"/>
          <w:b/>
          <w:bCs/>
        </w:rPr>
        <w:t>统计上大中小微型企业划分标准</w:t>
      </w:r>
    </w:p>
    <w:tbl>
      <w:tblPr>
        <w:tblStyle w:val="TableNormal"/>
        <w:tblpPr w:leftFromText="180" w:rightFromText="180" w:vertAnchor="text" w:horzAnchor="page" w:tblpX="1334" w:tblpY="456"/>
        <w:tblOverlap w:val="neve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0"/>
        <w:gridCol w:w="1238"/>
        <w:gridCol w:w="641"/>
        <w:gridCol w:w="1017"/>
        <w:gridCol w:w="1537"/>
        <w:gridCol w:w="1289"/>
        <w:gridCol w:w="897"/>
      </w:tblGrid>
      <w:tr>
        <w:tblPrEx>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hRule="exact" w:val="622"/>
        </w:trPr>
        <w:tc>
          <w:tcPr>
            <w:tcW w:w="1910" w:type="dxa"/>
            <w:tcBorders>
              <w:tl2br w:val="nil"/>
              <w:tr2bl w:val="nil"/>
            </w:tcBorders>
            <w:shd w:val="clear" w:color="auto" w:fill="auto"/>
            <w:vAlign w:val="center"/>
          </w:tcPr>
          <w:p w:rsidR="008C0A47">
            <w:pPr>
              <w:spacing w:line="240" w:lineRule="exact"/>
              <w:jc w:val="center"/>
              <w:rPr>
                <w:rFonts w:ascii="宋体" w:hAnsi="宋体" w:cs="宋体"/>
                <w:b/>
                <w:bCs/>
                <w:color w:val="000000"/>
                <w:kern w:val="0"/>
                <w:sz w:val="18"/>
                <w:szCs w:val="18"/>
              </w:rPr>
            </w:pPr>
            <w:r>
              <w:rPr>
                <w:rFonts w:ascii="宋体" w:hAnsi="宋体" w:cs="宋体" w:hint="eastAsia"/>
                <w:b/>
                <w:bCs/>
                <w:color w:val="000000"/>
                <w:kern w:val="0"/>
                <w:sz w:val="18"/>
                <w:szCs w:val="18"/>
              </w:rPr>
              <w:t>行业名称</w:t>
            </w:r>
          </w:p>
        </w:tc>
        <w:tc>
          <w:tcPr>
            <w:tcW w:w="1238" w:type="dxa"/>
            <w:tcBorders>
              <w:tl2br w:val="nil"/>
              <w:tr2bl w:val="nil"/>
            </w:tcBorders>
            <w:shd w:val="clear" w:color="auto" w:fill="auto"/>
            <w:vAlign w:val="center"/>
          </w:tcPr>
          <w:p w:rsidR="008C0A47">
            <w:pPr>
              <w:jc w:val="center"/>
              <w:rPr>
                <w:rFonts w:ascii="宋体" w:hAnsi="宋体" w:cs="宋体"/>
                <w:b/>
                <w:bCs/>
                <w:color w:val="000000"/>
                <w:kern w:val="0"/>
                <w:sz w:val="18"/>
                <w:szCs w:val="18"/>
              </w:rPr>
            </w:pPr>
            <w:r>
              <w:rPr>
                <w:rFonts w:ascii="宋体" w:hAnsi="宋体" w:cs="宋体" w:hint="eastAsia"/>
                <w:b/>
                <w:bCs/>
                <w:color w:val="000000"/>
                <w:kern w:val="0"/>
                <w:sz w:val="18"/>
                <w:szCs w:val="18"/>
              </w:rPr>
              <w:t>指标名称</w:t>
            </w:r>
          </w:p>
        </w:tc>
        <w:tc>
          <w:tcPr>
            <w:tcW w:w="641" w:type="dxa"/>
            <w:tcBorders>
              <w:tl2br w:val="nil"/>
              <w:tr2bl w:val="nil"/>
            </w:tcBorders>
            <w:shd w:val="clear" w:color="auto" w:fill="auto"/>
            <w:vAlign w:val="center"/>
          </w:tcPr>
          <w:p w:rsidR="008C0A47">
            <w:pPr>
              <w:jc w:val="center"/>
              <w:rPr>
                <w:rFonts w:ascii="宋体" w:hAnsi="宋体" w:cs="宋体"/>
                <w:b/>
                <w:bCs/>
                <w:color w:val="000000"/>
                <w:kern w:val="0"/>
                <w:sz w:val="18"/>
                <w:szCs w:val="18"/>
              </w:rPr>
            </w:pPr>
            <w:r>
              <w:rPr>
                <w:rFonts w:ascii="宋体" w:hAnsi="宋体" w:cs="宋体" w:hint="eastAsia"/>
                <w:b/>
                <w:bCs/>
                <w:color w:val="000000"/>
                <w:kern w:val="0"/>
                <w:sz w:val="18"/>
                <w:szCs w:val="18"/>
              </w:rPr>
              <w:t>计量</w:t>
            </w:r>
            <w:r>
              <w:rPr>
                <w:rFonts w:ascii="宋体" w:hAnsi="宋体" w:cs="宋体" w:hint="eastAsia"/>
                <w:b/>
                <w:bCs/>
                <w:color w:val="000000"/>
                <w:kern w:val="0"/>
                <w:sz w:val="18"/>
                <w:szCs w:val="18"/>
              </w:rPr>
              <w:br/>
            </w:r>
            <w:r>
              <w:rPr>
                <w:rFonts w:ascii="宋体" w:hAnsi="宋体" w:cs="宋体" w:hint="eastAsia"/>
                <w:b/>
                <w:bCs/>
                <w:color w:val="000000"/>
                <w:kern w:val="0"/>
                <w:sz w:val="18"/>
                <w:szCs w:val="18"/>
              </w:rPr>
              <w:t>单位</w:t>
            </w:r>
          </w:p>
        </w:tc>
        <w:tc>
          <w:tcPr>
            <w:tcW w:w="1017" w:type="dxa"/>
            <w:tcBorders>
              <w:tl2br w:val="nil"/>
              <w:tr2bl w:val="nil"/>
            </w:tcBorders>
            <w:shd w:val="clear" w:color="auto" w:fill="auto"/>
            <w:vAlign w:val="center"/>
          </w:tcPr>
          <w:p w:rsidR="008C0A47">
            <w:pPr>
              <w:jc w:val="center"/>
              <w:rPr>
                <w:rFonts w:ascii="宋体" w:hAnsi="宋体" w:cs="宋体"/>
                <w:b/>
                <w:bCs/>
                <w:color w:val="000000"/>
                <w:kern w:val="0"/>
                <w:sz w:val="18"/>
                <w:szCs w:val="18"/>
              </w:rPr>
            </w:pPr>
            <w:r>
              <w:rPr>
                <w:rFonts w:ascii="宋体" w:hAnsi="宋体" w:cs="宋体" w:hint="eastAsia"/>
                <w:b/>
                <w:bCs/>
                <w:color w:val="000000"/>
                <w:kern w:val="0"/>
                <w:sz w:val="18"/>
                <w:szCs w:val="18"/>
              </w:rPr>
              <w:t>大型</w:t>
            </w:r>
          </w:p>
        </w:tc>
        <w:tc>
          <w:tcPr>
            <w:tcW w:w="1537" w:type="dxa"/>
            <w:tcBorders>
              <w:tl2br w:val="nil"/>
              <w:tr2bl w:val="nil"/>
            </w:tcBorders>
            <w:shd w:val="clear" w:color="auto" w:fill="auto"/>
            <w:vAlign w:val="center"/>
          </w:tcPr>
          <w:p w:rsidR="008C0A47">
            <w:pPr>
              <w:jc w:val="center"/>
              <w:rPr>
                <w:rFonts w:ascii="宋体" w:hAnsi="宋体" w:cs="宋体"/>
                <w:b/>
                <w:bCs/>
                <w:color w:val="000000"/>
                <w:kern w:val="0"/>
                <w:sz w:val="18"/>
                <w:szCs w:val="18"/>
              </w:rPr>
            </w:pPr>
            <w:r>
              <w:rPr>
                <w:rFonts w:ascii="宋体" w:hAnsi="宋体" w:cs="宋体" w:hint="eastAsia"/>
                <w:b/>
                <w:bCs/>
                <w:color w:val="000000"/>
                <w:kern w:val="0"/>
                <w:sz w:val="18"/>
                <w:szCs w:val="18"/>
              </w:rPr>
              <w:t>中型</w:t>
            </w:r>
          </w:p>
        </w:tc>
        <w:tc>
          <w:tcPr>
            <w:tcW w:w="1289" w:type="dxa"/>
            <w:tcBorders>
              <w:tl2br w:val="nil"/>
              <w:tr2bl w:val="nil"/>
            </w:tcBorders>
            <w:shd w:val="clear" w:color="auto" w:fill="auto"/>
            <w:vAlign w:val="center"/>
          </w:tcPr>
          <w:p w:rsidR="008C0A47">
            <w:pPr>
              <w:jc w:val="center"/>
              <w:rPr>
                <w:rFonts w:ascii="宋体" w:hAnsi="宋体" w:cs="宋体"/>
                <w:b/>
                <w:bCs/>
                <w:color w:val="000000"/>
                <w:kern w:val="0"/>
                <w:sz w:val="18"/>
                <w:szCs w:val="18"/>
              </w:rPr>
            </w:pPr>
            <w:r>
              <w:rPr>
                <w:rFonts w:ascii="宋体" w:hAnsi="宋体" w:cs="宋体" w:hint="eastAsia"/>
                <w:b/>
                <w:bCs/>
                <w:color w:val="000000"/>
                <w:kern w:val="0"/>
                <w:sz w:val="18"/>
                <w:szCs w:val="18"/>
              </w:rPr>
              <w:t>小型</w:t>
            </w:r>
          </w:p>
        </w:tc>
        <w:tc>
          <w:tcPr>
            <w:tcW w:w="897" w:type="dxa"/>
            <w:tcBorders>
              <w:tl2br w:val="nil"/>
              <w:tr2bl w:val="nil"/>
            </w:tcBorders>
            <w:shd w:val="clear" w:color="auto" w:fill="auto"/>
            <w:vAlign w:val="center"/>
          </w:tcPr>
          <w:p w:rsidR="008C0A47">
            <w:pPr>
              <w:jc w:val="center"/>
              <w:rPr>
                <w:rFonts w:ascii="宋体" w:hAnsi="宋体" w:cs="宋体"/>
                <w:b/>
                <w:bCs/>
                <w:color w:val="000000"/>
                <w:kern w:val="0"/>
                <w:sz w:val="18"/>
                <w:szCs w:val="18"/>
              </w:rPr>
            </w:pPr>
            <w:r>
              <w:rPr>
                <w:rFonts w:ascii="宋体" w:hAnsi="宋体" w:cs="宋体" w:hint="eastAsia"/>
                <w:b/>
                <w:bCs/>
                <w:color w:val="000000"/>
                <w:kern w:val="0"/>
                <w:sz w:val="18"/>
                <w:szCs w:val="18"/>
              </w:rPr>
              <w:t>微型</w:t>
            </w:r>
          </w:p>
        </w:tc>
      </w:tr>
      <w:tr>
        <w:tblPrEx>
          <w:tblW w:w="8529" w:type="dxa"/>
          <w:tblLayout w:type="fixed"/>
          <w:tblLook w:val="04A0"/>
        </w:tblPrEx>
        <w:trPr>
          <w:trHeight w:hRule="exact" w:val="397"/>
        </w:trPr>
        <w:tc>
          <w:tcPr>
            <w:tcW w:w="1910" w:type="dxa"/>
            <w:tcBorders>
              <w:tl2br w:val="nil"/>
              <w:tr2bl w:val="nil"/>
            </w:tcBorders>
            <w:shd w:val="clear" w:color="auto" w:fill="auto"/>
            <w:vAlign w:val="center"/>
          </w:tcPr>
          <w:p w:rsidR="008C0A47">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农、林、牧、渔业</w:t>
            </w:r>
          </w:p>
        </w:tc>
        <w:tc>
          <w:tcPr>
            <w:tcW w:w="1238"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营业收入</w:t>
            </w:r>
            <w:r>
              <w:rPr>
                <w:rFonts w:ascii="宋体" w:hAnsi="宋体" w:cs="宋体" w:hint="eastAsia"/>
                <w:color w:val="000000"/>
                <w:kern w:val="0"/>
                <w:sz w:val="18"/>
                <w:szCs w:val="18"/>
              </w:rPr>
              <w:t>(Y)</w:t>
            </w:r>
          </w:p>
        </w:tc>
        <w:tc>
          <w:tcPr>
            <w:tcW w:w="641"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01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20000</w:t>
            </w:r>
          </w:p>
        </w:tc>
        <w:tc>
          <w:tcPr>
            <w:tcW w:w="153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500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20000</w:t>
            </w:r>
          </w:p>
        </w:tc>
        <w:tc>
          <w:tcPr>
            <w:tcW w:w="1289"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50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500</w:t>
            </w:r>
          </w:p>
        </w:tc>
        <w:tc>
          <w:tcPr>
            <w:tcW w:w="89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50</w:t>
            </w:r>
          </w:p>
        </w:tc>
      </w:tr>
      <w:tr>
        <w:tblPrEx>
          <w:tblW w:w="8529" w:type="dxa"/>
          <w:tblLayout w:type="fixed"/>
          <w:tblLook w:val="04A0"/>
        </w:tblPrEx>
        <w:trPr>
          <w:trHeight w:hRule="exact" w:val="397"/>
        </w:trPr>
        <w:tc>
          <w:tcPr>
            <w:tcW w:w="1910" w:type="dxa"/>
            <w:vMerge w:val="restart"/>
            <w:tcBorders>
              <w:tl2br w:val="nil"/>
              <w:tr2bl w:val="nil"/>
            </w:tcBorders>
            <w:shd w:val="clear" w:color="auto" w:fill="auto"/>
            <w:vAlign w:val="center"/>
          </w:tcPr>
          <w:p w:rsidR="008C0A47">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工业</w:t>
            </w:r>
            <w:r>
              <w:rPr>
                <w:rFonts w:ascii="宋体" w:hAnsi="宋体" w:cs="宋体" w:hint="eastAsia"/>
                <w:color w:val="000000"/>
                <w:kern w:val="0"/>
                <w:sz w:val="18"/>
                <w:szCs w:val="18"/>
              </w:rPr>
              <w:t xml:space="preserve"> *</w:t>
            </w:r>
          </w:p>
        </w:tc>
        <w:tc>
          <w:tcPr>
            <w:tcW w:w="1238"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从业人员</w:t>
            </w:r>
            <w:r>
              <w:rPr>
                <w:rFonts w:ascii="宋体" w:hAnsi="宋体" w:cs="宋体" w:hint="eastAsia"/>
                <w:color w:val="000000"/>
                <w:kern w:val="0"/>
                <w:sz w:val="18"/>
                <w:szCs w:val="18"/>
              </w:rPr>
              <w:t>(X)</w:t>
            </w:r>
          </w:p>
        </w:tc>
        <w:tc>
          <w:tcPr>
            <w:tcW w:w="641"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01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1000</w:t>
            </w:r>
          </w:p>
        </w:tc>
        <w:tc>
          <w:tcPr>
            <w:tcW w:w="153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300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1000</w:t>
            </w:r>
          </w:p>
        </w:tc>
        <w:tc>
          <w:tcPr>
            <w:tcW w:w="1289"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20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300</w:t>
            </w:r>
          </w:p>
        </w:tc>
        <w:tc>
          <w:tcPr>
            <w:tcW w:w="89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20</w:t>
            </w:r>
          </w:p>
        </w:tc>
      </w:tr>
      <w:tr>
        <w:tblPrEx>
          <w:tblW w:w="8529" w:type="dxa"/>
          <w:tblLayout w:type="fixed"/>
          <w:tblLook w:val="04A0"/>
        </w:tblPrEx>
        <w:trPr>
          <w:trHeight w:hRule="exact" w:val="397"/>
        </w:trPr>
        <w:tc>
          <w:tcPr>
            <w:tcW w:w="1910" w:type="dxa"/>
            <w:vMerge/>
            <w:tcBorders>
              <w:tl2br w:val="nil"/>
              <w:tr2bl w:val="nil"/>
            </w:tcBorders>
            <w:vAlign w:val="center"/>
          </w:tcPr>
          <w:p w:rsidR="008C0A47">
            <w:pPr>
              <w:jc w:val="left"/>
              <w:rPr>
                <w:rFonts w:ascii="宋体" w:hAnsi="宋体" w:cs="宋体"/>
                <w:color w:val="000000"/>
                <w:kern w:val="0"/>
                <w:sz w:val="18"/>
                <w:szCs w:val="18"/>
              </w:rPr>
            </w:pPr>
          </w:p>
        </w:tc>
        <w:tc>
          <w:tcPr>
            <w:tcW w:w="1238" w:type="dxa"/>
            <w:tcBorders>
              <w:tl2br w:val="nil"/>
              <w:tr2bl w:val="nil"/>
            </w:tcBorders>
            <w:shd w:val="clear" w:color="auto" w:fill="auto"/>
            <w:vAlign w:val="center"/>
          </w:tcPr>
          <w:p w:rsidR="008C0A47">
            <w:pPr>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w:t>
            </w:r>
            <w:r>
              <w:rPr>
                <w:rFonts w:ascii="宋体" w:hAnsi="宋体" w:cs="宋体" w:hint="eastAsia"/>
                <w:color w:val="000000"/>
                <w:kern w:val="0"/>
                <w:sz w:val="18"/>
                <w:szCs w:val="18"/>
              </w:rPr>
              <w:t>(Y)</w:t>
            </w:r>
          </w:p>
        </w:tc>
        <w:tc>
          <w:tcPr>
            <w:tcW w:w="641"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01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40000</w:t>
            </w:r>
          </w:p>
        </w:tc>
        <w:tc>
          <w:tcPr>
            <w:tcW w:w="153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2000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40000</w:t>
            </w:r>
          </w:p>
        </w:tc>
        <w:tc>
          <w:tcPr>
            <w:tcW w:w="1289"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300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2000</w:t>
            </w:r>
          </w:p>
        </w:tc>
        <w:tc>
          <w:tcPr>
            <w:tcW w:w="89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300</w:t>
            </w:r>
          </w:p>
        </w:tc>
      </w:tr>
      <w:tr>
        <w:tblPrEx>
          <w:tblW w:w="8529" w:type="dxa"/>
          <w:tblLayout w:type="fixed"/>
          <w:tblLook w:val="04A0"/>
        </w:tblPrEx>
        <w:trPr>
          <w:trHeight w:hRule="exact" w:val="397"/>
        </w:trPr>
        <w:tc>
          <w:tcPr>
            <w:tcW w:w="1910" w:type="dxa"/>
            <w:vMerge w:val="restart"/>
            <w:tcBorders>
              <w:tl2br w:val="nil"/>
              <w:tr2bl w:val="nil"/>
            </w:tcBorders>
            <w:shd w:val="clear" w:color="auto" w:fill="auto"/>
            <w:vAlign w:val="center"/>
          </w:tcPr>
          <w:p w:rsidR="008C0A47">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建筑业</w:t>
            </w:r>
          </w:p>
        </w:tc>
        <w:tc>
          <w:tcPr>
            <w:tcW w:w="1238"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营业收入</w:t>
            </w:r>
            <w:r>
              <w:rPr>
                <w:rFonts w:ascii="宋体" w:hAnsi="宋体" w:cs="宋体" w:hint="eastAsia"/>
                <w:color w:val="000000"/>
                <w:kern w:val="0"/>
                <w:sz w:val="18"/>
                <w:szCs w:val="18"/>
              </w:rPr>
              <w:t>(Y)</w:t>
            </w:r>
          </w:p>
        </w:tc>
        <w:tc>
          <w:tcPr>
            <w:tcW w:w="641"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01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80000</w:t>
            </w:r>
          </w:p>
        </w:tc>
        <w:tc>
          <w:tcPr>
            <w:tcW w:w="153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6000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80000</w:t>
            </w:r>
          </w:p>
        </w:tc>
        <w:tc>
          <w:tcPr>
            <w:tcW w:w="1289"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300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6000</w:t>
            </w:r>
          </w:p>
        </w:tc>
        <w:tc>
          <w:tcPr>
            <w:tcW w:w="89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300</w:t>
            </w:r>
          </w:p>
        </w:tc>
      </w:tr>
      <w:tr>
        <w:tblPrEx>
          <w:tblW w:w="8529" w:type="dxa"/>
          <w:tblLayout w:type="fixed"/>
          <w:tblLook w:val="04A0"/>
        </w:tblPrEx>
        <w:trPr>
          <w:trHeight w:hRule="exact" w:val="397"/>
        </w:trPr>
        <w:tc>
          <w:tcPr>
            <w:tcW w:w="1910" w:type="dxa"/>
            <w:vMerge/>
            <w:tcBorders>
              <w:tl2br w:val="nil"/>
              <w:tr2bl w:val="nil"/>
            </w:tcBorders>
            <w:vAlign w:val="center"/>
          </w:tcPr>
          <w:p w:rsidR="008C0A47">
            <w:pPr>
              <w:jc w:val="left"/>
              <w:rPr>
                <w:rFonts w:ascii="宋体" w:hAnsi="宋体" w:cs="宋体"/>
                <w:color w:val="000000"/>
                <w:kern w:val="0"/>
                <w:sz w:val="18"/>
                <w:szCs w:val="18"/>
              </w:rPr>
            </w:pPr>
          </w:p>
        </w:tc>
        <w:tc>
          <w:tcPr>
            <w:tcW w:w="1238" w:type="dxa"/>
            <w:tcBorders>
              <w:tl2br w:val="nil"/>
              <w:tr2bl w:val="nil"/>
            </w:tcBorders>
            <w:shd w:val="clear" w:color="auto" w:fill="auto"/>
            <w:vAlign w:val="center"/>
          </w:tcPr>
          <w:p w:rsidR="008C0A47">
            <w:pPr>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w:t>
            </w:r>
            <w:r>
              <w:rPr>
                <w:rFonts w:ascii="宋体" w:hAnsi="宋体" w:cs="宋体" w:hint="eastAsia"/>
                <w:color w:val="000000"/>
                <w:kern w:val="0"/>
                <w:sz w:val="18"/>
                <w:szCs w:val="18"/>
              </w:rPr>
              <w:t>(Z)</w:t>
            </w:r>
          </w:p>
        </w:tc>
        <w:tc>
          <w:tcPr>
            <w:tcW w:w="641"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01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Z</w:t>
            </w:r>
            <w:r>
              <w:rPr>
                <w:rFonts w:ascii="宋体" w:hAnsi="宋体" w:cs="宋体" w:hint="eastAsia"/>
                <w:color w:val="000000"/>
                <w:kern w:val="0"/>
                <w:sz w:val="18"/>
                <w:szCs w:val="18"/>
              </w:rPr>
              <w:t>≥</w:t>
            </w:r>
            <w:r>
              <w:rPr>
                <w:rFonts w:ascii="宋体" w:hAnsi="宋体" w:cs="宋体" w:hint="eastAsia"/>
                <w:color w:val="000000"/>
                <w:kern w:val="0"/>
                <w:sz w:val="18"/>
                <w:szCs w:val="18"/>
              </w:rPr>
              <w:t>80000</w:t>
            </w:r>
          </w:p>
        </w:tc>
        <w:tc>
          <w:tcPr>
            <w:tcW w:w="153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5000</w:t>
            </w:r>
            <w:r>
              <w:rPr>
                <w:rFonts w:ascii="宋体" w:hAnsi="宋体" w:cs="宋体" w:hint="eastAsia"/>
                <w:color w:val="000000"/>
                <w:kern w:val="0"/>
                <w:sz w:val="18"/>
                <w:szCs w:val="18"/>
              </w:rPr>
              <w:t>≤</w:t>
            </w:r>
            <w:r>
              <w:rPr>
                <w:rFonts w:ascii="宋体" w:hAnsi="宋体" w:cs="宋体" w:hint="eastAsia"/>
                <w:color w:val="000000"/>
                <w:kern w:val="0"/>
                <w:sz w:val="18"/>
                <w:szCs w:val="18"/>
              </w:rPr>
              <w:t>Z</w:t>
            </w:r>
            <w:r>
              <w:rPr>
                <w:rFonts w:ascii="宋体" w:hAnsi="宋体" w:cs="宋体" w:hint="eastAsia"/>
                <w:color w:val="000000"/>
                <w:kern w:val="0"/>
                <w:sz w:val="18"/>
                <w:szCs w:val="18"/>
              </w:rPr>
              <w:t>＜</w:t>
            </w:r>
            <w:r>
              <w:rPr>
                <w:rFonts w:ascii="宋体" w:hAnsi="宋体" w:cs="宋体" w:hint="eastAsia"/>
                <w:color w:val="000000"/>
                <w:kern w:val="0"/>
                <w:sz w:val="18"/>
                <w:szCs w:val="18"/>
              </w:rPr>
              <w:t>80000</w:t>
            </w:r>
          </w:p>
        </w:tc>
        <w:tc>
          <w:tcPr>
            <w:tcW w:w="1289"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300</w:t>
            </w:r>
            <w:r>
              <w:rPr>
                <w:rFonts w:ascii="宋体" w:hAnsi="宋体" w:cs="宋体" w:hint="eastAsia"/>
                <w:color w:val="000000"/>
                <w:kern w:val="0"/>
                <w:sz w:val="18"/>
                <w:szCs w:val="18"/>
              </w:rPr>
              <w:t>≤</w:t>
            </w:r>
            <w:r>
              <w:rPr>
                <w:rFonts w:ascii="宋体" w:hAnsi="宋体" w:cs="宋体" w:hint="eastAsia"/>
                <w:color w:val="000000"/>
                <w:kern w:val="0"/>
                <w:sz w:val="18"/>
                <w:szCs w:val="18"/>
              </w:rPr>
              <w:t>Z</w:t>
            </w:r>
            <w:r>
              <w:rPr>
                <w:rFonts w:ascii="宋体" w:hAnsi="宋体" w:cs="宋体" w:hint="eastAsia"/>
                <w:color w:val="000000"/>
                <w:kern w:val="0"/>
                <w:sz w:val="18"/>
                <w:szCs w:val="18"/>
              </w:rPr>
              <w:t>＜</w:t>
            </w:r>
            <w:r>
              <w:rPr>
                <w:rFonts w:ascii="宋体" w:hAnsi="宋体" w:cs="宋体" w:hint="eastAsia"/>
                <w:color w:val="000000"/>
                <w:kern w:val="0"/>
                <w:sz w:val="18"/>
                <w:szCs w:val="18"/>
              </w:rPr>
              <w:t>5000</w:t>
            </w:r>
          </w:p>
        </w:tc>
        <w:tc>
          <w:tcPr>
            <w:tcW w:w="89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Z</w:t>
            </w:r>
            <w:r>
              <w:rPr>
                <w:rFonts w:ascii="宋体" w:hAnsi="宋体" w:cs="宋体" w:hint="eastAsia"/>
                <w:color w:val="000000"/>
                <w:kern w:val="0"/>
                <w:sz w:val="18"/>
                <w:szCs w:val="18"/>
              </w:rPr>
              <w:t>＜</w:t>
            </w:r>
            <w:r>
              <w:rPr>
                <w:rFonts w:ascii="宋体" w:hAnsi="宋体" w:cs="宋体" w:hint="eastAsia"/>
                <w:color w:val="000000"/>
                <w:kern w:val="0"/>
                <w:sz w:val="18"/>
                <w:szCs w:val="18"/>
              </w:rPr>
              <w:t>300</w:t>
            </w:r>
          </w:p>
        </w:tc>
      </w:tr>
      <w:tr>
        <w:tblPrEx>
          <w:tblW w:w="8529" w:type="dxa"/>
          <w:tblLayout w:type="fixed"/>
          <w:tblLook w:val="04A0"/>
        </w:tblPrEx>
        <w:trPr>
          <w:trHeight w:hRule="exact" w:val="397"/>
        </w:trPr>
        <w:tc>
          <w:tcPr>
            <w:tcW w:w="1910" w:type="dxa"/>
            <w:vMerge w:val="restart"/>
            <w:tcBorders>
              <w:tl2br w:val="nil"/>
              <w:tr2bl w:val="nil"/>
            </w:tcBorders>
            <w:shd w:val="clear" w:color="auto" w:fill="auto"/>
            <w:vAlign w:val="center"/>
          </w:tcPr>
          <w:p w:rsidR="008C0A47">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批发业</w:t>
            </w:r>
          </w:p>
        </w:tc>
        <w:tc>
          <w:tcPr>
            <w:tcW w:w="1238"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从业人员</w:t>
            </w:r>
            <w:r>
              <w:rPr>
                <w:rFonts w:ascii="宋体" w:hAnsi="宋体" w:cs="宋体" w:hint="eastAsia"/>
                <w:color w:val="000000"/>
                <w:kern w:val="0"/>
                <w:sz w:val="18"/>
                <w:szCs w:val="18"/>
              </w:rPr>
              <w:t>(X)</w:t>
            </w:r>
          </w:p>
        </w:tc>
        <w:tc>
          <w:tcPr>
            <w:tcW w:w="641"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01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200</w:t>
            </w:r>
          </w:p>
        </w:tc>
        <w:tc>
          <w:tcPr>
            <w:tcW w:w="153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20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200</w:t>
            </w:r>
          </w:p>
        </w:tc>
        <w:tc>
          <w:tcPr>
            <w:tcW w:w="1289"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5</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20</w:t>
            </w:r>
          </w:p>
        </w:tc>
        <w:tc>
          <w:tcPr>
            <w:tcW w:w="89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5</w:t>
            </w:r>
          </w:p>
        </w:tc>
      </w:tr>
      <w:tr>
        <w:tblPrEx>
          <w:tblW w:w="8529" w:type="dxa"/>
          <w:tblLayout w:type="fixed"/>
          <w:tblLook w:val="04A0"/>
        </w:tblPrEx>
        <w:trPr>
          <w:trHeight w:hRule="exact" w:val="397"/>
        </w:trPr>
        <w:tc>
          <w:tcPr>
            <w:tcW w:w="1910" w:type="dxa"/>
            <w:vMerge/>
            <w:tcBorders>
              <w:tl2br w:val="nil"/>
              <w:tr2bl w:val="nil"/>
            </w:tcBorders>
            <w:vAlign w:val="center"/>
          </w:tcPr>
          <w:p w:rsidR="008C0A47">
            <w:pPr>
              <w:jc w:val="left"/>
              <w:rPr>
                <w:rFonts w:ascii="宋体" w:hAnsi="宋体" w:cs="宋体"/>
                <w:color w:val="000000"/>
                <w:kern w:val="0"/>
                <w:sz w:val="18"/>
                <w:szCs w:val="18"/>
              </w:rPr>
            </w:pPr>
          </w:p>
        </w:tc>
        <w:tc>
          <w:tcPr>
            <w:tcW w:w="1238" w:type="dxa"/>
            <w:tcBorders>
              <w:tl2br w:val="nil"/>
              <w:tr2bl w:val="nil"/>
            </w:tcBorders>
            <w:shd w:val="clear" w:color="auto" w:fill="auto"/>
            <w:vAlign w:val="center"/>
          </w:tcPr>
          <w:p w:rsidR="008C0A47">
            <w:pPr>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w:t>
            </w:r>
            <w:r>
              <w:rPr>
                <w:rFonts w:ascii="宋体" w:hAnsi="宋体" w:cs="宋体" w:hint="eastAsia"/>
                <w:color w:val="000000"/>
                <w:kern w:val="0"/>
                <w:sz w:val="18"/>
                <w:szCs w:val="18"/>
              </w:rPr>
              <w:t>(Y)</w:t>
            </w:r>
          </w:p>
        </w:tc>
        <w:tc>
          <w:tcPr>
            <w:tcW w:w="641"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01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40000</w:t>
            </w:r>
          </w:p>
        </w:tc>
        <w:tc>
          <w:tcPr>
            <w:tcW w:w="153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5000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40000</w:t>
            </w:r>
          </w:p>
        </w:tc>
        <w:tc>
          <w:tcPr>
            <w:tcW w:w="1289" w:type="dxa"/>
            <w:tcBorders>
              <w:tl2br w:val="nil"/>
              <w:tr2bl w:val="nil"/>
            </w:tcBorders>
            <w:shd w:val="clear" w:color="auto" w:fill="auto"/>
            <w:vAlign w:val="center"/>
          </w:tcPr>
          <w:p w:rsidR="008C0A47">
            <w:pPr>
              <w:ind w:left="-1" w:hanging="1" w:leftChars="-1"/>
              <w:jc w:val="center"/>
              <w:rPr>
                <w:rFonts w:ascii="宋体" w:hAnsi="宋体" w:cs="宋体"/>
                <w:color w:val="000000"/>
                <w:kern w:val="0"/>
                <w:sz w:val="18"/>
                <w:szCs w:val="18"/>
              </w:rPr>
            </w:pPr>
            <w:r>
              <w:rPr>
                <w:rFonts w:ascii="宋体" w:hAnsi="宋体" w:cs="宋体" w:hint="eastAsia"/>
                <w:color w:val="000000"/>
                <w:kern w:val="0"/>
                <w:sz w:val="18"/>
                <w:szCs w:val="18"/>
              </w:rPr>
              <w:t>1000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5000</w:t>
            </w:r>
          </w:p>
        </w:tc>
        <w:tc>
          <w:tcPr>
            <w:tcW w:w="89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1000</w:t>
            </w:r>
          </w:p>
        </w:tc>
      </w:tr>
      <w:tr>
        <w:tblPrEx>
          <w:tblW w:w="8529" w:type="dxa"/>
          <w:tblLayout w:type="fixed"/>
          <w:tblLook w:val="04A0"/>
        </w:tblPrEx>
        <w:trPr>
          <w:trHeight w:hRule="exact" w:val="397"/>
        </w:trPr>
        <w:tc>
          <w:tcPr>
            <w:tcW w:w="1910" w:type="dxa"/>
            <w:vMerge w:val="restart"/>
            <w:tcBorders>
              <w:tl2br w:val="nil"/>
              <w:tr2bl w:val="nil"/>
            </w:tcBorders>
            <w:shd w:val="clear" w:color="auto" w:fill="auto"/>
            <w:vAlign w:val="center"/>
          </w:tcPr>
          <w:p w:rsidR="008C0A47">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零售业</w:t>
            </w:r>
          </w:p>
        </w:tc>
        <w:tc>
          <w:tcPr>
            <w:tcW w:w="1238"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从业人员</w:t>
            </w:r>
            <w:r>
              <w:rPr>
                <w:rFonts w:ascii="宋体" w:hAnsi="宋体" w:cs="宋体" w:hint="eastAsia"/>
                <w:color w:val="000000"/>
                <w:kern w:val="0"/>
                <w:sz w:val="18"/>
                <w:szCs w:val="18"/>
              </w:rPr>
              <w:t>(X)</w:t>
            </w:r>
          </w:p>
        </w:tc>
        <w:tc>
          <w:tcPr>
            <w:tcW w:w="641"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01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300</w:t>
            </w:r>
          </w:p>
        </w:tc>
        <w:tc>
          <w:tcPr>
            <w:tcW w:w="153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50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300</w:t>
            </w:r>
          </w:p>
        </w:tc>
        <w:tc>
          <w:tcPr>
            <w:tcW w:w="1289" w:type="dxa"/>
            <w:tcBorders>
              <w:tl2br w:val="nil"/>
              <w:tr2bl w:val="nil"/>
            </w:tcBorders>
            <w:shd w:val="clear" w:color="auto" w:fill="auto"/>
            <w:vAlign w:val="center"/>
          </w:tcPr>
          <w:p w:rsidR="008C0A47">
            <w:pPr>
              <w:ind w:left="-1" w:hanging="1" w:leftChars="-1"/>
              <w:jc w:val="center"/>
              <w:rPr>
                <w:rFonts w:ascii="宋体" w:hAnsi="宋体" w:cs="宋体"/>
                <w:color w:val="000000"/>
                <w:kern w:val="0"/>
                <w:sz w:val="18"/>
                <w:szCs w:val="18"/>
              </w:rPr>
            </w:pPr>
            <w:r>
              <w:rPr>
                <w:rFonts w:ascii="宋体" w:hAnsi="宋体" w:cs="宋体" w:hint="eastAsia"/>
                <w:color w:val="000000"/>
                <w:kern w:val="0"/>
                <w:sz w:val="18"/>
                <w:szCs w:val="18"/>
              </w:rPr>
              <w:t>10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 xml:space="preserve">50 </w:t>
            </w:r>
          </w:p>
        </w:tc>
        <w:tc>
          <w:tcPr>
            <w:tcW w:w="89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w:t>
            </w:r>
          </w:p>
        </w:tc>
      </w:tr>
      <w:tr>
        <w:tblPrEx>
          <w:tblW w:w="8529" w:type="dxa"/>
          <w:tblLayout w:type="fixed"/>
          <w:tblLook w:val="04A0"/>
        </w:tblPrEx>
        <w:trPr>
          <w:trHeight w:hRule="exact" w:val="397"/>
        </w:trPr>
        <w:tc>
          <w:tcPr>
            <w:tcW w:w="1910" w:type="dxa"/>
            <w:vMerge/>
            <w:tcBorders>
              <w:tl2br w:val="nil"/>
              <w:tr2bl w:val="nil"/>
            </w:tcBorders>
            <w:vAlign w:val="center"/>
          </w:tcPr>
          <w:p w:rsidR="008C0A47">
            <w:pPr>
              <w:jc w:val="left"/>
              <w:rPr>
                <w:rFonts w:ascii="宋体" w:hAnsi="宋体" w:cs="宋体"/>
                <w:color w:val="000000"/>
                <w:kern w:val="0"/>
                <w:sz w:val="18"/>
                <w:szCs w:val="18"/>
              </w:rPr>
            </w:pPr>
          </w:p>
        </w:tc>
        <w:tc>
          <w:tcPr>
            <w:tcW w:w="1238" w:type="dxa"/>
            <w:tcBorders>
              <w:tl2br w:val="nil"/>
              <w:tr2bl w:val="nil"/>
            </w:tcBorders>
            <w:shd w:val="clear" w:color="auto" w:fill="auto"/>
            <w:vAlign w:val="center"/>
          </w:tcPr>
          <w:p w:rsidR="008C0A47">
            <w:pPr>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w:t>
            </w:r>
            <w:r>
              <w:rPr>
                <w:rFonts w:ascii="宋体" w:hAnsi="宋体" w:cs="宋体" w:hint="eastAsia"/>
                <w:color w:val="000000"/>
                <w:kern w:val="0"/>
                <w:sz w:val="18"/>
                <w:szCs w:val="18"/>
              </w:rPr>
              <w:t>(Y)</w:t>
            </w:r>
          </w:p>
        </w:tc>
        <w:tc>
          <w:tcPr>
            <w:tcW w:w="641"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01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20000</w:t>
            </w:r>
          </w:p>
        </w:tc>
        <w:tc>
          <w:tcPr>
            <w:tcW w:w="153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500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20000</w:t>
            </w:r>
          </w:p>
        </w:tc>
        <w:tc>
          <w:tcPr>
            <w:tcW w:w="1289" w:type="dxa"/>
            <w:tcBorders>
              <w:tl2br w:val="nil"/>
              <w:tr2bl w:val="nil"/>
            </w:tcBorders>
            <w:shd w:val="clear" w:color="auto" w:fill="auto"/>
            <w:vAlign w:val="center"/>
          </w:tcPr>
          <w:p w:rsidR="008C0A47">
            <w:pPr>
              <w:ind w:left="-1" w:hanging="1" w:leftChars="-1"/>
              <w:jc w:val="center"/>
              <w:rPr>
                <w:rFonts w:ascii="宋体" w:hAnsi="宋体" w:cs="宋体"/>
                <w:color w:val="000000"/>
                <w:kern w:val="0"/>
                <w:sz w:val="18"/>
                <w:szCs w:val="18"/>
              </w:rPr>
            </w:pPr>
            <w:r>
              <w:rPr>
                <w:rFonts w:ascii="宋体" w:hAnsi="宋体" w:cs="宋体" w:hint="eastAsia"/>
                <w:color w:val="000000"/>
                <w:kern w:val="0"/>
                <w:sz w:val="18"/>
                <w:szCs w:val="18"/>
              </w:rPr>
              <w:t>100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 xml:space="preserve">500 </w:t>
            </w:r>
          </w:p>
        </w:tc>
        <w:tc>
          <w:tcPr>
            <w:tcW w:w="89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w:t>
            </w:r>
          </w:p>
        </w:tc>
      </w:tr>
      <w:tr>
        <w:tblPrEx>
          <w:tblW w:w="8529" w:type="dxa"/>
          <w:tblLayout w:type="fixed"/>
          <w:tblLook w:val="04A0"/>
        </w:tblPrEx>
        <w:trPr>
          <w:trHeight w:hRule="exact" w:val="397"/>
        </w:trPr>
        <w:tc>
          <w:tcPr>
            <w:tcW w:w="1910" w:type="dxa"/>
            <w:vMerge w:val="restart"/>
            <w:tcBorders>
              <w:tl2br w:val="nil"/>
              <w:tr2bl w:val="nil"/>
            </w:tcBorders>
            <w:shd w:val="clear" w:color="auto" w:fill="auto"/>
            <w:vAlign w:val="center"/>
          </w:tcPr>
          <w:p w:rsidR="008C0A47">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交通运输业</w:t>
            </w:r>
            <w:r>
              <w:rPr>
                <w:rFonts w:ascii="宋体" w:hAnsi="宋体" w:cs="宋体" w:hint="eastAsia"/>
                <w:color w:val="000000"/>
                <w:kern w:val="0"/>
                <w:sz w:val="18"/>
                <w:szCs w:val="18"/>
              </w:rPr>
              <w:t xml:space="preserve"> *</w:t>
            </w:r>
          </w:p>
        </w:tc>
        <w:tc>
          <w:tcPr>
            <w:tcW w:w="1238"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从业人员</w:t>
            </w:r>
            <w:r>
              <w:rPr>
                <w:rFonts w:ascii="宋体" w:hAnsi="宋体" w:cs="宋体" w:hint="eastAsia"/>
                <w:color w:val="000000"/>
                <w:kern w:val="0"/>
                <w:sz w:val="18"/>
                <w:szCs w:val="18"/>
              </w:rPr>
              <w:t>(X)</w:t>
            </w:r>
          </w:p>
        </w:tc>
        <w:tc>
          <w:tcPr>
            <w:tcW w:w="641"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01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1000</w:t>
            </w:r>
          </w:p>
        </w:tc>
        <w:tc>
          <w:tcPr>
            <w:tcW w:w="153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300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1000</w:t>
            </w:r>
          </w:p>
        </w:tc>
        <w:tc>
          <w:tcPr>
            <w:tcW w:w="1289"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20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300</w:t>
            </w:r>
          </w:p>
        </w:tc>
        <w:tc>
          <w:tcPr>
            <w:tcW w:w="89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20</w:t>
            </w:r>
          </w:p>
        </w:tc>
      </w:tr>
      <w:tr>
        <w:tblPrEx>
          <w:tblW w:w="8529" w:type="dxa"/>
          <w:tblLayout w:type="fixed"/>
          <w:tblLook w:val="04A0"/>
        </w:tblPrEx>
        <w:trPr>
          <w:trHeight w:hRule="exact" w:val="397"/>
        </w:trPr>
        <w:tc>
          <w:tcPr>
            <w:tcW w:w="1910" w:type="dxa"/>
            <w:vMerge/>
            <w:tcBorders>
              <w:tl2br w:val="nil"/>
              <w:tr2bl w:val="nil"/>
            </w:tcBorders>
            <w:vAlign w:val="center"/>
          </w:tcPr>
          <w:p w:rsidR="008C0A47">
            <w:pPr>
              <w:jc w:val="left"/>
              <w:rPr>
                <w:rFonts w:ascii="宋体" w:hAnsi="宋体" w:cs="宋体"/>
                <w:color w:val="000000"/>
                <w:kern w:val="0"/>
                <w:sz w:val="18"/>
                <w:szCs w:val="18"/>
              </w:rPr>
            </w:pPr>
          </w:p>
        </w:tc>
        <w:tc>
          <w:tcPr>
            <w:tcW w:w="1238" w:type="dxa"/>
            <w:tcBorders>
              <w:tl2br w:val="nil"/>
              <w:tr2bl w:val="nil"/>
            </w:tcBorders>
            <w:shd w:val="clear" w:color="auto" w:fill="auto"/>
            <w:vAlign w:val="center"/>
          </w:tcPr>
          <w:p w:rsidR="008C0A47">
            <w:pPr>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w:t>
            </w:r>
            <w:r>
              <w:rPr>
                <w:rFonts w:ascii="宋体" w:hAnsi="宋体" w:cs="宋体" w:hint="eastAsia"/>
                <w:color w:val="000000"/>
                <w:kern w:val="0"/>
                <w:sz w:val="18"/>
                <w:szCs w:val="18"/>
              </w:rPr>
              <w:t>(Y)</w:t>
            </w:r>
          </w:p>
        </w:tc>
        <w:tc>
          <w:tcPr>
            <w:tcW w:w="641"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01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30000</w:t>
            </w:r>
          </w:p>
        </w:tc>
        <w:tc>
          <w:tcPr>
            <w:tcW w:w="153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3000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30000</w:t>
            </w:r>
          </w:p>
        </w:tc>
        <w:tc>
          <w:tcPr>
            <w:tcW w:w="1289"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200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3000</w:t>
            </w:r>
          </w:p>
        </w:tc>
        <w:tc>
          <w:tcPr>
            <w:tcW w:w="89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200</w:t>
            </w:r>
          </w:p>
        </w:tc>
      </w:tr>
      <w:tr>
        <w:tblPrEx>
          <w:tblW w:w="8529" w:type="dxa"/>
          <w:tblLayout w:type="fixed"/>
          <w:tblLook w:val="04A0"/>
        </w:tblPrEx>
        <w:trPr>
          <w:trHeight w:hRule="exact" w:val="397"/>
        </w:trPr>
        <w:tc>
          <w:tcPr>
            <w:tcW w:w="1910" w:type="dxa"/>
            <w:vMerge w:val="restart"/>
            <w:tcBorders>
              <w:tl2br w:val="nil"/>
              <w:tr2bl w:val="nil"/>
            </w:tcBorders>
            <w:shd w:val="clear" w:color="auto" w:fill="auto"/>
            <w:vAlign w:val="center"/>
          </w:tcPr>
          <w:p w:rsidR="008C0A47">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仓储业</w:t>
            </w:r>
            <w:r>
              <w:rPr>
                <w:rFonts w:ascii="宋体" w:hAnsi="宋体" w:cs="宋体" w:hint="eastAsia"/>
                <w:color w:val="000000"/>
                <w:kern w:val="0"/>
                <w:sz w:val="18"/>
                <w:szCs w:val="18"/>
              </w:rPr>
              <w:t>*</w:t>
            </w:r>
          </w:p>
        </w:tc>
        <w:tc>
          <w:tcPr>
            <w:tcW w:w="1238"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从业人员</w:t>
            </w:r>
            <w:r>
              <w:rPr>
                <w:rFonts w:ascii="宋体" w:hAnsi="宋体" w:cs="宋体" w:hint="eastAsia"/>
                <w:color w:val="000000"/>
                <w:kern w:val="0"/>
                <w:sz w:val="18"/>
                <w:szCs w:val="18"/>
              </w:rPr>
              <w:t>(X)</w:t>
            </w:r>
          </w:p>
        </w:tc>
        <w:tc>
          <w:tcPr>
            <w:tcW w:w="641"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01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200</w:t>
            </w:r>
          </w:p>
        </w:tc>
        <w:tc>
          <w:tcPr>
            <w:tcW w:w="1537" w:type="dxa"/>
            <w:tcBorders>
              <w:tl2br w:val="nil"/>
              <w:tr2bl w:val="nil"/>
            </w:tcBorders>
            <w:shd w:val="clear" w:color="auto" w:fill="auto"/>
            <w:vAlign w:val="center"/>
          </w:tcPr>
          <w:p w:rsidR="008C0A47">
            <w:pPr>
              <w:ind w:left="22" w:hanging="144" w:leftChars="-51" w:hangingChars="60"/>
              <w:jc w:val="center"/>
              <w:rPr>
                <w:rFonts w:ascii="宋体" w:hAnsi="宋体" w:cs="宋体"/>
                <w:color w:val="000000"/>
                <w:kern w:val="0"/>
                <w:sz w:val="18"/>
                <w:szCs w:val="18"/>
              </w:rPr>
            </w:pPr>
            <w:r>
              <w:rPr>
                <w:rFonts w:ascii="宋体" w:hAnsi="宋体" w:cs="宋体" w:hint="eastAsia"/>
                <w:color w:val="000000"/>
                <w:kern w:val="0"/>
                <w:sz w:val="18"/>
                <w:szCs w:val="18"/>
              </w:rPr>
              <w:t>100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200</w:t>
            </w:r>
          </w:p>
        </w:tc>
        <w:tc>
          <w:tcPr>
            <w:tcW w:w="1289"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20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100</w:t>
            </w:r>
          </w:p>
        </w:tc>
        <w:tc>
          <w:tcPr>
            <w:tcW w:w="89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20</w:t>
            </w:r>
          </w:p>
        </w:tc>
      </w:tr>
      <w:tr>
        <w:tblPrEx>
          <w:tblW w:w="8529" w:type="dxa"/>
          <w:tblLayout w:type="fixed"/>
          <w:tblLook w:val="04A0"/>
        </w:tblPrEx>
        <w:trPr>
          <w:trHeight w:hRule="exact" w:val="397"/>
        </w:trPr>
        <w:tc>
          <w:tcPr>
            <w:tcW w:w="1910" w:type="dxa"/>
            <w:vMerge/>
            <w:tcBorders>
              <w:tl2br w:val="nil"/>
              <w:tr2bl w:val="nil"/>
            </w:tcBorders>
            <w:vAlign w:val="center"/>
          </w:tcPr>
          <w:p w:rsidR="008C0A47">
            <w:pPr>
              <w:jc w:val="left"/>
              <w:rPr>
                <w:rFonts w:ascii="宋体" w:hAnsi="宋体" w:cs="宋体"/>
                <w:color w:val="000000"/>
                <w:kern w:val="0"/>
                <w:sz w:val="18"/>
                <w:szCs w:val="18"/>
              </w:rPr>
            </w:pPr>
          </w:p>
        </w:tc>
        <w:tc>
          <w:tcPr>
            <w:tcW w:w="1238" w:type="dxa"/>
            <w:tcBorders>
              <w:tl2br w:val="nil"/>
              <w:tr2bl w:val="nil"/>
            </w:tcBorders>
            <w:shd w:val="clear" w:color="auto" w:fill="auto"/>
            <w:vAlign w:val="center"/>
          </w:tcPr>
          <w:p w:rsidR="008C0A47">
            <w:pPr>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w:t>
            </w:r>
            <w:r>
              <w:rPr>
                <w:rFonts w:ascii="宋体" w:hAnsi="宋体" w:cs="宋体" w:hint="eastAsia"/>
                <w:color w:val="000000"/>
                <w:kern w:val="0"/>
                <w:sz w:val="18"/>
                <w:szCs w:val="18"/>
              </w:rPr>
              <w:t>(Y)</w:t>
            </w:r>
          </w:p>
        </w:tc>
        <w:tc>
          <w:tcPr>
            <w:tcW w:w="641"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01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30000</w:t>
            </w:r>
          </w:p>
        </w:tc>
        <w:tc>
          <w:tcPr>
            <w:tcW w:w="153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1000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30000</w:t>
            </w:r>
          </w:p>
        </w:tc>
        <w:tc>
          <w:tcPr>
            <w:tcW w:w="1289"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100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1000</w:t>
            </w:r>
          </w:p>
        </w:tc>
        <w:tc>
          <w:tcPr>
            <w:tcW w:w="89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w:t>
            </w:r>
          </w:p>
        </w:tc>
      </w:tr>
      <w:tr>
        <w:tblPrEx>
          <w:tblW w:w="8529" w:type="dxa"/>
          <w:tblLayout w:type="fixed"/>
          <w:tblLook w:val="04A0"/>
        </w:tblPrEx>
        <w:trPr>
          <w:trHeight w:hRule="exact" w:val="397"/>
        </w:trPr>
        <w:tc>
          <w:tcPr>
            <w:tcW w:w="1910" w:type="dxa"/>
            <w:vMerge w:val="restart"/>
            <w:tcBorders>
              <w:tl2br w:val="nil"/>
              <w:tr2bl w:val="nil"/>
            </w:tcBorders>
            <w:shd w:val="clear" w:color="auto" w:fill="auto"/>
            <w:vAlign w:val="center"/>
          </w:tcPr>
          <w:p w:rsidR="008C0A47">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邮政业</w:t>
            </w:r>
          </w:p>
        </w:tc>
        <w:tc>
          <w:tcPr>
            <w:tcW w:w="1238"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从业人员</w:t>
            </w:r>
            <w:r>
              <w:rPr>
                <w:rFonts w:ascii="宋体" w:hAnsi="宋体" w:cs="宋体" w:hint="eastAsia"/>
                <w:color w:val="000000"/>
                <w:kern w:val="0"/>
                <w:sz w:val="18"/>
                <w:szCs w:val="18"/>
              </w:rPr>
              <w:t>(X)</w:t>
            </w:r>
          </w:p>
        </w:tc>
        <w:tc>
          <w:tcPr>
            <w:tcW w:w="641"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01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1000</w:t>
            </w:r>
          </w:p>
        </w:tc>
        <w:tc>
          <w:tcPr>
            <w:tcW w:w="153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300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1000</w:t>
            </w:r>
          </w:p>
        </w:tc>
        <w:tc>
          <w:tcPr>
            <w:tcW w:w="1289"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20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300</w:t>
            </w:r>
          </w:p>
        </w:tc>
        <w:tc>
          <w:tcPr>
            <w:tcW w:w="89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20</w:t>
            </w:r>
          </w:p>
        </w:tc>
      </w:tr>
      <w:tr>
        <w:tblPrEx>
          <w:tblW w:w="8529" w:type="dxa"/>
          <w:tblLayout w:type="fixed"/>
          <w:tblLook w:val="04A0"/>
        </w:tblPrEx>
        <w:trPr>
          <w:trHeight w:hRule="exact" w:val="397"/>
        </w:trPr>
        <w:tc>
          <w:tcPr>
            <w:tcW w:w="1910" w:type="dxa"/>
            <w:vMerge/>
            <w:tcBorders>
              <w:tl2br w:val="nil"/>
              <w:tr2bl w:val="nil"/>
            </w:tcBorders>
            <w:vAlign w:val="center"/>
          </w:tcPr>
          <w:p w:rsidR="008C0A47">
            <w:pPr>
              <w:jc w:val="left"/>
              <w:rPr>
                <w:rFonts w:ascii="宋体" w:hAnsi="宋体" w:cs="宋体"/>
                <w:color w:val="000000"/>
                <w:kern w:val="0"/>
                <w:sz w:val="18"/>
                <w:szCs w:val="18"/>
              </w:rPr>
            </w:pPr>
          </w:p>
        </w:tc>
        <w:tc>
          <w:tcPr>
            <w:tcW w:w="1238" w:type="dxa"/>
            <w:tcBorders>
              <w:tl2br w:val="nil"/>
              <w:tr2bl w:val="nil"/>
            </w:tcBorders>
            <w:shd w:val="clear" w:color="auto" w:fill="auto"/>
            <w:vAlign w:val="center"/>
          </w:tcPr>
          <w:p w:rsidR="008C0A47">
            <w:pPr>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w:t>
            </w:r>
            <w:r>
              <w:rPr>
                <w:rFonts w:ascii="宋体" w:hAnsi="宋体" w:cs="宋体" w:hint="eastAsia"/>
                <w:color w:val="000000"/>
                <w:kern w:val="0"/>
                <w:sz w:val="18"/>
                <w:szCs w:val="18"/>
              </w:rPr>
              <w:t>(Y)</w:t>
            </w:r>
          </w:p>
        </w:tc>
        <w:tc>
          <w:tcPr>
            <w:tcW w:w="641"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01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30000</w:t>
            </w:r>
          </w:p>
        </w:tc>
        <w:tc>
          <w:tcPr>
            <w:tcW w:w="153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2000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30000</w:t>
            </w:r>
          </w:p>
        </w:tc>
        <w:tc>
          <w:tcPr>
            <w:tcW w:w="1289"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100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2000</w:t>
            </w:r>
          </w:p>
        </w:tc>
        <w:tc>
          <w:tcPr>
            <w:tcW w:w="89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w:t>
            </w:r>
          </w:p>
        </w:tc>
      </w:tr>
      <w:tr>
        <w:tblPrEx>
          <w:tblW w:w="8529" w:type="dxa"/>
          <w:tblLayout w:type="fixed"/>
          <w:tblLook w:val="04A0"/>
        </w:tblPrEx>
        <w:trPr>
          <w:trHeight w:hRule="exact" w:val="397"/>
        </w:trPr>
        <w:tc>
          <w:tcPr>
            <w:tcW w:w="1910" w:type="dxa"/>
            <w:vMerge w:val="restart"/>
            <w:tcBorders>
              <w:tl2br w:val="nil"/>
              <w:tr2bl w:val="nil"/>
            </w:tcBorders>
            <w:shd w:val="clear" w:color="auto" w:fill="auto"/>
            <w:vAlign w:val="center"/>
          </w:tcPr>
          <w:p w:rsidR="008C0A47">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住宿业</w:t>
            </w:r>
          </w:p>
        </w:tc>
        <w:tc>
          <w:tcPr>
            <w:tcW w:w="1238"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从业人员</w:t>
            </w:r>
            <w:r>
              <w:rPr>
                <w:rFonts w:ascii="宋体" w:hAnsi="宋体" w:cs="宋体" w:hint="eastAsia"/>
                <w:color w:val="000000"/>
                <w:kern w:val="0"/>
                <w:sz w:val="18"/>
                <w:szCs w:val="18"/>
              </w:rPr>
              <w:t>(X)</w:t>
            </w:r>
          </w:p>
        </w:tc>
        <w:tc>
          <w:tcPr>
            <w:tcW w:w="641"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01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300</w:t>
            </w:r>
          </w:p>
        </w:tc>
        <w:tc>
          <w:tcPr>
            <w:tcW w:w="1537" w:type="dxa"/>
            <w:tcBorders>
              <w:tl2br w:val="nil"/>
              <w:tr2bl w:val="nil"/>
            </w:tcBorders>
            <w:shd w:val="clear" w:color="auto" w:fill="auto"/>
            <w:vAlign w:val="center"/>
          </w:tcPr>
          <w:p w:rsidR="008C0A47">
            <w:pPr>
              <w:ind w:left="22" w:hanging="144" w:leftChars="-51" w:hangingChars="60"/>
              <w:jc w:val="center"/>
              <w:rPr>
                <w:rFonts w:ascii="宋体" w:hAnsi="宋体" w:cs="宋体"/>
                <w:color w:val="000000"/>
                <w:kern w:val="0"/>
                <w:sz w:val="18"/>
                <w:szCs w:val="18"/>
              </w:rPr>
            </w:pPr>
            <w:r>
              <w:rPr>
                <w:rFonts w:ascii="宋体" w:hAnsi="宋体" w:cs="宋体" w:hint="eastAsia"/>
                <w:color w:val="000000"/>
                <w:kern w:val="0"/>
                <w:sz w:val="18"/>
                <w:szCs w:val="18"/>
              </w:rPr>
              <w:t>100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 xml:space="preserve">300 </w:t>
            </w:r>
          </w:p>
        </w:tc>
        <w:tc>
          <w:tcPr>
            <w:tcW w:w="1289"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10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100</w:t>
            </w:r>
          </w:p>
        </w:tc>
        <w:tc>
          <w:tcPr>
            <w:tcW w:w="89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w:t>
            </w:r>
          </w:p>
        </w:tc>
      </w:tr>
      <w:tr>
        <w:tblPrEx>
          <w:tblW w:w="8529" w:type="dxa"/>
          <w:tblLayout w:type="fixed"/>
          <w:tblLook w:val="04A0"/>
        </w:tblPrEx>
        <w:trPr>
          <w:trHeight w:hRule="exact" w:val="397"/>
        </w:trPr>
        <w:tc>
          <w:tcPr>
            <w:tcW w:w="1910" w:type="dxa"/>
            <w:vMerge/>
            <w:tcBorders>
              <w:tl2br w:val="nil"/>
              <w:tr2bl w:val="nil"/>
            </w:tcBorders>
            <w:vAlign w:val="center"/>
          </w:tcPr>
          <w:p w:rsidR="008C0A47">
            <w:pPr>
              <w:jc w:val="left"/>
              <w:rPr>
                <w:rFonts w:ascii="宋体" w:hAnsi="宋体" w:cs="宋体"/>
                <w:color w:val="000000"/>
                <w:kern w:val="0"/>
                <w:sz w:val="18"/>
                <w:szCs w:val="18"/>
              </w:rPr>
            </w:pPr>
          </w:p>
        </w:tc>
        <w:tc>
          <w:tcPr>
            <w:tcW w:w="1238" w:type="dxa"/>
            <w:tcBorders>
              <w:tl2br w:val="nil"/>
              <w:tr2bl w:val="nil"/>
            </w:tcBorders>
            <w:shd w:val="clear" w:color="auto" w:fill="auto"/>
            <w:vAlign w:val="center"/>
          </w:tcPr>
          <w:p w:rsidR="008C0A47">
            <w:pPr>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w:t>
            </w:r>
            <w:r>
              <w:rPr>
                <w:rFonts w:ascii="宋体" w:hAnsi="宋体" w:cs="宋体" w:hint="eastAsia"/>
                <w:color w:val="000000"/>
                <w:kern w:val="0"/>
                <w:sz w:val="18"/>
                <w:szCs w:val="18"/>
              </w:rPr>
              <w:t>(Y)</w:t>
            </w:r>
          </w:p>
        </w:tc>
        <w:tc>
          <w:tcPr>
            <w:tcW w:w="641"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01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10000</w:t>
            </w:r>
          </w:p>
        </w:tc>
        <w:tc>
          <w:tcPr>
            <w:tcW w:w="153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2000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10000</w:t>
            </w:r>
          </w:p>
        </w:tc>
        <w:tc>
          <w:tcPr>
            <w:tcW w:w="1289"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100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2000</w:t>
            </w:r>
          </w:p>
        </w:tc>
        <w:tc>
          <w:tcPr>
            <w:tcW w:w="89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w:t>
            </w:r>
          </w:p>
        </w:tc>
      </w:tr>
      <w:tr>
        <w:tblPrEx>
          <w:tblW w:w="8529" w:type="dxa"/>
          <w:tblLayout w:type="fixed"/>
          <w:tblLook w:val="04A0"/>
        </w:tblPrEx>
        <w:trPr>
          <w:trHeight w:hRule="exact" w:val="397"/>
        </w:trPr>
        <w:tc>
          <w:tcPr>
            <w:tcW w:w="1910" w:type="dxa"/>
            <w:vMerge w:val="restart"/>
            <w:tcBorders>
              <w:tl2br w:val="nil"/>
              <w:tr2bl w:val="nil"/>
            </w:tcBorders>
            <w:shd w:val="clear" w:color="auto" w:fill="auto"/>
            <w:vAlign w:val="center"/>
          </w:tcPr>
          <w:p w:rsidR="008C0A47">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餐饮业</w:t>
            </w:r>
          </w:p>
        </w:tc>
        <w:tc>
          <w:tcPr>
            <w:tcW w:w="1238"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从业人员</w:t>
            </w:r>
            <w:r>
              <w:rPr>
                <w:rFonts w:ascii="宋体" w:hAnsi="宋体" w:cs="宋体" w:hint="eastAsia"/>
                <w:color w:val="000000"/>
                <w:kern w:val="0"/>
                <w:sz w:val="18"/>
                <w:szCs w:val="18"/>
              </w:rPr>
              <w:t>(X)</w:t>
            </w:r>
          </w:p>
        </w:tc>
        <w:tc>
          <w:tcPr>
            <w:tcW w:w="641"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01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300</w:t>
            </w:r>
          </w:p>
        </w:tc>
        <w:tc>
          <w:tcPr>
            <w:tcW w:w="1537" w:type="dxa"/>
            <w:tcBorders>
              <w:tl2br w:val="nil"/>
              <w:tr2bl w:val="nil"/>
            </w:tcBorders>
            <w:shd w:val="clear" w:color="auto" w:fill="auto"/>
            <w:vAlign w:val="center"/>
          </w:tcPr>
          <w:p w:rsidR="008C0A47">
            <w:pPr>
              <w:ind w:left="22" w:hanging="144" w:leftChars="-51" w:hangingChars="60"/>
              <w:jc w:val="center"/>
              <w:rPr>
                <w:rFonts w:ascii="宋体" w:hAnsi="宋体" w:cs="宋体"/>
                <w:color w:val="000000"/>
                <w:kern w:val="0"/>
                <w:sz w:val="18"/>
                <w:szCs w:val="18"/>
              </w:rPr>
            </w:pPr>
            <w:r>
              <w:rPr>
                <w:rFonts w:ascii="宋体" w:hAnsi="宋体" w:cs="宋体" w:hint="eastAsia"/>
                <w:color w:val="000000"/>
                <w:kern w:val="0"/>
                <w:sz w:val="18"/>
                <w:szCs w:val="18"/>
              </w:rPr>
              <w:t>100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 xml:space="preserve">300 </w:t>
            </w:r>
          </w:p>
        </w:tc>
        <w:tc>
          <w:tcPr>
            <w:tcW w:w="1289"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10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100</w:t>
            </w:r>
          </w:p>
        </w:tc>
        <w:tc>
          <w:tcPr>
            <w:tcW w:w="89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w:t>
            </w:r>
          </w:p>
        </w:tc>
      </w:tr>
      <w:tr>
        <w:tblPrEx>
          <w:tblW w:w="8529" w:type="dxa"/>
          <w:tblLayout w:type="fixed"/>
          <w:tblLook w:val="04A0"/>
        </w:tblPrEx>
        <w:trPr>
          <w:trHeight w:hRule="exact" w:val="397"/>
        </w:trPr>
        <w:tc>
          <w:tcPr>
            <w:tcW w:w="1910" w:type="dxa"/>
            <w:vMerge/>
            <w:tcBorders>
              <w:tl2br w:val="nil"/>
              <w:tr2bl w:val="nil"/>
            </w:tcBorders>
            <w:vAlign w:val="center"/>
          </w:tcPr>
          <w:p w:rsidR="008C0A47">
            <w:pPr>
              <w:jc w:val="left"/>
              <w:rPr>
                <w:rFonts w:ascii="宋体" w:hAnsi="宋体" w:cs="宋体"/>
                <w:color w:val="000000"/>
                <w:kern w:val="0"/>
                <w:sz w:val="18"/>
                <w:szCs w:val="18"/>
              </w:rPr>
            </w:pPr>
          </w:p>
        </w:tc>
        <w:tc>
          <w:tcPr>
            <w:tcW w:w="1238" w:type="dxa"/>
            <w:tcBorders>
              <w:tl2br w:val="nil"/>
              <w:tr2bl w:val="nil"/>
            </w:tcBorders>
            <w:shd w:val="clear" w:color="auto" w:fill="auto"/>
            <w:vAlign w:val="center"/>
          </w:tcPr>
          <w:p w:rsidR="008C0A47">
            <w:pPr>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w:t>
            </w:r>
            <w:r>
              <w:rPr>
                <w:rFonts w:ascii="宋体" w:hAnsi="宋体" w:cs="宋体" w:hint="eastAsia"/>
                <w:color w:val="000000"/>
                <w:kern w:val="0"/>
                <w:sz w:val="18"/>
                <w:szCs w:val="18"/>
              </w:rPr>
              <w:t>(Y)</w:t>
            </w:r>
          </w:p>
        </w:tc>
        <w:tc>
          <w:tcPr>
            <w:tcW w:w="641"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01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10000</w:t>
            </w:r>
          </w:p>
        </w:tc>
        <w:tc>
          <w:tcPr>
            <w:tcW w:w="153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2000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10000</w:t>
            </w:r>
          </w:p>
        </w:tc>
        <w:tc>
          <w:tcPr>
            <w:tcW w:w="1289"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100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2000</w:t>
            </w:r>
          </w:p>
        </w:tc>
        <w:tc>
          <w:tcPr>
            <w:tcW w:w="89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w:t>
            </w:r>
          </w:p>
        </w:tc>
      </w:tr>
      <w:tr>
        <w:tblPrEx>
          <w:tblW w:w="8529" w:type="dxa"/>
          <w:tblLayout w:type="fixed"/>
          <w:tblLook w:val="04A0"/>
        </w:tblPrEx>
        <w:trPr>
          <w:trHeight w:hRule="exact" w:val="397"/>
        </w:trPr>
        <w:tc>
          <w:tcPr>
            <w:tcW w:w="1910" w:type="dxa"/>
            <w:vMerge w:val="restart"/>
            <w:tcBorders>
              <w:tl2br w:val="nil"/>
              <w:tr2bl w:val="nil"/>
            </w:tcBorders>
            <w:shd w:val="clear" w:color="auto" w:fill="auto"/>
            <w:vAlign w:val="center"/>
          </w:tcPr>
          <w:p w:rsidR="008C0A47">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信息传输业</w:t>
            </w:r>
            <w:r>
              <w:rPr>
                <w:rFonts w:ascii="宋体" w:hAnsi="宋体" w:cs="宋体" w:hint="eastAsia"/>
                <w:color w:val="000000"/>
                <w:kern w:val="0"/>
                <w:sz w:val="18"/>
                <w:szCs w:val="18"/>
              </w:rPr>
              <w:t xml:space="preserve"> *</w:t>
            </w:r>
          </w:p>
        </w:tc>
        <w:tc>
          <w:tcPr>
            <w:tcW w:w="1238"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从业人员</w:t>
            </w:r>
            <w:r>
              <w:rPr>
                <w:rFonts w:ascii="宋体" w:hAnsi="宋体" w:cs="宋体" w:hint="eastAsia"/>
                <w:color w:val="000000"/>
                <w:kern w:val="0"/>
                <w:sz w:val="18"/>
                <w:szCs w:val="18"/>
              </w:rPr>
              <w:t>(X)</w:t>
            </w:r>
          </w:p>
        </w:tc>
        <w:tc>
          <w:tcPr>
            <w:tcW w:w="641"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01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2000</w:t>
            </w:r>
          </w:p>
        </w:tc>
        <w:tc>
          <w:tcPr>
            <w:tcW w:w="153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100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2000</w:t>
            </w:r>
          </w:p>
        </w:tc>
        <w:tc>
          <w:tcPr>
            <w:tcW w:w="1289"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10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100</w:t>
            </w:r>
          </w:p>
        </w:tc>
        <w:tc>
          <w:tcPr>
            <w:tcW w:w="89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w:t>
            </w:r>
          </w:p>
        </w:tc>
      </w:tr>
      <w:tr>
        <w:tblPrEx>
          <w:tblW w:w="8529" w:type="dxa"/>
          <w:tblLayout w:type="fixed"/>
          <w:tblLook w:val="04A0"/>
        </w:tblPrEx>
        <w:trPr>
          <w:trHeight w:hRule="exact" w:val="397"/>
        </w:trPr>
        <w:tc>
          <w:tcPr>
            <w:tcW w:w="1910" w:type="dxa"/>
            <w:vMerge/>
            <w:tcBorders>
              <w:tl2br w:val="nil"/>
              <w:tr2bl w:val="nil"/>
            </w:tcBorders>
            <w:vAlign w:val="center"/>
          </w:tcPr>
          <w:p w:rsidR="008C0A47">
            <w:pPr>
              <w:jc w:val="left"/>
              <w:rPr>
                <w:rFonts w:ascii="宋体" w:hAnsi="宋体" w:cs="宋体"/>
                <w:color w:val="000000"/>
                <w:kern w:val="0"/>
                <w:sz w:val="18"/>
                <w:szCs w:val="18"/>
              </w:rPr>
            </w:pPr>
          </w:p>
        </w:tc>
        <w:tc>
          <w:tcPr>
            <w:tcW w:w="1238" w:type="dxa"/>
            <w:tcBorders>
              <w:tl2br w:val="nil"/>
              <w:tr2bl w:val="nil"/>
            </w:tcBorders>
            <w:shd w:val="clear" w:color="auto" w:fill="auto"/>
            <w:vAlign w:val="center"/>
          </w:tcPr>
          <w:p w:rsidR="008C0A47">
            <w:pPr>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w:t>
            </w:r>
            <w:r>
              <w:rPr>
                <w:rFonts w:ascii="宋体" w:hAnsi="宋体" w:cs="宋体" w:hint="eastAsia"/>
                <w:color w:val="000000"/>
                <w:kern w:val="0"/>
                <w:sz w:val="18"/>
                <w:szCs w:val="18"/>
              </w:rPr>
              <w:t>(Y)</w:t>
            </w:r>
          </w:p>
        </w:tc>
        <w:tc>
          <w:tcPr>
            <w:tcW w:w="641"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01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100000</w:t>
            </w:r>
          </w:p>
        </w:tc>
        <w:tc>
          <w:tcPr>
            <w:tcW w:w="153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1000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100000</w:t>
            </w:r>
          </w:p>
        </w:tc>
        <w:tc>
          <w:tcPr>
            <w:tcW w:w="1289"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100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1000</w:t>
            </w:r>
          </w:p>
        </w:tc>
        <w:tc>
          <w:tcPr>
            <w:tcW w:w="89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w:t>
            </w:r>
          </w:p>
        </w:tc>
      </w:tr>
      <w:tr>
        <w:tblPrEx>
          <w:tblW w:w="8529" w:type="dxa"/>
          <w:tblLayout w:type="fixed"/>
          <w:tblLook w:val="04A0"/>
        </w:tblPrEx>
        <w:trPr>
          <w:trHeight w:hRule="exact" w:val="340"/>
        </w:trPr>
        <w:tc>
          <w:tcPr>
            <w:tcW w:w="1910" w:type="dxa"/>
            <w:vMerge w:val="restart"/>
            <w:tcBorders>
              <w:tl2br w:val="nil"/>
              <w:tr2bl w:val="nil"/>
            </w:tcBorders>
            <w:shd w:val="clear" w:color="auto" w:fill="auto"/>
            <w:vAlign w:val="center"/>
          </w:tcPr>
          <w:p w:rsidR="008C0A47">
            <w:pPr>
              <w:spacing w:line="240" w:lineRule="exact"/>
              <w:jc w:val="left"/>
              <w:rPr>
                <w:rFonts w:ascii="宋体" w:hAnsi="宋体" w:cs="宋体"/>
                <w:color w:val="000000"/>
                <w:spacing w:val="-12"/>
                <w:kern w:val="0"/>
                <w:sz w:val="18"/>
                <w:szCs w:val="18"/>
              </w:rPr>
            </w:pPr>
            <w:r>
              <w:rPr>
                <w:rFonts w:ascii="宋体" w:hAnsi="宋体" w:cs="宋体" w:hint="eastAsia"/>
                <w:color w:val="000000"/>
                <w:spacing w:val="-12"/>
                <w:kern w:val="0"/>
                <w:sz w:val="18"/>
                <w:szCs w:val="18"/>
              </w:rPr>
              <w:t>软件和信息技术服</w:t>
            </w:r>
            <w:r>
              <w:rPr>
                <w:rFonts w:ascii="宋体" w:hAnsi="宋体" w:cs="宋体" w:hint="eastAsia"/>
                <w:color w:val="000000"/>
                <w:kern w:val="0"/>
                <w:sz w:val="18"/>
                <w:szCs w:val="18"/>
              </w:rPr>
              <w:t>务业</w:t>
            </w:r>
          </w:p>
        </w:tc>
        <w:tc>
          <w:tcPr>
            <w:tcW w:w="1238"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从业人员</w:t>
            </w:r>
            <w:r>
              <w:rPr>
                <w:rFonts w:ascii="宋体" w:hAnsi="宋体" w:cs="宋体" w:hint="eastAsia"/>
                <w:color w:val="000000"/>
                <w:kern w:val="0"/>
                <w:sz w:val="18"/>
                <w:szCs w:val="18"/>
              </w:rPr>
              <w:t>(X)</w:t>
            </w:r>
          </w:p>
        </w:tc>
        <w:tc>
          <w:tcPr>
            <w:tcW w:w="641"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01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300</w:t>
            </w:r>
          </w:p>
        </w:tc>
        <w:tc>
          <w:tcPr>
            <w:tcW w:w="1537" w:type="dxa"/>
            <w:tcBorders>
              <w:tl2br w:val="nil"/>
              <w:tr2bl w:val="nil"/>
            </w:tcBorders>
            <w:shd w:val="clear" w:color="auto" w:fill="auto"/>
            <w:vAlign w:val="center"/>
          </w:tcPr>
          <w:p w:rsidR="008C0A47">
            <w:pPr>
              <w:ind w:left="22" w:hanging="144" w:leftChars="-51" w:hangingChars="60"/>
              <w:jc w:val="center"/>
              <w:rPr>
                <w:rFonts w:ascii="宋体" w:hAnsi="宋体" w:cs="宋体"/>
                <w:color w:val="000000"/>
                <w:kern w:val="0"/>
                <w:sz w:val="18"/>
                <w:szCs w:val="18"/>
              </w:rPr>
            </w:pPr>
            <w:r>
              <w:rPr>
                <w:rFonts w:ascii="宋体" w:hAnsi="宋体" w:cs="宋体" w:hint="eastAsia"/>
                <w:color w:val="000000"/>
                <w:kern w:val="0"/>
                <w:sz w:val="18"/>
                <w:szCs w:val="18"/>
              </w:rPr>
              <w:t>100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 xml:space="preserve">300 </w:t>
            </w:r>
          </w:p>
        </w:tc>
        <w:tc>
          <w:tcPr>
            <w:tcW w:w="1289"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10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100</w:t>
            </w:r>
          </w:p>
        </w:tc>
        <w:tc>
          <w:tcPr>
            <w:tcW w:w="89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w:t>
            </w:r>
          </w:p>
        </w:tc>
      </w:tr>
      <w:tr>
        <w:tblPrEx>
          <w:tblW w:w="8529" w:type="dxa"/>
          <w:tblLayout w:type="fixed"/>
          <w:tblLook w:val="04A0"/>
        </w:tblPrEx>
        <w:trPr>
          <w:trHeight w:hRule="exact" w:val="340"/>
        </w:trPr>
        <w:tc>
          <w:tcPr>
            <w:tcW w:w="1910" w:type="dxa"/>
            <w:vMerge/>
            <w:tcBorders>
              <w:tl2br w:val="nil"/>
              <w:tr2bl w:val="nil"/>
            </w:tcBorders>
            <w:vAlign w:val="center"/>
          </w:tcPr>
          <w:p w:rsidR="008C0A47">
            <w:pPr>
              <w:jc w:val="left"/>
              <w:rPr>
                <w:rFonts w:ascii="宋体" w:hAnsi="宋体" w:cs="宋体"/>
                <w:color w:val="000000"/>
                <w:spacing w:val="-12"/>
                <w:kern w:val="0"/>
                <w:sz w:val="18"/>
                <w:szCs w:val="18"/>
              </w:rPr>
            </w:pPr>
          </w:p>
        </w:tc>
        <w:tc>
          <w:tcPr>
            <w:tcW w:w="1238"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营业收入</w:t>
            </w:r>
            <w:r>
              <w:rPr>
                <w:rFonts w:ascii="宋体" w:hAnsi="宋体" w:cs="宋体" w:hint="eastAsia"/>
                <w:color w:val="000000"/>
                <w:kern w:val="0"/>
                <w:sz w:val="18"/>
                <w:szCs w:val="18"/>
              </w:rPr>
              <w:t>(Y)</w:t>
            </w:r>
          </w:p>
        </w:tc>
        <w:tc>
          <w:tcPr>
            <w:tcW w:w="641"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01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10000</w:t>
            </w:r>
          </w:p>
        </w:tc>
        <w:tc>
          <w:tcPr>
            <w:tcW w:w="153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1000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10000</w:t>
            </w:r>
          </w:p>
        </w:tc>
        <w:tc>
          <w:tcPr>
            <w:tcW w:w="1289"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50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1000</w:t>
            </w:r>
          </w:p>
        </w:tc>
        <w:tc>
          <w:tcPr>
            <w:tcW w:w="89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50</w:t>
            </w:r>
          </w:p>
        </w:tc>
      </w:tr>
      <w:tr>
        <w:tblPrEx>
          <w:tblW w:w="8529" w:type="dxa"/>
          <w:tblLayout w:type="fixed"/>
          <w:tblLook w:val="04A0"/>
        </w:tblPrEx>
        <w:trPr>
          <w:trHeight w:hRule="exact" w:val="340"/>
        </w:trPr>
        <w:tc>
          <w:tcPr>
            <w:tcW w:w="1910" w:type="dxa"/>
            <w:vMerge w:val="restart"/>
            <w:tcBorders>
              <w:tl2br w:val="nil"/>
              <w:tr2bl w:val="nil"/>
            </w:tcBorders>
            <w:shd w:val="clear" w:color="auto" w:fill="auto"/>
            <w:vAlign w:val="center"/>
          </w:tcPr>
          <w:p w:rsidR="008C0A47">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房地产开发经营</w:t>
            </w:r>
          </w:p>
        </w:tc>
        <w:tc>
          <w:tcPr>
            <w:tcW w:w="1238"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营业收入</w:t>
            </w:r>
            <w:r>
              <w:rPr>
                <w:rFonts w:ascii="宋体" w:hAnsi="宋体" w:cs="宋体" w:hint="eastAsia"/>
                <w:color w:val="000000"/>
                <w:kern w:val="0"/>
                <w:sz w:val="18"/>
                <w:szCs w:val="18"/>
              </w:rPr>
              <w:t>(Y)</w:t>
            </w:r>
          </w:p>
        </w:tc>
        <w:tc>
          <w:tcPr>
            <w:tcW w:w="641"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01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200000</w:t>
            </w:r>
          </w:p>
        </w:tc>
        <w:tc>
          <w:tcPr>
            <w:tcW w:w="153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1000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200000</w:t>
            </w:r>
          </w:p>
        </w:tc>
        <w:tc>
          <w:tcPr>
            <w:tcW w:w="1289"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100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1000</w:t>
            </w:r>
          </w:p>
        </w:tc>
        <w:tc>
          <w:tcPr>
            <w:tcW w:w="89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w:t>
            </w:r>
          </w:p>
        </w:tc>
      </w:tr>
      <w:tr>
        <w:tblPrEx>
          <w:tblW w:w="8529" w:type="dxa"/>
          <w:tblLayout w:type="fixed"/>
          <w:tblLook w:val="04A0"/>
        </w:tblPrEx>
        <w:trPr>
          <w:trHeight w:hRule="exact" w:val="340"/>
        </w:trPr>
        <w:tc>
          <w:tcPr>
            <w:tcW w:w="1910" w:type="dxa"/>
            <w:vMerge/>
            <w:tcBorders>
              <w:tl2br w:val="nil"/>
              <w:tr2bl w:val="nil"/>
            </w:tcBorders>
            <w:vAlign w:val="center"/>
          </w:tcPr>
          <w:p w:rsidR="008C0A47">
            <w:pPr>
              <w:jc w:val="left"/>
              <w:rPr>
                <w:rFonts w:ascii="宋体" w:hAnsi="宋体" w:cs="宋体"/>
                <w:color w:val="000000"/>
                <w:kern w:val="0"/>
                <w:sz w:val="18"/>
                <w:szCs w:val="18"/>
              </w:rPr>
            </w:pPr>
          </w:p>
        </w:tc>
        <w:tc>
          <w:tcPr>
            <w:tcW w:w="1238" w:type="dxa"/>
            <w:tcBorders>
              <w:tl2br w:val="nil"/>
              <w:tr2bl w:val="nil"/>
            </w:tcBorders>
            <w:shd w:val="clear" w:color="auto" w:fill="auto"/>
            <w:vAlign w:val="center"/>
          </w:tcPr>
          <w:p w:rsidR="008C0A47">
            <w:pPr>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w:t>
            </w:r>
            <w:r>
              <w:rPr>
                <w:rFonts w:ascii="宋体" w:hAnsi="宋体" w:cs="宋体" w:hint="eastAsia"/>
                <w:color w:val="000000"/>
                <w:kern w:val="0"/>
                <w:sz w:val="18"/>
                <w:szCs w:val="18"/>
              </w:rPr>
              <w:t>(Z)</w:t>
            </w:r>
          </w:p>
        </w:tc>
        <w:tc>
          <w:tcPr>
            <w:tcW w:w="641"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01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Z</w:t>
            </w:r>
            <w:r>
              <w:rPr>
                <w:rFonts w:ascii="宋体" w:hAnsi="宋体" w:cs="宋体" w:hint="eastAsia"/>
                <w:color w:val="000000"/>
                <w:kern w:val="0"/>
                <w:sz w:val="18"/>
                <w:szCs w:val="18"/>
              </w:rPr>
              <w:t>≥</w:t>
            </w:r>
            <w:r>
              <w:rPr>
                <w:rFonts w:ascii="宋体" w:hAnsi="宋体" w:cs="宋体" w:hint="eastAsia"/>
                <w:color w:val="000000"/>
                <w:kern w:val="0"/>
                <w:sz w:val="18"/>
                <w:szCs w:val="18"/>
              </w:rPr>
              <w:t>10000</w:t>
            </w:r>
          </w:p>
        </w:tc>
        <w:tc>
          <w:tcPr>
            <w:tcW w:w="153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5000</w:t>
            </w:r>
            <w:r>
              <w:rPr>
                <w:rFonts w:ascii="宋体" w:hAnsi="宋体" w:cs="宋体" w:hint="eastAsia"/>
                <w:color w:val="000000"/>
                <w:kern w:val="0"/>
                <w:sz w:val="18"/>
                <w:szCs w:val="18"/>
              </w:rPr>
              <w:t>≤</w:t>
            </w:r>
            <w:r>
              <w:rPr>
                <w:rFonts w:ascii="宋体" w:hAnsi="宋体" w:cs="宋体" w:hint="eastAsia"/>
                <w:color w:val="000000"/>
                <w:kern w:val="0"/>
                <w:sz w:val="18"/>
                <w:szCs w:val="18"/>
              </w:rPr>
              <w:t>Z</w:t>
            </w:r>
            <w:r>
              <w:rPr>
                <w:rFonts w:ascii="宋体" w:hAnsi="宋体" w:cs="宋体" w:hint="eastAsia"/>
                <w:color w:val="000000"/>
                <w:kern w:val="0"/>
                <w:sz w:val="18"/>
                <w:szCs w:val="18"/>
              </w:rPr>
              <w:t>＜</w:t>
            </w:r>
            <w:r>
              <w:rPr>
                <w:rFonts w:ascii="宋体" w:hAnsi="宋体" w:cs="宋体" w:hint="eastAsia"/>
                <w:color w:val="000000"/>
                <w:kern w:val="0"/>
                <w:sz w:val="18"/>
                <w:szCs w:val="18"/>
              </w:rPr>
              <w:t>10000</w:t>
            </w:r>
          </w:p>
        </w:tc>
        <w:tc>
          <w:tcPr>
            <w:tcW w:w="1289"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2000</w:t>
            </w:r>
            <w:r>
              <w:rPr>
                <w:rFonts w:ascii="宋体" w:hAnsi="宋体" w:cs="宋体" w:hint="eastAsia"/>
                <w:color w:val="000000"/>
                <w:kern w:val="0"/>
                <w:sz w:val="18"/>
                <w:szCs w:val="18"/>
              </w:rPr>
              <w:t>≤</w:t>
            </w:r>
            <w:r>
              <w:rPr>
                <w:rFonts w:ascii="宋体" w:hAnsi="宋体" w:cs="宋体" w:hint="eastAsia"/>
                <w:color w:val="000000"/>
                <w:kern w:val="0"/>
                <w:sz w:val="18"/>
                <w:szCs w:val="18"/>
              </w:rPr>
              <w:t>Z</w:t>
            </w:r>
            <w:r>
              <w:rPr>
                <w:rFonts w:ascii="宋体" w:hAnsi="宋体" w:cs="宋体" w:hint="eastAsia"/>
                <w:color w:val="000000"/>
                <w:kern w:val="0"/>
                <w:sz w:val="18"/>
                <w:szCs w:val="18"/>
              </w:rPr>
              <w:t>＜</w:t>
            </w:r>
            <w:r>
              <w:rPr>
                <w:rFonts w:ascii="宋体" w:hAnsi="宋体" w:cs="宋体" w:hint="eastAsia"/>
                <w:color w:val="000000"/>
                <w:kern w:val="0"/>
                <w:sz w:val="18"/>
                <w:szCs w:val="18"/>
              </w:rPr>
              <w:t xml:space="preserve">5000   </w:t>
            </w:r>
          </w:p>
        </w:tc>
        <w:tc>
          <w:tcPr>
            <w:tcW w:w="89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Z</w:t>
            </w:r>
            <w:r>
              <w:rPr>
                <w:rFonts w:ascii="宋体" w:hAnsi="宋体" w:cs="宋体" w:hint="eastAsia"/>
                <w:color w:val="000000"/>
                <w:kern w:val="0"/>
                <w:sz w:val="18"/>
                <w:szCs w:val="18"/>
              </w:rPr>
              <w:t>＜</w:t>
            </w:r>
            <w:r>
              <w:rPr>
                <w:rFonts w:ascii="宋体" w:hAnsi="宋体" w:cs="宋体" w:hint="eastAsia"/>
                <w:color w:val="000000"/>
                <w:kern w:val="0"/>
                <w:sz w:val="18"/>
                <w:szCs w:val="18"/>
              </w:rPr>
              <w:t>2000</w:t>
            </w:r>
          </w:p>
        </w:tc>
      </w:tr>
      <w:tr>
        <w:tblPrEx>
          <w:tblW w:w="8529" w:type="dxa"/>
          <w:tblLayout w:type="fixed"/>
          <w:tblLook w:val="04A0"/>
        </w:tblPrEx>
        <w:trPr>
          <w:trHeight w:hRule="exact" w:val="340"/>
        </w:trPr>
        <w:tc>
          <w:tcPr>
            <w:tcW w:w="1910" w:type="dxa"/>
            <w:vMerge w:val="restart"/>
            <w:tcBorders>
              <w:tl2br w:val="nil"/>
              <w:tr2bl w:val="nil"/>
            </w:tcBorders>
            <w:shd w:val="clear" w:color="auto" w:fill="auto"/>
            <w:vAlign w:val="center"/>
          </w:tcPr>
          <w:p w:rsidR="008C0A47">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物业管理</w:t>
            </w:r>
          </w:p>
        </w:tc>
        <w:tc>
          <w:tcPr>
            <w:tcW w:w="1238"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从业人员</w:t>
            </w:r>
            <w:r>
              <w:rPr>
                <w:rFonts w:ascii="宋体" w:hAnsi="宋体" w:cs="宋体" w:hint="eastAsia"/>
                <w:color w:val="000000"/>
                <w:kern w:val="0"/>
                <w:sz w:val="18"/>
                <w:szCs w:val="18"/>
              </w:rPr>
              <w:t>(X)</w:t>
            </w:r>
          </w:p>
        </w:tc>
        <w:tc>
          <w:tcPr>
            <w:tcW w:w="641"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01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1000</w:t>
            </w:r>
          </w:p>
        </w:tc>
        <w:tc>
          <w:tcPr>
            <w:tcW w:w="153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300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1000</w:t>
            </w:r>
          </w:p>
        </w:tc>
        <w:tc>
          <w:tcPr>
            <w:tcW w:w="1289"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100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 xml:space="preserve">300 </w:t>
            </w:r>
          </w:p>
        </w:tc>
        <w:tc>
          <w:tcPr>
            <w:tcW w:w="89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100</w:t>
            </w:r>
          </w:p>
        </w:tc>
      </w:tr>
      <w:tr>
        <w:tblPrEx>
          <w:tblW w:w="8529" w:type="dxa"/>
          <w:tblLayout w:type="fixed"/>
          <w:tblLook w:val="04A0"/>
        </w:tblPrEx>
        <w:trPr>
          <w:trHeight w:hRule="exact" w:val="340"/>
        </w:trPr>
        <w:tc>
          <w:tcPr>
            <w:tcW w:w="1910" w:type="dxa"/>
            <w:vMerge/>
            <w:tcBorders>
              <w:tl2br w:val="nil"/>
              <w:tr2bl w:val="nil"/>
            </w:tcBorders>
            <w:vAlign w:val="center"/>
          </w:tcPr>
          <w:p w:rsidR="008C0A47">
            <w:pPr>
              <w:jc w:val="left"/>
              <w:rPr>
                <w:rFonts w:ascii="宋体" w:hAnsi="宋体" w:cs="宋体"/>
                <w:color w:val="000000"/>
                <w:kern w:val="0"/>
                <w:sz w:val="18"/>
                <w:szCs w:val="18"/>
              </w:rPr>
            </w:pPr>
          </w:p>
        </w:tc>
        <w:tc>
          <w:tcPr>
            <w:tcW w:w="1238" w:type="dxa"/>
            <w:tcBorders>
              <w:tl2br w:val="nil"/>
              <w:tr2bl w:val="nil"/>
            </w:tcBorders>
            <w:shd w:val="clear" w:color="auto" w:fill="auto"/>
            <w:vAlign w:val="center"/>
          </w:tcPr>
          <w:p w:rsidR="008C0A47">
            <w:pPr>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w:t>
            </w:r>
            <w:r>
              <w:rPr>
                <w:rFonts w:ascii="宋体" w:hAnsi="宋体" w:cs="宋体" w:hint="eastAsia"/>
                <w:color w:val="000000"/>
                <w:kern w:val="0"/>
                <w:sz w:val="18"/>
                <w:szCs w:val="18"/>
              </w:rPr>
              <w:t>(Y)</w:t>
            </w:r>
          </w:p>
        </w:tc>
        <w:tc>
          <w:tcPr>
            <w:tcW w:w="641"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01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5000</w:t>
            </w:r>
          </w:p>
        </w:tc>
        <w:tc>
          <w:tcPr>
            <w:tcW w:w="1537" w:type="dxa"/>
            <w:tcBorders>
              <w:tl2br w:val="nil"/>
              <w:tr2bl w:val="nil"/>
            </w:tcBorders>
            <w:shd w:val="clear" w:color="auto" w:fill="auto"/>
            <w:vAlign w:val="center"/>
          </w:tcPr>
          <w:p w:rsidR="008C0A47">
            <w:pPr>
              <w:ind w:left="22" w:hanging="144" w:leftChars="-51" w:hangingChars="60"/>
              <w:jc w:val="center"/>
              <w:rPr>
                <w:rFonts w:ascii="宋体" w:hAnsi="宋体" w:cs="宋体"/>
                <w:color w:val="000000"/>
                <w:kern w:val="0"/>
                <w:sz w:val="18"/>
                <w:szCs w:val="18"/>
              </w:rPr>
            </w:pPr>
            <w:r>
              <w:rPr>
                <w:rFonts w:ascii="宋体" w:hAnsi="宋体" w:cs="宋体" w:hint="eastAsia"/>
                <w:color w:val="000000"/>
                <w:kern w:val="0"/>
                <w:sz w:val="18"/>
                <w:szCs w:val="18"/>
              </w:rPr>
              <w:t>1000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 xml:space="preserve">5000 </w:t>
            </w:r>
          </w:p>
        </w:tc>
        <w:tc>
          <w:tcPr>
            <w:tcW w:w="1289"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500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1000</w:t>
            </w:r>
          </w:p>
        </w:tc>
        <w:tc>
          <w:tcPr>
            <w:tcW w:w="89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500</w:t>
            </w:r>
          </w:p>
        </w:tc>
      </w:tr>
      <w:tr>
        <w:tblPrEx>
          <w:tblW w:w="8529" w:type="dxa"/>
          <w:tblLayout w:type="fixed"/>
          <w:tblLook w:val="04A0"/>
        </w:tblPrEx>
        <w:trPr>
          <w:trHeight w:hRule="exact" w:val="340"/>
        </w:trPr>
        <w:tc>
          <w:tcPr>
            <w:tcW w:w="1910" w:type="dxa"/>
            <w:vMerge w:val="restart"/>
            <w:tcBorders>
              <w:tl2br w:val="nil"/>
              <w:tr2bl w:val="nil"/>
            </w:tcBorders>
            <w:shd w:val="clear" w:color="auto" w:fill="auto"/>
            <w:vAlign w:val="center"/>
          </w:tcPr>
          <w:p w:rsidR="008C0A47">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租赁和商务服务业</w:t>
            </w:r>
          </w:p>
        </w:tc>
        <w:tc>
          <w:tcPr>
            <w:tcW w:w="1238"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从业人员</w:t>
            </w:r>
            <w:r>
              <w:rPr>
                <w:rFonts w:ascii="宋体" w:hAnsi="宋体" w:cs="宋体" w:hint="eastAsia"/>
                <w:color w:val="000000"/>
                <w:kern w:val="0"/>
                <w:sz w:val="18"/>
                <w:szCs w:val="18"/>
              </w:rPr>
              <w:t>(X)</w:t>
            </w:r>
          </w:p>
        </w:tc>
        <w:tc>
          <w:tcPr>
            <w:tcW w:w="641"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01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300</w:t>
            </w:r>
          </w:p>
        </w:tc>
        <w:tc>
          <w:tcPr>
            <w:tcW w:w="1537" w:type="dxa"/>
            <w:tcBorders>
              <w:tl2br w:val="nil"/>
              <w:tr2bl w:val="nil"/>
            </w:tcBorders>
            <w:shd w:val="clear" w:color="auto" w:fill="auto"/>
            <w:vAlign w:val="center"/>
          </w:tcPr>
          <w:p w:rsidR="008C0A47">
            <w:pPr>
              <w:ind w:left="22" w:hanging="144" w:leftChars="-51" w:hangingChars="60"/>
              <w:jc w:val="center"/>
              <w:rPr>
                <w:rFonts w:ascii="宋体" w:hAnsi="宋体" w:cs="宋体"/>
                <w:color w:val="000000"/>
                <w:kern w:val="0"/>
                <w:sz w:val="18"/>
                <w:szCs w:val="18"/>
              </w:rPr>
            </w:pPr>
            <w:r>
              <w:rPr>
                <w:rFonts w:ascii="宋体" w:hAnsi="宋体" w:cs="宋体" w:hint="eastAsia"/>
                <w:color w:val="000000"/>
                <w:kern w:val="0"/>
                <w:sz w:val="18"/>
                <w:szCs w:val="18"/>
              </w:rPr>
              <w:t>100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 xml:space="preserve">300 </w:t>
            </w:r>
          </w:p>
        </w:tc>
        <w:tc>
          <w:tcPr>
            <w:tcW w:w="1289"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10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100</w:t>
            </w:r>
          </w:p>
        </w:tc>
        <w:tc>
          <w:tcPr>
            <w:tcW w:w="89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w:t>
            </w:r>
          </w:p>
        </w:tc>
      </w:tr>
      <w:tr>
        <w:tblPrEx>
          <w:tblW w:w="8529" w:type="dxa"/>
          <w:tblLayout w:type="fixed"/>
          <w:tblLook w:val="04A0"/>
        </w:tblPrEx>
        <w:trPr>
          <w:trHeight w:hRule="exact" w:val="340"/>
        </w:trPr>
        <w:tc>
          <w:tcPr>
            <w:tcW w:w="1910" w:type="dxa"/>
            <w:vMerge/>
            <w:tcBorders>
              <w:tl2br w:val="nil"/>
              <w:tr2bl w:val="nil"/>
            </w:tcBorders>
            <w:vAlign w:val="center"/>
          </w:tcPr>
          <w:p w:rsidR="008C0A47">
            <w:pPr>
              <w:jc w:val="left"/>
              <w:rPr>
                <w:rFonts w:ascii="宋体" w:hAnsi="宋体" w:cs="宋体"/>
                <w:color w:val="000000"/>
                <w:kern w:val="0"/>
                <w:sz w:val="18"/>
                <w:szCs w:val="18"/>
              </w:rPr>
            </w:pPr>
          </w:p>
        </w:tc>
        <w:tc>
          <w:tcPr>
            <w:tcW w:w="1238" w:type="dxa"/>
            <w:tcBorders>
              <w:tl2br w:val="nil"/>
              <w:tr2bl w:val="nil"/>
            </w:tcBorders>
            <w:shd w:val="clear" w:color="auto" w:fill="auto"/>
            <w:vAlign w:val="center"/>
          </w:tcPr>
          <w:p w:rsidR="008C0A47">
            <w:pPr>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w:t>
            </w:r>
            <w:r>
              <w:rPr>
                <w:rFonts w:ascii="宋体" w:hAnsi="宋体" w:cs="宋体" w:hint="eastAsia"/>
                <w:color w:val="000000"/>
                <w:kern w:val="0"/>
                <w:sz w:val="18"/>
                <w:szCs w:val="18"/>
              </w:rPr>
              <w:t>(Z)</w:t>
            </w:r>
          </w:p>
        </w:tc>
        <w:tc>
          <w:tcPr>
            <w:tcW w:w="641"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01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Z</w:t>
            </w:r>
            <w:r>
              <w:rPr>
                <w:rFonts w:ascii="宋体" w:hAnsi="宋体" w:cs="宋体" w:hint="eastAsia"/>
                <w:color w:val="000000"/>
                <w:kern w:val="0"/>
                <w:sz w:val="18"/>
                <w:szCs w:val="18"/>
              </w:rPr>
              <w:t>≥</w:t>
            </w:r>
            <w:r>
              <w:rPr>
                <w:rFonts w:ascii="宋体" w:hAnsi="宋体" w:cs="宋体" w:hint="eastAsia"/>
                <w:color w:val="000000"/>
                <w:kern w:val="0"/>
                <w:sz w:val="18"/>
                <w:szCs w:val="18"/>
              </w:rPr>
              <w:t>120000</w:t>
            </w:r>
          </w:p>
        </w:tc>
        <w:tc>
          <w:tcPr>
            <w:tcW w:w="153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8000</w:t>
            </w:r>
            <w:r>
              <w:rPr>
                <w:rFonts w:ascii="宋体" w:hAnsi="宋体" w:cs="宋体" w:hint="eastAsia"/>
                <w:color w:val="000000"/>
                <w:kern w:val="0"/>
                <w:sz w:val="18"/>
                <w:szCs w:val="18"/>
              </w:rPr>
              <w:t>≤</w:t>
            </w:r>
            <w:r>
              <w:rPr>
                <w:rFonts w:ascii="宋体" w:hAnsi="宋体" w:cs="宋体" w:hint="eastAsia"/>
                <w:color w:val="000000"/>
                <w:kern w:val="0"/>
                <w:sz w:val="18"/>
                <w:szCs w:val="18"/>
              </w:rPr>
              <w:t>Z</w:t>
            </w:r>
            <w:r>
              <w:rPr>
                <w:rFonts w:ascii="宋体" w:hAnsi="宋体" w:cs="宋体" w:hint="eastAsia"/>
                <w:color w:val="000000"/>
                <w:kern w:val="0"/>
                <w:sz w:val="18"/>
                <w:szCs w:val="18"/>
              </w:rPr>
              <w:t>＜</w:t>
            </w:r>
            <w:r>
              <w:rPr>
                <w:rFonts w:ascii="宋体" w:hAnsi="宋体" w:cs="宋体" w:hint="eastAsia"/>
                <w:color w:val="000000"/>
                <w:kern w:val="0"/>
                <w:sz w:val="18"/>
                <w:szCs w:val="18"/>
              </w:rPr>
              <w:t>120000</w:t>
            </w:r>
          </w:p>
        </w:tc>
        <w:tc>
          <w:tcPr>
            <w:tcW w:w="1289"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100</w:t>
            </w:r>
            <w:r>
              <w:rPr>
                <w:rFonts w:ascii="宋体" w:hAnsi="宋体" w:cs="宋体" w:hint="eastAsia"/>
                <w:color w:val="000000"/>
                <w:kern w:val="0"/>
                <w:sz w:val="18"/>
                <w:szCs w:val="18"/>
              </w:rPr>
              <w:t>≤</w:t>
            </w:r>
            <w:r>
              <w:rPr>
                <w:rFonts w:ascii="宋体" w:hAnsi="宋体" w:cs="宋体" w:hint="eastAsia"/>
                <w:color w:val="000000"/>
                <w:kern w:val="0"/>
                <w:sz w:val="18"/>
                <w:szCs w:val="18"/>
              </w:rPr>
              <w:t>Z</w:t>
            </w:r>
            <w:r>
              <w:rPr>
                <w:rFonts w:ascii="宋体" w:hAnsi="宋体" w:cs="宋体" w:hint="eastAsia"/>
                <w:color w:val="000000"/>
                <w:kern w:val="0"/>
                <w:sz w:val="18"/>
                <w:szCs w:val="18"/>
              </w:rPr>
              <w:t>＜</w:t>
            </w:r>
            <w:r>
              <w:rPr>
                <w:rFonts w:ascii="宋体" w:hAnsi="宋体" w:cs="宋体" w:hint="eastAsia"/>
                <w:color w:val="000000"/>
                <w:kern w:val="0"/>
                <w:sz w:val="18"/>
                <w:szCs w:val="18"/>
              </w:rPr>
              <w:t>8000</w:t>
            </w:r>
          </w:p>
        </w:tc>
        <w:tc>
          <w:tcPr>
            <w:tcW w:w="89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Z</w:t>
            </w:r>
            <w:r>
              <w:rPr>
                <w:rFonts w:ascii="宋体" w:hAnsi="宋体" w:cs="宋体" w:hint="eastAsia"/>
                <w:color w:val="000000"/>
                <w:kern w:val="0"/>
                <w:sz w:val="18"/>
                <w:szCs w:val="18"/>
              </w:rPr>
              <w:t>＜</w:t>
            </w:r>
            <w:r>
              <w:rPr>
                <w:rFonts w:ascii="宋体" w:hAnsi="宋体" w:cs="宋体" w:hint="eastAsia"/>
                <w:color w:val="000000"/>
                <w:kern w:val="0"/>
                <w:sz w:val="18"/>
                <w:szCs w:val="18"/>
              </w:rPr>
              <w:t>100</w:t>
            </w:r>
          </w:p>
        </w:tc>
      </w:tr>
      <w:tr>
        <w:tblPrEx>
          <w:tblW w:w="8529" w:type="dxa"/>
          <w:tblLayout w:type="fixed"/>
          <w:tblLook w:val="04A0"/>
        </w:tblPrEx>
        <w:trPr>
          <w:trHeight w:hRule="exact" w:val="397"/>
        </w:trPr>
        <w:tc>
          <w:tcPr>
            <w:tcW w:w="1910" w:type="dxa"/>
            <w:tcBorders>
              <w:tl2br w:val="nil"/>
              <w:tr2bl w:val="nil"/>
            </w:tcBorders>
            <w:shd w:val="clear" w:color="auto" w:fill="auto"/>
            <w:vAlign w:val="center"/>
          </w:tcPr>
          <w:p w:rsidR="008C0A47">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其他未列明行业</w:t>
            </w:r>
            <w:r>
              <w:rPr>
                <w:rFonts w:ascii="宋体" w:hAnsi="宋体" w:cs="宋体" w:hint="eastAsia"/>
                <w:color w:val="000000"/>
                <w:kern w:val="0"/>
                <w:sz w:val="18"/>
                <w:szCs w:val="18"/>
              </w:rPr>
              <w:t xml:space="preserve"> *</w:t>
            </w:r>
          </w:p>
        </w:tc>
        <w:tc>
          <w:tcPr>
            <w:tcW w:w="1238"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从业人员</w:t>
            </w:r>
            <w:r>
              <w:rPr>
                <w:rFonts w:ascii="宋体" w:hAnsi="宋体" w:cs="宋体" w:hint="eastAsia"/>
                <w:color w:val="000000"/>
                <w:kern w:val="0"/>
                <w:sz w:val="18"/>
                <w:szCs w:val="18"/>
              </w:rPr>
              <w:t>(X)</w:t>
            </w:r>
          </w:p>
        </w:tc>
        <w:tc>
          <w:tcPr>
            <w:tcW w:w="641"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01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300</w:t>
            </w:r>
          </w:p>
        </w:tc>
        <w:tc>
          <w:tcPr>
            <w:tcW w:w="1537" w:type="dxa"/>
            <w:tcBorders>
              <w:tl2br w:val="nil"/>
              <w:tr2bl w:val="nil"/>
            </w:tcBorders>
            <w:shd w:val="clear" w:color="auto" w:fill="auto"/>
            <w:vAlign w:val="center"/>
          </w:tcPr>
          <w:p w:rsidR="008C0A47">
            <w:pPr>
              <w:ind w:left="22" w:hanging="144" w:leftChars="-51" w:hangingChars="60"/>
              <w:jc w:val="center"/>
              <w:rPr>
                <w:rFonts w:ascii="宋体" w:hAnsi="宋体" w:cs="宋体"/>
                <w:color w:val="000000"/>
                <w:kern w:val="0"/>
                <w:sz w:val="18"/>
                <w:szCs w:val="18"/>
              </w:rPr>
            </w:pPr>
            <w:r>
              <w:rPr>
                <w:rFonts w:ascii="宋体" w:hAnsi="宋体" w:cs="宋体" w:hint="eastAsia"/>
                <w:color w:val="000000"/>
                <w:kern w:val="0"/>
                <w:sz w:val="18"/>
                <w:szCs w:val="18"/>
              </w:rPr>
              <w:t>100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 xml:space="preserve">300 </w:t>
            </w:r>
          </w:p>
        </w:tc>
        <w:tc>
          <w:tcPr>
            <w:tcW w:w="1289"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10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100</w:t>
            </w:r>
          </w:p>
        </w:tc>
        <w:tc>
          <w:tcPr>
            <w:tcW w:w="897" w:type="dxa"/>
            <w:tcBorders>
              <w:tl2br w:val="nil"/>
              <w:tr2bl w:val="nil"/>
            </w:tcBorders>
            <w:shd w:val="clear" w:color="auto" w:fill="auto"/>
            <w:vAlign w:val="center"/>
          </w:tcPr>
          <w:p w:rsidR="008C0A47">
            <w:pPr>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w:t>
            </w:r>
          </w:p>
        </w:tc>
      </w:tr>
    </w:tbl>
    <w:p w:rsidR="008C0A47">
      <w:pPr>
        <w:pStyle w:val="NormalWeb"/>
        <w:spacing w:line="440" w:lineRule="exact"/>
        <w:ind w:firstLine="480" w:firstLineChars="200"/>
        <w:rPr>
          <w:rFonts w:ascii="宋体" w:hAnsi="宋体" w:cs="宋体"/>
          <w:sz w:val="21"/>
          <w:szCs w:val="21"/>
        </w:rPr>
      </w:pPr>
      <w:r>
        <w:rPr>
          <w:rFonts w:ascii="宋体" w:hAnsi="宋体" w:cs="宋体" w:hint="eastAsia"/>
          <w:sz w:val="21"/>
          <w:szCs w:val="21"/>
        </w:rPr>
        <w:t>说明：</w:t>
      </w:r>
    </w:p>
    <w:p w:rsidR="008C0A47">
      <w:pPr>
        <w:pStyle w:val="NormalWeb"/>
        <w:spacing w:line="440" w:lineRule="exact"/>
        <w:ind w:firstLine="480" w:firstLineChars="200"/>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大型、中型和小型企业须同时满足所列指标的下限，否则下划一档；微型企业只须满足所列指标中的一项即可。</w:t>
      </w:r>
    </w:p>
    <w:p w:rsidR="008C0A47">
      <w:pPr>
        <w:pStyle w:val="NormalWeb"/>
        <w:spacing w:line="440" w:lineRule="exact"/>
        <w:ind w:firstLine="480" w:firstLineChars="200"/>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附表中各行业的范围以《国民经济行业分类》（</w:t>
      </w:r>
      <w:r>
        <w:rPr>
          <w:rFonts w:ascii="宋体" w:hAnsi="宋体" w:cs="宋体" w:hint="eastAsia"/>
          <w:sz w:val="21"/>
          <w:szCs w:val="21"/>
        </w:rPr>
        <w:t>GB/T4754-2017</w:t>
      </w:r>
      <w:r>
        <w:rPr>
          <w:rFonts w:ascii="宋体" w:hAnsi="宋体" w:cs="宋体" w:hint="eastAsia"/>
          <w:sz w:val="21"/>
          <w:szCs w:val="21"/>
        </w:rPr>
        <w:t>）为准。带</w:t>
      </w:r>
      <w:r>
        <w:rPr>
          <w:rFonts w:ascii="宋体" w:hAnsi="宋体" w:cs="宋体" w:hint="eastAsia"/>
          <w:sz w:val="21"/>
          <w:szCs w:val="21"/>
        </w:rPr>
        <w:t>*</w:t>
      </w:r>
      <w:r>
        <w:rPr>
          <w:rFonts w:ascii="宋体" w:hAnsi="宋体" w:cs="宋体" w:hint="eastAsia"/>
          <w:sz w:val="21"/>
          <w:szCs w:val="21"/>
        </w:rPr>
        <w:t>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w:t>
      </w:r>
      <w:r>
        <w:rPr>
          <w:rFonts w:ascii="宋体" w:hAnsi="宋体" w:cs="宋体" w:hint="eastAsia"/>
          <w:sz w:val="21"/>
          <w:szCs w:val="21"/>
        </w:rPr>
        <w:t>;</w:t>
      </w:r>
      <w:r>
        <w:rPr>
          <w:rFonts w:ascii="宋体" w:hAnsi="宋体" w:cs="宋体" w:hint="eastAsia"/>
          <w:sz w:val="21"/>
          <w:szCs w:val="21"/>
        </w:rPr>
        <w:t>信息传输业包括电信、广播电视和卫星传输</w:t>
      </w:r>
      <w:r>
        <w:rPr>
          <w:rFonts w:ascii="宋体" w:hAnsi="宋体" w:cs="宋体" w:hint="eastAsia"/>
          <w:sz w:val="21"/>
          <w:szCs w:val="21"/>
        </w:rPr>
        <w:t>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rsidR="008C0A47">
      <w:pPr>
        <w:pStyle w:val="NormalWeb"/>
        <w:spacing w:line="440" w:lineRule="exact"/>
        <w:ind w:firstLine="480" w:firstLineChars="200"/>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企业划分指标以现行统计制度为准。（</w:t>
      </w:r>
      <w:r>
        <w:rPr>
          <w:rFonts w:ascii="宋体" w:hAnsi="宋体" w:cs="宋体" w:hint="eastAsia"/>
          <w:sz w:val="21"/>
          <w:szCs w:val="21"/>
        </w:rPr>
        <w:t>1</w:t>
      </w:r>
      <w:r>
        <w:rPr>
          <w:rFonts w:ascii="宋体" w:hAnsi="宋体" w:cs="宋体" w:hint="eastAsia"/>
          <w:sz w:val="21"/>
          <w:szCs w:val="21"/>
        </w:rPr>
        <w:t>）从业人员，是指期末从业人员数，没有期末从业人员数的，采用全年平均人员数代替。（</w:t>
      </w:r>
      <w:r>
        <w:rPr>
          <w:rFonts w:ascii="宋体" w:hAnsi="宋体" w:cs="宋体" w:hint="eastAsia"/>
          <w:sz w:val="21"/>
          <w:szCs w:val="21"/>
        </w:rPr>
        <w:t>2</w:t>
      </w:r>
      <w:r>
        <w:rPr>
          <w:rFonts w:ascii="宋体" w:hAnsi="宋体" w:cs="宋体" w:hint="eastAsia"/>
          <w:sz w:val="21"/>
          <w:szCs w:val="21"/>
        </w:rPr>
        <w:t>）营业收入，工业、建筑业、限额以上批发和零售业、限额以上住宿和餐饮业以及其他设置主营业务收入指标的行业，采用主营业务收入；限额以下批发与零售业企业采用商品销售额代替；限额以下住</w:t>
      </w:r>
      <w:r>
        <w:rPr>
          <w:rFonts w:ascii="宋体" w:hAnsi="宋体" w:cs="宋体" w:hint="eastAsia"/>
          <w:sz w:val="21"/>
          <w:szCs w:val="21"/>
        </w:rPr>
        <w:t>宿与餐饮业企业采用营业额代替；农、林、牧、渔业企业采用营业总收入代替；其他未设置主营业务收入的行业，采用营业收入指标。（</w:t>
      </w:r>
      <w:r>
        <w:rPr>
          <w:rFonts w:ascii="宋体" w:hAnsi="宋体" w:cs="宋体" w:hint="eastAsia"/>
          <w:sz w:val="21"/>
          <w:szCs w:val="21"/>
        </w:rPr>
        <w:t>3</w:t>
      </w:r>
      <w:r>
        <w:rPr>
          <w:rFonts w:ascii="宋体" w:hAnsi="宋体" w:cs="宋体" w:hint="eastAsia"/>
          <w:sz w:val="21"/>
          <w:szCs w:val="21"/>
        </w:rPr>
        <w:t>）资产总额，采用资产总计代替。</w:t>
      </w:r>
    </w:p>
    <w:p w:rsidR="008C0A47"/>
    <w:p w:rsidR="008C0A47">
      <w:pPr>
        <w:rPr>
          <w:rFonts w:ascii="宋体" w:hAnsi="宋体" w:cs="宋体"/>
          <w:szCs w:val="21"/>
        </w:rPr>
      </w:pPr>
      <w:r>
        <w:rPr>
          <w:rFonts w:ascii="宋体" w:hAnsi="宋体" w:cs="宋体" w:hint="eastAsia"/>
          <w:szCs w:val="21"/>
        </w:rPr>
        <w:br w:type="page"/>
      </w:r>
    </w:p>
    <w:p w:rsidR="008C0A47">
      <w:pPr>
        <w:pStyle w:val="NormalWeb"/>
        <w:spacing w:line="440" w:lineRule="exact"/>
        <w:rPr>
          <w:rFonts w:ascii="宋体" w:hAnsi="宋体" w:cs="宋体"/>
          <w:sz w:val="21"/>
          <w:szCs w:val="21"/>
        </w:rPr>
      </w:pPr>
      <w:r>
        <w:rPr>
          <w:rFonts w:ascii="宋体" w:hAnsi="宋体" w:cs="宋体" w:hint="eastAsia"/>
          <w:sz w:val="21"/>
          <w:szCs w:val="21"/>
        </w:rPr>
        <w:t>附件</w:t>
      </w:r>
    </w:p>
    <w:p w:rsidR="008C0A47">
      <w:pPr>
        <w:pStyle w:val="NormalWeb"/>
        <w:spacing w:line="440" w:lineRule="exact"/>
        <w:ind w:firstLine="480" w:firstLineChars="200"/>
        <w:jc w:val="center"/>
        <w:rPr>
          <w:rFonts w:ascii="宋体" w:hAnsi="宋体" w:cs="宋体"/>
          <w:b/>
          <w:bCs/>
        </w:rPr>
      </w:pPr>
      <w:r>
        <w:rPr>
          <w:rFonts w:ascii="宋体" w:hAnsi="宋体" w:cs="宋体" w:hint="eastAsia"/>
          <w:b/>
          <w:bCs/>
        </w:rPr>
        <w:t>《统计上大中小微型企业划分办法（</w:t>
      </w:r>
      <w:r>
        <w:rPr>
          <w:rFonts w:ascii="宋体" w:hAnsi="宋体" w:cs="宋体" w:hint="eastAsia"/>
          <w:b/>
          <w:bCs/>
        </w:rPr>
        <w:t>2017</w:t>
      </w:r>
      <w:r>
        <w:rPr>
          <w:rFonts w:ascii="宋体" w:hAnsi="宋体" w:cs="宋体" w:hint="eastAsia"/>
          <w:b/>
          <w:bCs/>
        </w:rPr>
        <w:t>）》修订说明</w:t>
      </w:r>
    </w:p>
    <w:p w:rsidR="008C0A47">
      <w:pPr>
        <w:pStyle w:val="NormalWeb"/>
        <w:spacing w:line="440" w:lineRule="exact"/>
        <w:ind w:firstLine="480" w:firstLineChars="200"/>
        <w:rPr>
          <w:rFonts w:ascii="宋体" w:hAnsi="宋体" w:cs="宋体"/>
          <w:sz w:val="21"/>
          <w:szCs w:val="21"/>
        </w:rPr>
      </w:pPr>
    </w:p>
    <w:p w:rsidR="008C0A47">
      <w:pPr>
        <w:pStyle w:val="NormalWeb"/>
        <w:spacing w:line="440" w:lineRule="exact"/>
        <w:ind w:firstLine="480" w:firstLineChars="200"/>
        <w:rPr>
          <w:rFonts w:ascii="宋体" w:hAnsi="宋体" w:cs="宋体"/>
          <w:b/>
          <w:bCs/>
          <w:sz w:val="21"/>
          <w:szCs w:val="21"/>
        </w:rPr>
      </w:pPr>
      <w:r>
        <w:rPr>
          <w:rFonts w:ascii="宋体" w:hAnsi="宋体" w:cs="宋体" w:hint="eastAsia"/>
          <w:b/>
          <w:bCs/>
          <w:sz w:val="21"/>
          <w:szCs w:val="21"/>
        </w:rPr>
        <w:t>一、修订背景</w:t>
      </w:r>
    </w:p>
    <w:p w:rsidR="008C0A47">
      <w:pPr>
        <w:pStyle w:val="NormalWeb"/>
        <w:spacing w:line="440" w:lineRule="exact"/>
        <w:ind w:firstLine="480" w:firstLineChars="200"/>
        <w:rPr>
          <w:rFonts w:ascii="宋体" w:hAnsi="宋体" w:cs="宋体"/>
          <w:sz w:val="21"/>
          <w:szCs w:val="21"/>
        </w:rPr>
      </w:pPr>
      <w:r>
        <w:rPr>
          <w:rFonts w:ascii="宋体" w:hAnsi="宋体" w:cs="宋体" w:hint="eastAsia"/>
          <w:sz w:val="21"/>
          <w:szCs w:val="21"/>
        </w:rPr>
        <w:t>目前执行的《统计上大中小微型企业划分办法》是</w:t>
      </w:r>
      <w:r>
        <w:rPr>
          <w:rFonts w:ascii="宋体" w:hAnsi="宋体" w:cs="宋体" w:hint="eastAsia"/>
          <w:sz w:val="21"/>
          <w:szCs w:val="21"/>
        </w:rPr>
        <w:t>2011</w:t>
      </w:r>
      <w:r>
        <w:rPr>
          <w:rFonts w:ascii="宋体" w:hAnsi="宋体" w:cs="宋体" w:hint="eastAsia"/>
          <w:sz w:val="21"/>
          <w:szCs w:val="21"/>
        </w:rPr>
        <w:t>年国家统计局根据工业和信息化部、国家统计局、国家发展改革委、财政部《关于印发中小企业划型标准规定的通知》（工信部联企业〔</w:t>
      </w:r>
      <w:r>
        <w:rPr>
          <w:rFonts w:ascii="宋体" w:hAnsi="宋体" w:cs="宋体" w:hint="eastAsia"/>
          <w:sz w:val="21"/>
          <w:szCs w:val="21"/>
        </w:rPr>
        <w:t>2011</w:t>
      </w:r>
      <w:r>
        <w:rPr>
          <w:rFonts w:ascii="宋体" w:hAnsi="宋体" w:cs="宋体" w:hint="eastAsia"/>
          <w:sz w:val="21"/>
          <w:szCs w:val="21"/>
        </w:rPr>
        <w:t>〕</w:t>
      </w:r>
      <w:r>
        <w:rPr>
          <w:rFonts w:ascii="宋体" w:hAnsi="宋体" w:cs="宋体" w:hint="eastAsia"/>
          <w:sz w:val="21"/>
          <w:szCs w:val="21"/>
        </w:rPr>
        <w:t>300</w:t>
      </w:r>
      <w:r>
        <w:rPr>
          <w:rFonts w:ascii="宋体" w:hAnsi="宋体" w:cs="宋体" w:hint="eastAsia"/>
          <w:sz w:val="21"/>
          <w:szCs w:val="21"/>
        </w:rPr>
        <w:t>号），同时依据《国民经济行业分类》（</w:t>
      </w:r>
      <w:r>
        <w:rPr>
          <w:rFonts w:ascii="宋体" w:hAnsi="宋体" w:cs="宋体" w:hint="eastAsia"/>
          <w:sz w:val="21"/>
          <w:szCs w:val="21"/>
        </w:rPr>
        <w:t>GB/T 4754</w:t>
      </w:r>
      <w:r>
        <w:rPr>
          <w:rFonts w:ascii="宋体" w:hAnsi="宋体" w:cs="宋体" w:hint="eastAsia"/>
          <w:sz w:val="21"/>
          <w:szCs w:val="21"/>
        </w:rPr>
        <w:t>—</w:t>
      </w:r>
      <w:r>
        <w:rPr>
          <w:rFonts w:ascii="宋体" w:hAnsi="宋体" w:cs="宋体" w:hint="eastAsia"/>
          <w:sz w:val="21"/>
          <w:szCs w:val="21"/>
        </w:rPr>
        <w:t>2011</w:t>
      </w:r>
      <w:r>
        <w:rPr>
          <w:rFonts w:ascii="宋体" w:hAnsi="宋体" w:cs="宋体" w:hint="eastAsia"/>
          <w:sz w:val="21"/>
          <w:szCs w:val="21"/>
        </w:rPr>
        <w:t>），制定并颁布的。</w:t>
      </w:r>
    </w:p>
    <w:p w:rsidR="008C0A47">
      <w:pPr>
        <w:pStyle w:val="NormalWeb"/>
        <w:spacing w:line="440" w:lineRule="exact"/>
        <w:ind w:firstLine="480" w:firstLineChars="200"/>
        <w:rPr>
          <w:rFonts w:ascii="宋体" w:hAnsi="宋体" w:cs="宋体"/>
          <w:sz w:val="21"/>
          <w:szCs w:val="21"/>
        </w:rPr>
      </w:pPr>
      <w:r>
        <w:rPr>
          <w:rFonts w:ascii="宋体" w:hAnsi="宋体" w:cs="宋体" w:hint="eastAsia"/>
          <w:sz w:val="21"/>
          <w:szCs w:val="21"/>
        </w:rPr>
        <w:t>2017</w:t>
      </w:r>
      <w:r>
        <w:rPr>
          <w:rFonts w:ascii="宋体" w:hAnsi="宋体" w:cs="宋体" w:hint="eastAsia"/>
          <w:sz w:val="21"/>
          <w:szCs w:val="21"/>
        </w:rPr>
        <w:t>年</w:t>
      </w:r>
      <w:r>
        <w:rPr>
          <w:rFonts w:ascii="宋体" w:hAnsi="宋体" w:cs="宋体" w:hint="eastAsia"/>
          <w:sz w:val="21"/>
          <w:szCs w:val="21"/>
        </w:rPr>
        <w:t>6</w:t>
      </w:r>
      <w:r>
        <w:rPr>
          <w:rFonts w:ascii="宋体" w:hAnsi="宋体" w:cs="宋体" w:hint="eastAsia"/>
          <w:sz w:val="21"/>
          <w:szCs w:val="21"/>
        </w:rPr>
        <w:t>月</w:t>
      </w:r>
      <w:r>
        <w:rPr>
          <w:rFonts w:ascii="宋体" w:hAnsi="宋体" w:cs="宋体" w:hint="eastAsia"/>
          <w:sz w:val="21"/>
          <w:szCs w:val="21"/>
        </w:rPr>
        <w:t>30</w:t>
      </w:r>
      <w:r>
        <w:rPr>
          <w:rFonts w:ascii="宋体" w:hAnsi="宋体" w:cs="宋体" w:hint="eastAsia"/>
          <w:sz w:val="21"/>
          <w:szCs w:val="21"/>
        </w:rPr>
        <w:t>日，《国民经济行业分类》（</w:t>
      </w:r>
      <w:r>
        <w:rPr>
          <w:rFonts w:ascii="宋体" w:hAnsi="宋体" w:cs="宋体" w:hint="eastAsia"/>
          <w:sz w:val="21"/>
          <w:szCs w:val="21"/>
        </w:rPr>
        <w:t>GB/T 4754</w:t>
      </w:r>
      <w:r>
        <w:rPr>
          <w:rFonts w:ascii="宋体" w:hAnsi="宋体" w:cs="宋体" w:hint="eastAsia"/>
          <w:sz w:val="21"/>
          <w:szCs w:val="21"/>
        </w:rPr>
        <w:t>—</w:t>
      </w:r>
      <w:r>
        <w:rPr>
          <w:rFonts w:ascii="宋体" w:hAnsi="宋体" w:cs="宋体" w:hint="eastAsia"/>
          <w:sz w:val="21"/>
          <w:szCs w:val="21"/>
        </w:rPr>
        <w:t>2017</w:t>
      </w:r>
      <w:r>
        <w:rPr>
          <w:rFonts w:ascii="宋体" w:hAnsi="宋体" w:cs="宋体" w:hint="eastAsia"/>
          <w:sz w:val="21"/>
          <w:szCs w:val="21"/>
        </w:rPr>
        <w:t>）正式颁布。</w:t>
      </w:r>
      <w:r>
        <w:rPr>
          <w:rFonts w:ascii="宋体" w:hAnsi="宋体" w:cs="宋体" w:hint="eastAsia"/>
          <w:sz w:val="21"/>
          <w:szCs w:val="21"/>
        </w:rPr>
        <w:t>8</w:t>
      </w:r>
      <w:r>
        <w:rPr>
          <w:rFonts w:ascii="宋体" w:hAnsi="宋体" w:cs="宋体" w:hint="eastAsia"/>
          <w:sz w:val="21"/>
          <w:szCs w:val="21"/>
        </w:rPr>
        <w:t>月</w:t>
      </w:r>
      <w:r>
        <w:rPr>
          <w:rFonts w:ascii="宋体" w:hAnsi="宋体" w:cs="宋体" w:hint="eastAsia"/>
          <w:sz w:val="21"/>
          <w:szCs w:val="21"/>
        </w:rPr>
        <w:t>29</w:t>
      </w:r>
      <w:r>
        <w:rPr>
          <w:rFonts w:ascii="宋体" w:hAnsi="宋体" w:cs="宋体" w:hint="eastAsia"/>
          <w:sz w:val="21"/>
          <w:szCs w:val="21"/>
        </w:rPr>
        <w:t>日，国家统计局印发《关于执行新国民经济行业分类国家标准的通知》（国统字〔</w:t>
      </w:r>
      <w:r>
        <w:rPr>
          <w:rFonts w:ascii="宋体" w:hAnsi="宋体" w:cs="宋体" w:hint="eastAsia"/>
          <w:sz w:val="21"/>
          <w:szCs w:val="21"/>
        </w:rPr>
        <w:t>2017</w:t>
      </w:r>
      <w:r>
        <w:rPr>
          <w:rFonts w:ascii="宋体" w:hAnsi="宋体" w:cs="宋体" w:hint="eastAsia"/>
          <w:sz w:val="21"/>
          <w:szCs w:val="21"/>
        </w:rPr>
        <w:t>〕</w:t>
      </w:r>
      <w:r>
        <w:rPr>
          <w:rFonts w:ascii="宋体" w:hAnsi="宋体" w:cs="宋体" w:hint="eastAsia"/>
          <w:sz w:val="21"/>
          <w:szCs w:val="21"/>
        </w:rPr>
        <w:t>142</w:t>
      </w:r>
      <w:r>
        <w:rPr>
          <w:rFonts w:ascii="宋体" w:hAnsi="宋体" w:cs="宋体" w:hint="eastAsia"/>
          <w:sz w:val="21"/>
          <w:szCs w:val="21"/>
        </w:rPr>
        <w:t>号），规定从</w:t>
      </w:r>
      <w:r>
        <w:rPr>
          <w:rFonts w:ascii="宋体" w:hAnsi="宋体" w:cs="宋体" w:hint="eastAsia"/>
          <w:sz w:val="21"/>
          <w:szCs w:val="21"/>
        </w:rPr>
        <w:t>2017</w:t>
      </w:r>
      <w:r>
        <w:rPr>
          <w:rFonts w:ascii="宋体" w:hAnsi="宋体" w:cs="宋体" w:hint="eastAsia"/>
          <w:sz w:val="21"/>
          <w:szCs w:val="21"/>
        </w:rPr>
        <w:t>年统计年报和</w:t>
      </w:r>
      <w:r>
        <w:rPr>
          <w:rFonts w:ascii="宋体" w:hAnsi="宋体" w:cs="宋体" w:hint="eastAsia"/>
          <w:sz w:val="21"/>
          <w:szCs w:val="21"/>
        </w:rPr>
        <w:t>2018</w:t>
      </w:r>
      <w:r>
        <w:rPr>
          <w:rFonts w:ascii="宋体" w:hAnsi="宋体" w:cs="宋体" w:hint="eastAsia"/>
          <w:sz w:val="21"/>
          <w:szCs w:val="21"/>
        </w:rPr>
        <w:t>年定期统计报表起统一</w:t>
      </w:r>
      <w:r>
        <w:rPr>
          <w:rFonts w:ascii="宋体" w:hAnsi="宋体" w:cs="宋体" w:hint="eastAsia"/>
          <w:sz w:val="21"/>
          <w:szCs w:val="21"/>
        </w:rPr>
        <w:t>使用新分类标准。为此，我们对</w:t>
      </w:r>
      <w:r>
        <w:rPr>
          <w:rFonts w:ascii="宋体" w:hAnsi="宋体" w:cs="宋体" w:hint="eastAsia"/>
          <w:sz w:val="21"/>
          <w:szCs w:val="21"/>
        </w:rPr>
        <w:t>2011</w:t>
      </w:r>
      <w:r>
        <w:rPr>
          <w:rFonts w:ascii="宋体" w:hAnsi="宋体" w:cs="宋体" w:hint="eastAsia"/>
          <w:sz w:val="21"/>
          <w:szCs w:val="21"/>
        </w:rPr>
        <w:t>年印发的《统计上大中小微型企业划分办法》进行修订。</w:t>
      </w:r>
    </w:p>
    <w:p w:rsidR="008C0A47">
      <w:pPr>
        <w:pStyle w:val="NormalWeb"/>
        <w:spacing w:line="440" w:lineRule="exact"/>
        <w:ind w:firstLine="480" w:firstLineChars="200"/>
        <w:rPr>
          <w:rFonts w:ascii="宋体" w:hAnsi="宋体" w:cs="宋体"/>
          <w:b/>
          <w:bCs/>
          <w:sz w:val="21"/>
          <w:szCs w:val="21"/>
        </w:rPr>
      </w:pPr>
      <w:r>
        <w:rPr>
          <w:rFonts w:ascii="宋体" w:hAnsi="宋体" w:cs="宋体" w:hint="eastAsia"/>
          <w:b/>
          <w:bCs/>
          <w:sz w:val="21"/>
          <w:szCs w:val="21"/>
        </w:rPr>
        <w:t>二、修订主要内容</w:t>
      </w:r>
    </w:p>
    <w:p w:rsidR="008C0A47">
      <w:pPr>
        <w:pStyle w:val="NormalWeb"/>
        <w:spacing w:line="440" w:lineRule="exact"/>
        <w:ind w:firstLine="480" w:firstLineChars="200"/>
        <w:rPr>
          <w:rFonts w:ascii="宋体" w:hAnsi="宋体" w:cs="宋体"/>
          <w:sz w:val="21"/>
          <w:szCs w:val="21"/>
        </w:rPr>
      </w:pPr>
      <w:r>
        <w:rPr>
          <w:rFonts w:ascii="宋体" w:hAnsi="宋体" w:cs="宋体" w:hint="eastAsia"/>
          <w:sz w:val="21"/>
          <w:szCs w:val="21"/>
        </w:rPr>
        <w:t>本次修订是在</w:t>
      </w:r>
      <w:r>
        <w:rPr>
          <w:rFonts w:ascii="宋体" w:hAnsi="宋体" w:cs="宋体" w:hint="eastAsia"/>
          <w:sz w:val="21"/>
          <w:szCs w:val="21"/>
        </w:rPr>
        <w:t>2011</w:t>
      </w:r>
      <w:r>
        <w:rPr>
          <w:rFonts w:ascii="宋体" w:hAnsi="宋体" w:cs="宋体" w:hint="eastAsia"/>
          <w:sz w:val="21"/>
          <w:szCs w:val="21"/>
        </w:rPr>
        <w:t>年《统计上大中小微型企业划分办法》基础上进行的，修订延续原有的分类原则、方法和结构框架，在保持适用范围不变的情况下</w:t>
      </w:r>
      <w:r>
        <w:rPr>
          <w:rFonts w:ascii="宋体" w:hAnsi="宋体" w:cs="宋体" w:hint="eastAsia"/>
          <w:sz w:val="21"/>
          <w:szCs w:val="21"/>
        </w:rPr>
        <w:t>,</w:t>
      </w:r>
      <w:r>
        <w:rPr>
          <w:rFonts w:ascii="宋体" w:hAnsi="宋体" w:cs="宋体" w:hint="eastAsia"/>
          <w:sz w:val="21"/>
          <w:szCs w:val="21"/>
        </w:rPr>
        <w:t>依据标准由《国民经济行业分类》（</w:t>
      </w:r>
      <w:r>
        <w:rPr>
          <w:rFonts w:ascii="宋体" w:hAnsi="宋体" w:cs="宋体" w:hint="eastAsia"/>
          <w:sz w:val="21"/>
          <w:szCs w:val="21"/>
        </w:rPr>
        <w:t>GB/T 4754</w:t>
      </w:r>
      <w:r>
        <w:rPr>
          <w:rFonts w:ascii="宋体" w:hAnsi="宋体" w:cs="宋体" w:hint="eastAsia"/>
          <w:sz w:val="21"/>
          <w:szCs w:val="21"/>
        </w:rPr>
        <w:t>—</w:t>
      </w:r>
      <w:r>
        <w:rPr>
          <w:rFonts w:ascii="宋体" w:hAnsi="宋体" w:cs="宋体" w:hint="eastAsia"/>
          <w:sz w:val="21"/>
          <w:szCs w:val="21"/>
        </w:rPr>
        <w:t>2011</w:t>
      </w:r>
      <w:r>
        <w:rPr>
          <w:rFonts w:ascii="宋体" w:hAnsi="宋体" w:cs="宋体" w:hint="eastAsia"/>
          <w:sz w:val="21"/>
          <w:szCs w:val="21"/>
        </w:rPr>
        <w:t>）修改为《国民经济行业分类》（</w:t>
      </w:r>
      <w:r>
        <w:rPr>
          <w:rFonts w:ascii="宋体" w:hAnsi="宋体" w:cs="宋体" w:hint="eastAsia"/>
          <w:sz w:val="21"/>
          <w:szCs w:val="21"/>
        </w:rPr>
        <w:t>GB/T 4754</w:t>
      </w:r>
      <w:r>
        <w:rPr>
          <w:rFonts w:ascii="宋体" w:hAnsi="宋体" w:cs="宋体" w:hint="eastAsia"/>
          <w:sz w:val="21"/>
          <w:szCs w:val="21"/>
        </w:rPr>
        <w:t>—</w:t>
      </w:r>
      <w:r>
        <w:rPr>
          <w:rFonts w:ascii="宋体" w:hAnsi="宋体" w:cs="宋体" w:hint="eastAsia"/>
          <w:sz w:val="21"/>
          <w:szCs w:val="21"/>
        </w:rPr>
        <w:t>2017</w:t>
      </w:r>
      <w:r>
        <w:rPr>
          <w:rFonts w:ascii="宋体" w:hAnsi="宋体" w:cs="宋体" w:hint="eastAsia"/>
          <w:sz w:val="21"/>
          <w:szCs w:val="21"/>
        </w:rPr>
        <w:t>），并根据新旧国民经济行业的对应关系，进行了行业所包含类别的对应调整。</w:t>
      </w:r>
    </w:p>
    <w:p w:rsidR="008C0A47">
      <w:pPr>
        <w:pStyle w:val="NormalWeb"/>
        <w:spacing w:line="440" w:lineRule="exact"/>
        <w:ind w:firstLine="480" w:firstLineChars="200"/>
        <w:rPr>
          <w:rFonts w:ascii="宋体" w:hAnsi="宋体" w:cs="宋体"/>
          <w:sz w:val="21"/>
          <w:szCs w:val="21"/>
        </w:rPr>
      </w:pPr>
      <w:r>
        <w:rPr>
          <w:rFonts w:ascii="宋体" w:hAnsi="宋体" w:cs="宋体" w:hint="eastAsia"/>
          <w:sz w:val="21"/>
          <w:szCs w:val="21"/>
        </w:rPr>
        <w:t>将交通运输业中包括的“装卸搬运和运输代理业”修改为“多式联运和运输代理业、装卸搬</w:t>
      </w:r>
      <w:r>
        <w:rPr>
          <w:rFonts w:ascii="宋体" w:hAnsi="宋体" w:cs="宋体" w:hint="eastAsia"/>
          <w:sz w:val="21"/>
          <w:szCs w:val="21"/>
        </w:rPr>
        <w:t>运”。</w:t>
      </w:r>
    </w:p>
    <w:p w:rsidR="008C0A47">
      <w:pPr>
        <w:pStyle w:val="NormalWeb"/>
        <w:spacing w:line="440" w:lineRule="exact"/>
        <w:ind w:firstLine="480" w:firstLineChars="200"/>
        <w:rPr>
          <w:rFonts w:ascii="宋体" w:hAnsi="宋体" w:cs="宋体"/>
          <w:sz w:val="21"/>
          <w:szCs w:val="21"/>
        </w:rPr>
      </w:pPr>
      <w:r>
        <w:rPr>
          <w:rFonts w:ascii="宋体" w:hAnsi="宋体" w:cs="宋体" w:hint="eastAsia"/>
          <w:sz w:val="21"/>
          <w:szCs w:val="21"/>
        </w:rPr>
        <w:t>仓储业所包括的行业中类，根据《国民经济行业分类》（</w:t>
      </w:r>
      <w:r>
        <w:rPr>
          <w:rFonts w:ascii="宋体" w:hAnsi="宋体" w:cs="宋体" w:hint="eastAsia"/>
          <w:sz w:val="21"/>
          <w:szCs w:val="21"/>
        </w:rPr>
        <w:t>GB/T 4754</w:t>
      </w:r>
      <w:r>
        <w:rPr>
          <w:rFonts w:ascii="宋体" w:hAnsi="宋体" w:cs="宋体" w:hint="eastAsia"/>
          <w:sz w:val="21"/>
          <w:szCs w:val="21"/>
        </w:rPr>
        <w:t>—</w:t>
      </w:r>
      <w:r>
        <w:rPr>
          <w:rFonts w:ascii="宋体" w:hAnsi="宋体" w:cs="宋体" w:hint="eastAsia"/>
          <w:sz w:val="21"/>
          <w:szCs w:val="21"/>
        </w:rPr>
        <w:t>2017</w:t>
      </w:r>
      <w:r>
        <w:rPr>
          <w:rFonts w:ascii="宋体" w:hAnsi="宋体" w:cs="宋体" w:hint="eastAsia"/>
          <w:sz w:val="21"/>
          <w:szCs w:val="21"/>
        </w:rPr>
        <w:t>）调整为“通用仓储，低温仓储，危险品仓储，谷物、棉花等农产品仓储，中药材仓储和其他仓储业”。</w:t>
      </w:r>
    </w:p>
    <w:p w:rsidR="008C0A47">
      <w:pPr>
        <w:rPr>
          <w:rFonts w:ascii="宋体" w:hAnsi="宋体" w:cs="宋体"/>
          <w:szCs w:val="21"/>
        </w:rPr>
      </w:pPr>
      <w:r>
        <w:rPr>
          <w:rFonts w:ascii="宋体" w:hAnsi="宋体" w:cs="宋体" w:hint="eastAsia"/>
          <w:szCs w:val="21"/>
        </w:rPr>
        <w:br w:type="page"/>
      </w:r>
    </w:p>
    <w:p w:rsidR="008C0A47">
      <w:pPr>
        <w:pStyle w:val="NormalWeb"/>
        <w:spacing w:line="440" w:lineRule="exact"/>
        <w:jc w:val="center"/>
        <w:rPr>
          <w:rFonts w:ascii="宋体" w:hAnsi="宋体" w:cs="宋体"/>
          <w:sz w:val="21"/>
          <w:szCs w:val="21"/>
        </w:rPr>
      </w:pPr>
      <w:r>
        <w:rPr>
          <w:rFonts w:ascii="宋体" w:hAnsi="宋体" w:cs="宋体" w:hint="eastAsia"/>
          <w:b/>
          <w:bCs/>
          <w:sz w:val="28"/>
          <w:szCs w:val="28"/>
        </w:rPr>
        <w:t>关于促进残疾人就业政府采购政策的通知</w:t>
      </w:r>
      <w:r>
        <w:rPr>
          <w:rFonts w:ascii="宋体" w:hAnsi="宋体" w:cs="宋体" w:hint="eastAsia"/>
          <w:b/>
          <w:bCs/>
          <w:sz w:val="28"/>
          <w:szCs w:val="28"/>
        </w:rPr>
        <w:br/>
      </w:r>
      <w:r>
        <w:rPr>
          <w:rFonts w:ascii="宋体" w:hAnsi="宋体" w:cs="宋体" w:hint="eastAsia"/>
          <w:sz w:val="21"/>
          <w:szCs w:val="21"/>
        </w:rPr>
        <w:t>财库〔</w:t>
      </w:r>
      <w:r>
        <w:rPr>
          <w:rFonts w:ascii="宋体" w:hAnsi="宋体" w:cs="宋体" w:hint="eastAsia"/>
          <w:sz w:val="21"/>
          <w:szCs w:val="21"/>
        </w:rPr>
        <w:t>2017</w:t>
      </w:r>
      <w:r>
        <w:rPr>
          <w:rFonts w:ascii="宋体" w:hAnsi="宋体" w:cs="宋体" w:hint="eastAsia"/>
          <w:sz w:val="21"/>
          <w:szCs w:val="21"/>
        </w:rPr>
        <w:t>〕</w:t>
      </w:r>
      <w:r>
        <w:rPr>
          <w:rFonts w:ascii="宋体" w:hAnsi="宋体" w:cs="宋体" w:hint="eastAsia"/>
          <w:sz w:val="21"/>
          <w:szCs w:val="21"/>
        </w:rPr>
        <w:t>141</w:t>
      </w:r>
      <w:r>
        <w:rPr>
          <w:rFonts w:ascii="宋体" w:hAnsi="宋体" w:cs="宋体" w:hint="eastAsia"/>
          <w:sz w:val="21"/>
          <w:szCs w:val="21"/>
        </w:rPr>
        <w:t>号</w:t>
      </w:r>
    </w:p>
    <w:p w:rsidR="008C0A47">
      <w:pPr>
        <w:pStyle w:val="NormalWeb"/>
        <w:spacing w:line="440" w:lineRule="exact"/>
        <w:ind w:firstLine="480" w:firstLineChars="200"/>
        <w:rPr>
          <w:rFonts w:ascii="宋体" w:hAnsi="宋体" w:cs="宋体"/>
          <w:sz w:val="21"/>
          <w:szCs w:val="21"/>
        </w:rPr>
      </w:pPr>
    </w:p>
    <w:p w:rsidR="008C0A47">
      <w:pPr>
        <w:pStyle w:val="NormalWeb"/>
        <w:spacing w:line="440" w:lineRule="exact"/>
        <w:rPr>
          <w:rFonts w:ascii="宋体" w:hAnsi="宋体" w:cs="宋体"/>
          <w:sz w:val="21"/>
          <w:szCs w:val="21"/>
        </w:rPr>
      </w:pPr>
      <w:r>
        <w:rPr>
          <w:rFonts w:ascii="宋体" w:hAnsi="宋体" w:cs="宋体" w:hint="eastAsia"/>
          <w:sz w:val="21"/>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rsidR="008C0A47">
      <w:pPr>
        <w:pStyle w:val="NormalWeb"/>
        <w:spacing w:line="440" w:lineRule="exact"/>
        <w:ind w:firstLine="480" w:firstLineChars="200"/>
        <w:rPr>
          <w:rFonts w:ascii="宋体" w:hAnsi="宋体" w:cs="宋体"/>
          <w:sz w:val="21"/>
          <w:szCs w:val="21"/>
        </w:rPr>
      </w:pPr>
      <w:r>
        <w:rPr>
          <w:rFonts w:ascii="宋体" w:hAnsi="宋体" w:cs="宋体" w:hint="eastAsia"/>
          <w:sz w:val="21"/>
          <w:szCs w:val="21"/>
        </w:rPr>
        <w:t>为了发挥政府采</w:t>
      </w:r>
      <w:r>
        <w:rPr>
          <w:rFonts w:ascii="宋体" w:hAnsi="宋体" w:cs="宋体" w:hint="eastAsia"/>
          <w:sz w:val="21"/>
          <w:szCs w:val="21"/>
        </w:rPr>
        <w:t>购促进残疾人就业的作用，进一步保障残疾人权益，依照《政府采购法》、《残疾人保障法》等法律法规及相关规定，现就促进残疾人就业政府采购政策通知如下：</w:t>
      </w:r>
    </w:p>
    <w:p w:rsidR="008C0A47">
      <w:pPr>
        <w:pStyle w:val="NormalWeb"/>
        <w:spacing w:line="440" w:lineRule="exact"/>
        <w:ind w:firstLine="480" w:firstLineChars="200"/>
        <w:rPr>
          <w:rFonts w:ascii="宋体" w:hAnsi="宋体" w:cs="宋体"/>
          <w:sz w:val="21"/>
          <w:szCs w:val="21"/>
        </w:rPr>
      </w:pPr>
      <w:r>
        <w:rPr>
          <w:rFonts w:ascii="宋体" w:hAnsi="宋体" w:cs="宋体" w:hint="eastAsia"/>
          <w:sz w:val="21"/>
          <w:szCs w:val="21"/>
        </w:rPr>
        <w:t>一、享受政府采购支持政策的残疾人福利性单位应当同时满足以下条件：</w:t>
      </w:r>
    </w:p>
    <w:p w:rsidR="008C0A47">
      <w:pPr>
        <w:pStyle w:val="NormalWeb"/>
        <w:spacing w:line="440" w:lineRule="exact"/>
        <w:ind w:firstLine="480" w:firstLineChars="200"/>
        <w:rPr>
          <w:rFonts w:ascii="宋体" w:hAnsi="宋体" w:cs="宋体"/>
          <w:sz w:val="21"/>
          <w:szCs w:val="21"/>
        </w:rPr>
      </w:pPr>
      <w:r>
        <w:rPr>
          <w:rFonts w:ascii="宋体" w:hAnsi="宋体" w:cs="宋体" w:hint="eastAsia"/>
          <w:sz w:val="21"/>
          <w:szCs w:val="21"/>
        </w:rPr>
        <w:t>（一）安置的残疾人占本单位在职职工人数的比例不低于</w:t>
      </w:r>
      <w:r>
        <w:rPr>
          <w:rFonts w:ascii="宋体" w:hAnsi="宋体" w:cs="宋体" w:hint="eastAsia"/>
          <w:sz w:val="21"/>
          <w:szCs w:val="21"/>
        </w:rPr>
        <w:t>25%</w:t>
      </w:r>
      <w:r>
        <w:rPr>
          <w:rFonts w:ascii="宋体" w:hAnsi="宋体" w:cs="宋体" w:hint="eastAsia"/>
          <w:sz w:val="21"/>
          <w:szCs w:val="21"/>
        </w:rPr>
        <w:t>（含</w:t>
      </w:r>
      <w:r>
        <w:rPr>
          <w:rFonts w:ascii="宋体" w:hAnsi="宋体" w:cs="宋体" w:hint="eastAsia"/>
          <w:sz w:val="21"/>
          <w:szCs w:val="21"/>
        </w:rPr>
        <w:t>25%</w:t>
      </w:r>
      <w:r>
        <w:rPr>
          <w:rFonts w:ascii="宋体" w:hAnsi="宋体" w:cs="宋体" w:hint="eastAsia"/>
          <w:sz w:val="21"/>
          <w:szCs w:val="21"/>
        </w:rPr>
        <w:t>），并且安置的残疾人人数不少于</w:t>
      </w:r>
      <w:r>
        <w:rPr>
          <w:rFonts w:ascii="宋体" w:hAnsi="宋体" w:cs="宋体" w:hint="eastAsia"/>
          <w:sz w:val="21"/>
          <w:szCs w:val="21"/>
        </w:rPr>
        <w:t>10</w:t>
      </w:r>
      <w:r>
        <w:rPr>
          <w:rFonts w:ascii="宋体" w:hAnsi="宋体" w:cs="宋体" w:hint="eastAsia"/>
          <w:sz w:val="21"/>
          <w:szCs w:val="21"/>
        </w:rPr>
        <w:t>人（含</w:t>
      </w:r>
      <w:r>
        <w:rPr>
          <w:rFonts w:ascii="宋体" w:hAnsi="宋体" w:cs="宋体" w:hint="eastAsia"/>
          <w:sz w:val="21"/>
          <w:szCs w:val="21"/>
        </w:rPr>
        <w:t>10</w:t>
      </w:r>
      <w:r>
        <w:rPr>
          <w:rFonts w:ascii="宋体" w:hAnsi="宋体" w:cs="宋体" w:hint="eastAsia"/>
          <w:sz w:val="21"/>
          <w:szCs w:val="21"/>
        </w:rPr>
        <w:t>人）；</w:t>
      </w:r>
    </w:p>
    <w:p w:rsidR="008C0A47">
      <w:pPr>
        <w:pStyle w:val="NormalWeb"/>
        <w:spacing w:line="440" w:lineRule="exact"/>
        <w:ind w:firstLine="480" w:firstLineChars="200"/>
        <w:rPr>
          <w:rFonts w:ascii="宋体" w:hAnsi="宋体" w:cs="宋体"/>
          <w:sz w:val="21"/>
          <w:szCs w:val="21"/>
        </w:rPr>
      </w:pPr>
      <w:r>
        <w:rPr>
          <w:rFonts w:ascii="宋体" w:hAnsi="宋体" w:cs="宋体" w:hint="eastAsia"/>
          <w:sz w:val="21"/>
          <w:szCs w:val="21"/>
        </w:rPr>
        <w:t>（二）依法与安置的每位残疾人签订了一年以上（含一年）的劳动合同或服务协议；</w:t>
      </w:r>
    </w:p>
    <w:p w:rsidR="008C0A47">
      <w:pPr>
        <w:pStyle w:val="NormalWeb"/>
        <w:spacing w:line="440" w:lineRule="exact"/>
        <w:ind w:firstLine="480" w:firstLineChars="200"/>
        <w:rPr>
          <w:rFonts w:ascii="宋体" w:hAnsi="宋体" w:cs="宋体"/>
          <w:sz w:val="21"/>
          <w:szCs w:val="21"/>
        </w:rPr>
      </w:pPr>
      <w:r>
        <w:rPr>
          <w:rFonts w:ascii="宋体" w:hAnsi="宋体" w:cs="宋体" w:hint="eastAsia"/>
          <w:sz w:val="21"/>
          <w:szCs w:val="21"/>
        </w:rPr>
        <w:t>（三）为安置的每位残疾人按月足额缴纳了基本养老保险、基本医疗保险、失业保险、工伤保险和生育保险等社会保险费；</w:t>
      </w:r>
    </w:p>
    <w:p w:rsidR="008C0A47">
      <w:pPr>
        <w:pStyle w:val="NormalWeb"/>
        <w:spacing w:line="440" w:lineRule="exact"/>
        <w:ind w:firstLine="480" w:firstLineChars="200"/>
        <w:rPr>
          <w:rFonts w:ascii="宋体" w:hAnsi="宋体" w:cs="宋体"/>
          <w:sz w:val="21"/>
          <w:szCs w:val="21"/>
        </w:rPr>
      </w:pPr>
      <w:r>
        <w:rPr>
          <w:rFonts w:ascii="宋体" w:hAnsi="宋体" w:cs="宋体" w:hint="eastAsia"/>
          <w:sz w:val="21"/>
          <w:szCs w:val="21"/>
        </w:rPr>
        <w:t>（四）通过银行等金融机构向安置的每位残疾人，按月支付了不低于单位所在区县适用的经省级人民政府批准的月最低工资标准的工资；</w:t>
      </w:r>
    </w:p>
    <w:p w:rsidR="008C0A47">
      <w:pPr>
        <w:pStyle w:val="NormalWeb"/>
        <w:spacing w:line="440" w:lineRule="exact"/>
        <w:ind w:firstLine="480" w:firstLineChars="200"/>
        <w:rPr>
          <w:rFonts w:ascii="宋体" w:hAnsi="宋体" w:cs="宋体"/>
          <w:sz w:val="21"/>
          <w:szCs w:val="21"/>
        </w:rPr>
      </w:pPr>
      <w:r>
        <w:rPr>
          <w:rFonts w:ascii="宋体" w:hAnsi="宋体" w:cs="宋体" w:hint="eastAsia"/>
          <w:sz w:val="21"/>
          <w:szCs w:val="21"/>
        </w:rPr>
        <w:t>（五）提供本单位制造的货物、承担的工程或者服务（以下简称产品），或者提供其他残疾人福利性单位制造的货物（不包括使用非残疾人福利性单位注册商标的货物）。</w:t>
      </w:r>
    </w:p>
    <w:p w:rsidR="008C0A47">
      <w:pPr>
        <w:pStyle w:val="NormalWeb"/>
        <w:spacing w:line="440" w:lineRule="exact"/>
        <w:ind w:firstLine="480" w:firstLineChars="200"/>
        <w:rPr>
          <w:rFonts w:ascii="宋体" w:hAnsi="宋体" w:cs="宋体"/>
          <w:sz w:val="21"/>
          <w:szCs w:val="21"/>
        </w:rPr>
      </w:pPr>
      <w:r>
        <w:rPr>
          <w:rFonts w:ascii="宋体" w:hAnsi="宋体" w:cs="宋体" w:hint="eastAsia"/>
          <w:sz w:val="21"/>
          <w:szCs w:val="21"/>
        </w:rPr>
        <w:t>前款所称残疾人是指法</w:t>
      </w:r>
      <w:r>
        <w:rPr>
          <w:rFonts w:ascii="宋体" w:hAnsi="宋体" w:cs="宋体" w:hint="eastAsia"/>
          <w:sz w:val="21"/>
          <w:szCs w:val="21"/>
        </w:rPr>
        <w:t>定劳动</w:t>
      </w:r>
      <w:r>
        <w:rPr>
          <w:rFonts w:ascii="宋体" w:hAnsi="宋体" w:cs="宋体" w:hint="eastAsia"/>
          <w:sz w:val="21"/>
          <w:szCs w:val="21"/>
        </w:rPr>
        <w:t>年龄内，持有《中华人民共和国残疾人证》或者《中华人民共和国残疾军人证（</w:t>
      </w:r>
      <w:r>
        <w:rPr>
          <w:rFonts w:ascii="宋体" w:hAnsi="宋体" w:cs="宋体" w:hint="eastAsia"/>
          <w:sz w:val="21"/>
          <w:szCs w:val="21"/>
        </w:rPr>
        <w:t>1</w:t>
      </w:r>
      <w:r>
        <w:rPr>
          <w:rFonts w:ascii="宋体" w:hAnsi="宋体" w:cs="宋体" w:hint="eastAsia"/>
          <w:sz w:val="21"/>
          <w:szCs w:val="21"/>
        </w:rPr>
        <w:t>至</w:t>
      </w:r>
      <w:r>
        <w:rPr>
          <w:rFonts w:ascii="宋体" w:hAnsi="宋体" w:cs="宋体" w:hint="eastAsia"/>
          <w:sz w:val="21"/>
          <w:szCs w:val="21"/>
        </w:rPr>
        <w:t>8</w:t>
      </w:r>
      <w:r>
        <w:rPr>
          <w:rFonts w:ascii="宋体" w:hAnsi="宋体" w:cs="宋体" w:hint="eastAsia"/>
          <w:sz w:val="21"/>
          <w:szCs w:val="21"/>
        </w:rPr>
        <w:t>级）》的自然人，包括具有劳</w:t>
      </w:r>
      <w:r>
        <w:rPr>
          <w:rFonts w:ascii="宋体" w:hAnsi="宋体" w:cs="宋体" w:hint="eastAsia"/>
          <w:sz w:val="21"/>
          <w:szCs w:val="21"/>
        </w:rPr>
        <w:t>动条件和劳动意愿的精神残疾人。在职职工人数是指与残疾人福利性单位建立劳动关系并依法签订劳动合同或者服务协议的雇员人数。</w:t>
      </w:r>
    </w:p>
    <w:p w:rsidR="008C0A47">
      <w:pPr>
        <w:pStyle w:val="NormalWeb"/>
        <w:spacing w:line="440" w:lineRule="exact"/>
        <w:ind w:firstLine="480" w:firstLineChars="200"/>
        <w:rPr>
          <w:rFonts w:ascii="宋体" w:hAnsi="宋体" w:cs="宋体"/>
          <w:sz w:val="21"/>
          <w:szCs w:val="21"/>
        </w:rPr>
      </w:pPr>
      <w:r>
        <w:rPr>
          <w:rFonts w:ascii="宋体" w:hAnsi="宋体" w:cs="宋体" w:hint="eastAsia"/>
          <w:sz w:val="21"/>
          <w:szCs w:val="21"/>
        </w:rPr>
        <w:t>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w:t>
      </w:r>
      <w:r>
        <w:rPr>
          <w:rFonts w:ascii="宋体" w:hAnsi="宋体" w:cs="宋体" w:hint="eastAsia"/>
          <w:sz w:val="21"/>
          <w:szCs w:val="21"/>
        </w:rPr>
        <w:t>函内容</w:t>
      </w:r>
      <w:r>
        <w:rPr>
          <w:rFonts w:ascii="宋体" w:hAnsi="宋体" w:cs="宋体" w:hint="eastAsia"/>
          <w:sz w:val="21"/>
          <w:szCs w:val="21"/>
        </w:rPr>
        <w:t>的材料。</w:t>
      </w:r>
    </w:p>
    <w:p w:rsidR="008C0A47">
      <w:pPr>
        <w:pStyle w:val="NormalWeb"/>
        <w:spacing w:line="440" w:lineRule="exact"/>
        <w:ind w:firstLine="480" w:firstLineChars="200"/>
        <w:rPr>
          <w:rFonts w:ascii="宋体" w:hAnsi="宋体" w:cs="宋体"/>
          <w:sz w:val="21"/>
          <w:szCs w:val="21"/>
        </w:rPr>
      </w:pPr>
      <w:r>
        <w:rPr>
          <w:rFonts w:ascii="宋体" w:hAnsi="宋体" w:cs="宋体" w:hint="eastAsia"/>
          <w:sz w:val="21"/>
          <w:szCs w:val="21"/>
        </w:rPr>
        <w:t>中标、成交供应商为残疾人福利性单位的，采购人或者其委托的采购代理机构应当随中标、成交结果同时公告其《残疾人福利性单位声明函》，接受社会监督。</w:t>
      </w:r>
    </w:p>
    <w:p w:rsidR="008C0A47">
      <w:pPr>
        <w:pStyle w:val="NormalWeb"/>
        <w:spacing w:line="440" w:lineRule="exact"/>
        <w:ind w:firstLine="480" w:firstLineChars="200"/>
        <w:rPr>
          <w:rFonts w:ascii="宋体" w:hAnsi="宋体" w:cs="宋体"/>
          <w:sz w:val="21"/>
          <w:szCs w:val="21"/>
        </w:rPr>
      </w:pPr>
      <w:r>
        <w:rPr>
          <w:rFonts w:ascii="宋体" w:hAnsi="宋体" w:cs="宋体" w:hint="eastAsia"/>
          <w:sz w:val="21"/>
          <w:szCs w:val="21"/>
        </w:rPr>
        <w:t>供应商提供的《残疾人福利性单</w:t>
      </w:r>
      <w:r>
        <w:rPr>
          <w:rFonts w:ascii="宋体" w:hAnsi="宋体" w:cs="宋体" w:hint="eastAsia"/>
          <w:sz w:val="21"/>
          <w:szCs w:val="21"/>
        </w:rPr>
        <w:t>位声明函》与事实不符的，依照《政府采购法》第七十七条第一款的规定追究法律责任。</w:t>
      </w:r>
    </w:p>
    <w:p w:rsidR="008C0A47">
      <w:pPr>
        <w:pStyle w:val="NormalWeb"/>
        <w:spacing w:line="440" w:lineRule="exact"/>
        <w:ind w:firstLine="480" w:firstLineChars="200"/>
        <w:rPr>
          <w:rFonts w:ascii="宋体" w:hAnsi="宋体" w:cs="宋体"/>
          <w:sz w:val="21"/>
          <w:szCs w:val="21"/>
        </w:rPr>
      </w:pPr>
      <w:r>
        <w:rPr>
          <w:rFonts w:ascii="宋体" w:hAnsi="宋体" w:cs="宋体" w:hint="eastAsia"/>
          <w:sz w:val="21"/>
          <w:szCs w:val="21"/>
        </w:rPr>
        <w:t>三、在政府采购活动中，残疾人福利性单位视同小型、微型企业，享受预留份额、评审</w:t>
      </w:r>
      <w:r>
        <w:rPr>
          <w:rFonts w:ascii="宋体" w:hAnsi="宋体" w:cs="宋体" w:hint="eastAsia"/>
          <w:sz w:val="21"/>
          <w:szCs w:val="21"/>
        </w:rPr>
        <w:t>中价格扣除等促进中小企业发展的政府采购政策。向残疾人福利性单位采购的金额，计入面向中小企业采购的统计数据。残疾人福利性单位属于小型、微型企业的，不重复享受政策。</w:t>
      </w:r>
    </w:p>
    <w:p w:rsidR="008C0A47">
      <w:pPr>
        <w:pStyle w:val="NormalWeb"/>
        <w:spacing w:line="440" w:lineRule="exact"/>
        <w:ind w:firstLine="480" w:firstLineChars="200"/>
        <w:rPr>
          <w:rFonts w:ascii="宋体" w:hAnsi="宋体" w:cs="宋体"/>
          <w:sz w:val="21"/>
          <w:szCs w:val="21"/>
        </w:rPr>
      </w:pPr>
      <w:r>
        <w:rPr>
          <w:rFonts w:ascii="宋体" w:hAnsi="宋体" w:cs="宋体" w:hint="eastAsia"/>
          <w:sz w:val="21"/>
          <w:szCs w:val="21"/>
        </w:rPr>
        <w:t>四、采购人采购公开招标数额标准以上的货物或者服务，因落实促进残疾人就业政策的需要，依法履行有关报批程序后，可采用公开招标以外的采购方式。</w:t>
      </w:r>
    </w:p>
    <w:p w:rsidR="008C0A47">
      <w:pPr>
        <w:pStyle w:val="NormalWeb"/>
        <w:spacing w:line="440" w:lineRule="exact"/>
        <w:ind w:firstLine="480" w:firstLineChars="200"/>
        <w:rPr>
          <w:rFonts w:ascii="宋体" w:hAnsi="宋体" w:cs="宋体"/>
          <w:sz w:val="21"/>
          <w:szCs w:val="21"/>
        </w:rPr>
      </w:pPr>
      <w:r>
        <w:rPr>
          <w:rFonts w:ascii="宋体" w:hAnsi="宋体" w:cs="宋体" w:hint="eastAsia"/>
          <w:sz w:val="21"/>
          <w:szCs w:val="21"/>
        </w:rPr>
        <w:t>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rsidR="008C0A47">
      <w:pPr>
        <w:pStyle w:val="NormalWeb"/>
        <w:spacing w:line="440" w:lineRule="exact"/>
        <w:ind w:firstLine="480" w:firstLineChars="200"/>
        <w:rPr>
          <w:rFonts w:ascii="宋体" w:hAnsi="宋体" w:cs="宋体"/>
          <w:sz w:val="21"/>
          <w:szCs w:val="21"/>
        </w:rPr>
      </w:pPr>
      <w:r>
        <w:rPr>
          <w:rFonts w:ascii="宋体" w:hAnsi="宋体" w:cs="宋体" w:hint="eastAsia"/>
          <w:sz w:val="21"/>
          <w:szCs w:val="21"/>
        </w:rPr>
        <w:t>六、省级财政部门可以结合本地区残疾人生产、经营的实际情况，细化政府采购支持措施。对符合国家有关部门规定条件的残疾人辅助性就业机构，可通过上述措施予以支持。各地</w:t>
      </w:r>
      <w:r>
        <w:rPr>
          <w:rFonts w:ascii="宋体" w:hAnsi="宋体" w:cs="宋体" w:hint="eastAsia"/>
          <w:sz w:val="21"/>
          <w:szCs w:val="21"/>
        </w:rPr>
        <w:t>制定的有关文件应当报财政部备案。</w:t>
      </w:r>
    </w:p>
    <w:p w:rsidR="008C0A47">
      <w:pPr>
        <w:pStyle w:val="NormalWeb"/>
        <w:spacing w:line="440" w:lineRule="exact"/>
        <w:ind w:firstLine="480" w:firstLineChars="200"/>
        <w:rPr>
          <w:rFonts w:ascii="宋体" w:hAnsi="宋体" w:cs="宋体"/>
          <w:sz w:val="21"/>
          <w:szCs w:val="21"/>
        </w:rPr>
      </w:pPr>
      <w:r>
        <w:rPr>
          <w:rFonts w:ascii="宋体" w:hAnsi="宋体" w:cs="宋体" w:hint="eastAsia"/>
          <w:sz w:val="21"/>
          <w:szCs w:val="21"/>
        </w:rPr>
        <w:t>七、本通知自</w:t>
      </w:r>
      <w:r>
        <w:rPr>
          <w:rFonts w:ascii="宋体" w:hAnsi="宋体" w:cs="宋体" w:hint="eastAsia"/>
          <w:sz w:val="21"/>
          <w:szCs w:val="21"/>
        </w:rPr>
        <w:t>2017</w:t>
      </w:r>
      <w:r>
        <w:rPr>
          <w:rFonts w:ascii="宋体" w:hAnsi="宋体" w:cs="宋体" w:hint="eastAsia"/>
          <w:sz w:val="21"/>
          <w:szCs w:val="21"/>
        </w:rPr>
        <w:t>年</w:t>
      </w:r>
      <w:r>
        <w:rPr>
          <w:rFonts w:ascii="宋体" w:hAnsi="宋体" w:cs="宋体" w:hint="eastAsia"/>
          <w:sz w:val="21"/>
          <w:szCs w:val="21"/>
        </w:rPr>
        <w:t>10</w:t>
      </w:r>
      <w:r>
        <w:rPr>
          <w:rFonts w:ascii="宋体" w:hAnsi="宋体" w:cs="宋体" w:hint="eastAsia"/>
          <w:sz w:val="21"/>
          <w:szCs w:val="21"/>
        </w:rPr>
        <w:t>月</w:t>
      </w:r>
      <w:r>
        <w:rPr>
          <w:rFonts w:ascii="宋体" w:hAnsi="宋体" w:cs="宋体" w:hint="eastAsia"/>
          <w:sz w:val="21"/>
          <w:szCs w:val="21"/>
        </w:rPr>
        <w:t>1</w:t>
      </w:r>
      <w:r>
        <w:rPr>
          <w:rFonts w:ascii="宋体" w:hAnsi="宋体" w:cs="宋体" w:hint="eastAsia"/>
          <w:sz w:val="21"/>
          <w:szCs w:val="21"/>
        </w:rPr>
        <w:t>日起执行。</w:t>
      </w:r>
    </w:p>
    <w:p w:rsidR="008C0A47">
      <w:pPr>
        <w:pStyle w:val="NormalWeb"/>
        <w:spacing w:line="440" w:lineRule="exact"/>
        <w:ind w:firstLine="480" w:firstLineChars="200"/>
        <w:rPr>
          <w:rFonts w:ascii="宋体" w:hAnsi="宋体" w:cs="宋体"/>
          <w:sz w:val="21"/>
          <w:szCs w:val="21"/>
        </w:rPr>
      </w:pPr>
      <w:r>
        <w:rPr>
          <w:rFonts w:ascii="宋体" w:hAnsi="宋体" w:cs="宋体" w:hint="eastAsia"/>
          <w:sz w:val="21"/>
          <w:szCs w:val="21"/>
        </w:rPr>
        <w:t>附件：</w:t>
      </w:r>
      <w:r>
        <w:fldChar w:fldCharType="begin"/>
      </w:r>
      <w:r>
        <w:instrText xml:space="preserve"> HYPERLINK "http://www.gov.cn/xinwen/2017-09/02/5222181/files/f1ba446ff1d041aab7b557a51912d058.docx" \t "http://www.gov.cn/xinwen/2017-09/02/_blank" </w:instrText>
      </w:r>
      <w:r>
        <w:fldChar w:fldCharType="separate"/>
      </w:r>
      <w:r>
        <w:rPr>
          <w:rFonts w:ascii="宋体" w:hAnsi="宋体" w:cs="宋体" w:hint="eastAsia"/>
          <w:sz w:val="21"/>
          <w:szCs w:val="21"/>
        </w:rPr>
        <w:t>残疾人福利性单位声明函</w:t>
      </w:r>
      <w:r>
        <w:fldChar w:fldCharType="end"/>
      </w:r>
    </w:p>
    <w:p w:rsidR="008C0A47">
      <w:pPr>
        <w:pStyle w:val="NormalWeb"/>
        <w:spacing w:line="440" w:lineRule="exact"/>
        <w:ind w:firstLine="480" w:firstLineChars="200"/>
        <w:rPr>
          <w:rFonts w:ascii="宋体" w:hAnsi="宋体" w:cs="宋体"/>
          <w:sz w:val="21"/>
          <w:szCs w:val="21"/>
        </w:rPr>
      </w:pPr>
    </w:p>
    <w:p w:rsidR="008C0A47">
      <w:pPr>
        <w:pStyle w:val="NormalWeb"/>
        <w:spacing w:line="440" w:lineRule="exact"/>
        <w:ind w:firstLine="480" w:firstLineChars="200"/>
        <w:jc w:val="right"/>
        <w:rPr>
          <w:rFonts w:ascii="宋体" w:hAnsi="宋体" w:cs="宋体"/>
          <w:sz w:val="21"/>
          <w:szCs w:val="21"/>
        </w:rPr>
      </w:pPr>
      <w:r>
        <w:rPr>
          <w:rFonts w:ascii="宋体" w:hAnsi="宋体" w:cs="宋体" w:hint="eastAsia"/>
          <w:sz w:val="21"/>
          <w:szCs w:val="21"/>
        </w:rPr>
        <w:t>财政部</w:t>
      </w:r>
      <w:r>
        <w:rPr>
          <w:rFonts w:ascii="宋体" w:hAnsi="宋体" w:cs="宋体" w:hint="eastAsia"/>
          <w:sz w:val="21"/>
          <w:szCs w:val="21"/>
        </w:rPr>
        <w:t xml:space="preserve"> </w:t>
      </w:r>
      <w:r>
        <w:rPr>
          <w:rFonts w:ascii="宋体" w:hAnsi="宋体" w:cs="宋体" w:hint="eastAsia"/>
          <w:sz w:val="21"/>
          <w:szCs w:val="21"/>
        </w:rPr>
        <w:t>民政部</w:t>
      </w:r>
      <w:r>
        <w:rPr>
          <w:rFonts w:ascii="宋体" w:hAnsi="宋体" w:cs="宋体" w:hint="eastAsia"/>
          <w:sz w:val="21"/>
          <w:szCs w:val="21"/>
        </w:rPr>
        <w:t xml:space="preserve"> </w:t>
      </w:r>
      <w:r>
        <w:rPr>
          <w:rFonts w:ascii="宋体" w:hAnsi="宋体" w:cs="宋体" w:hint="eastAsia"/>
          <w:sz w:val="21"/>
          <w:szCs w:val="21"/>
        </w:rPr>
        <w:t>中国残疾人联合会</w:t>
      </w:r>
      <w:r>
        <w:rPr>
          <w:rFonts w:ascii="宋体" w:hAnsi="宋体" w:cs="宋体" w:hint="eastAsia"/>
          <w:sz w:val="21"/>
          <w:szCs w:val="21"/>
        </w:rPr>
        <w:br/>
        <w:t>2017</w:t>
      </w:r>
      <w:r>
        <w:rPr>
          <w:rFonts w:ascii="宋体" w:hAnsi="宋体" w:cs="宋体" w:hint="eastAsia"/>
          <w:sz w:val="21"/>
          <w:szCs w:val="21"/>
        </w:rPr>
        <w:t>年</w:t>
      </w:r>
      <w:r>
        <w:rPr>
          <w:rFonts w:ascii="宋体" w:hAnsi="宋体" w:cs="宋体" w:hint="eastAsia"/>
          <w:sz w:val="21"/>
          <w:szCs w:val="21"/>
        </w:rPr>
        <w:t>8</w:t>
      </w:r>
      <w:r>
        <w:rPr>
          <w:rFonts w:ascii="宋体" w:hAnsi="宋体" w:cs="宋体" w:hint="eastAsia"/>
          <w:sz w:val="21"/>
          <w:szCs w:val="21"/>
        </w:rPr>
        <w:t>月</w:t>
      </w:r>
      <w:r>
        <w:rPr>
          <w:rFonts w:ascii="宋体" w:hAnsi="宋体" w:cs="宋体" w:hint="eastAsia"/>
          <w:sz w:val="21"/>
          <w:szCs w:val="21"/>
        </w:rPr>
        <w:t>22</w:t>
      </w:r>
      <w:r>
        <w:rPr>
          <w:rFonts w:ascii="宋体" w:hAnsi="宋体" w:cs="宋体" w:hint="eastAsia"/>
          <w:sz w:val="21"/>
          <w:szCs w:val="21"/>
        </w:rPr>
        <w:t>日</w:t>
      </w:r>
    </w:p>
    <w:p w:rsidR="008C0A47">
      <w:pPr>
        <w:pStyle w:val="NormalWeb"/>
        <w:spacing w:line="440" w:lineRule="exact"/>
        <w:ind w:firstLine="480" w:firstLineChars="200"/>
        <w:rPr>
          <w:rFonts w:ascii="宋体" w:hAnsi="宋体" w:cs="宋体"/>
          <w:sz w:val="21"/>
          <w:szCs w:val="21"/>
        </w:rPr>
      </w:pPr>
    </w:p>
    <w:p w:rsidR="008C0A47">
      <w:pPr>
        <w:pStyle w:val="NormalWeb"/>
        <w:spacing w:line="440" w:lineRule="exact"/>
        <w:ind w:firstLine="480" w:firstLineChars="200"/>
        <w:rPr>
          <w:rFonts w:ascii="宋体" w:hAnsi="宋体" w:cs="宋体"/>
          <w:sz w:val="21"/>
          <w:szCs w:val="21"/>
        </w:rPr>
      </w:pPr>
    </w:p>
    <w:p w:rsidR="008C0A47">
      <w:pPr>
        <w:spacing w:line="360" w:lineRule="exact"/>
        <w:rPr>
          <w:rFonts w:ascii="宋体" w:hAnsi="宋体"/>
          <w:bCs/>
          <w:color w:val="000000"/>
          <w:szCs w:val="21"/>
        </w:rPr>
      </w:pPr>
    </w:p>
    <w:p w:rsidR="008C0A47">
      <w:pPr>
        <w:spacing w:line="360" w:lineRule="exact"/>
        <w:rPr>
          <w:rFonts w:ascii="宋体" w:hAnsi="宋体"/>
          <w:bCs/>
          <w:color w:val="000000"/>
          <w:szCs w:val="21"/>
        </w:rPr>
      </w:pPr>
    </w:p>
    <w:p w:rsidR="008C0A47">
      <w:pPr>
        <w:spacing w:line="440" w:lineRule="exact"/>
        <w:rPr>
          <w:rFonts w:asciiTheme="majorEastAsia" w:eastAsiaTheme="majorEastAsia" w:hAnsiTheme="majorEastAsia" w:cstheme="majorEastAsia"/>
          <w:szCs w:val="21"/>
        </w:rPr>
      </w:pPr>
    </w:p>
    <w:p w:rsidR="008C0A47">
      <w:pPr>
        <w:rPr>
          <w:rFonts w:asciiTheme="majorEastAsia" w:eastAsiaTheme="majorEastAsia" w:hAnsiTheme="majorEastAsia" w:cstheme="majorEastAsia"/>
          <w:szCs w:val="21"/>
        </w:rPr>
      </w:pPr>
    </w:p>
    <w:p/>
    <w:sectPr>
      <w:pgSz w:w="11906" w:h="16838"/>
      <w:pgMar w:header="720" w:footer="72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default"/>
    <w:sig w:usb0="00000000" w:usb1="00000000" w:usb2="0000003F" w:usb3="00000000" w:csb0="603F01FF" w:csb1="FFFF0000"/>
  </w:font>
  <w:font w:name="隶书">
    <w:altName w:val="微软雅黑"/>
    <w:panose1 w:val="02010509060101010101"/>
    <w:charset w:val="86"/>
    <w:family w:val="modern"/>
    <w:pitch w:val="fixed"/>
    <w:sig w:usb0="00000001" w:usb1="080E0000" w:usb2="00000010" w:usb3="00000000" w:csb0="00040000" w:csb1="00000000"/>
  </w:font>
  <w:font w:name="monospace">
    <w:altName w:val="Segoe Print"/>
    <w:charset w:val="00"/>
    <w:family w:val="auto"/>
    <w:pitch w:val="default"/>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00" w:usb3="00000000" w:csb0="00040000" w:csb1="00000000"/>
  </w:font>
  <w:font w:name="长城仿宋">
    <w:altName w:val="黑体"/>
    <w:charset w:val="86"/>
    <w:family w:val="modern"/>
    <w:pitch w:val="default"/>
    <w:sig w:usb0="00000000" w:usb1="00000000" w:usb2="00000010" w:usb3="00000000" w:csb0="00040000" w:csb1="00000000"/>
  </w:font>
  <w:font w:name="Helvetica">
    <w:panose1 w:val="020B0604020202020204"/>
    <w:charset w:val="00"/>
    <w:family w:val="swiss"/>
    <w:pitch w:val="default"/>
    <w:sig w:usb0="00000000"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文鼎粗黑">
    <w:altName w:val="黑体"/>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 w:name="??">
    <w:altName w:val="宋体"/>
    <w:charset w:val="01"/>
    <w:family w:val="auto"/>
    <w:pitch w:val="default"/>
    <w:sig w:usb0="00000000" w:usb1="00000000" w:usb2="00000000" w:usb3="00000000" w:csb0="00040001" w:csb1="00000000"/>
  </w:font>
  <w:font w:name="汉仪细等线简">
    <w:altName w:val="宋体"/>
    <w:charset w:val="86"/>
    <w:family w:val="modern"/>
    <w:pitch w:val="default"/>
    <w:sig w:usb0="00000000" w:usb1="00000000" w:usb2="00000012" w:usb3="00000000" w:csb0="00040000" w:csb1="00000000"/>
  </w:font>
  <w:font w:name="H Yb 2gj">
    <w:altName w:val="黑体"/>
    <w:charset w:val="86"/>
    <w:family w:val="auto"/>
    <w:pitch w:val="default"/>
    <w:sig w:usb0="00000000" w:usb1="00000000" w:usb2="00000010" w:usb3="00000000" w:csb0="00040000" w:csb1="00000000"/>
  </w:font>
  <w:font w:name="幼圆">
    <w:altName w:val="宋体"/>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88D0E9E7"/>
    <w:lvl w:ilvl="0">
      <w:start w:val="6"/>
      <w:numFmt w:val="chineseCounting"/>
      <w:suff w:val="nothing"/>
      <w:lvlText w:val="%1、"/>
      <w:lvlJc w:val="left"/>
      <w:rPr>
        <w:rFonts w:hint="eastAsia"/>
      </w:rPr>
    </w:lvl>
  </w:abstractNum>
  <w:abstractNum w:abstractNumId="1">
    <w:nsid w:val="00000002"/>
    <w:multiLevelType w:val="multilevel"/>
    <w:tmpl w:val="09F81FD3"/>
    <w:lvl w:ilvl="0">
      <w:start w:val="1"/>
      <w:numFmt w:val="japaneseCounting"/>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trackRevisions/>
  <w:defaultTabStop w:val="720"/>
  <w:noPunctuationKerning/>
  <w:characterSpacingControl w:val="doNotCompress"/>
  <w:compat>
    <w:ulTrailSpac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Heading3"/>
    <w:next w:val="Normal"/>
    <w:link w:val="1"/>
    <w:qFormat/>
    <w:pPr>
      <w:spacing w:before="0" w:after="0"/>
      <w:jc w:val="center"/>
      <w:outlineLvl w:val="0"/>
    </w:pPr>
    <w:rPr>
      <w:rFonts w:ascii="黑体" w:eastAsia="黑体" w:hAnsi="黑体"/>
      <w:b w:val="0"/>
      <w:kern w:val="44"/>
      <w:sz w:val="36"/>
      <w:szCs w:val="36"/>
    </w:rPr>
  </w:style>
  <w:style w:type="paragraph" w:styleId="Heading2">
    <w:name w:val="heading 2"/>
    <w:basedOn w:val="Normal"/>
    <w:next w:val="Normal"/>
    <w:link w:val="2"/>
    <w:qFormat/>
    <w:pPr>
      <w:adjustRightInd w:val="0"/>
      <w:jc w:val="center"/>
      <w:textAlignment w:val="baseline"/>
      <w:outlineLvl w:val="1"/>
    </w:pPr>
    <w:rPr>
      <w:kern w:val="0"/>
      <w:sz w:val="24"/>
      <w:szCs w:val="20"/>
    </w:rPr>
  </w:style>
  <w:style w:type="paragraph" w:styleId="Heading3">
    <w:name w:val="heading 3"/>
    <w:basedOn w:val="Heading4"/>
    <w:next w:val="Normal"/>
    <w:link w:val="3"/>
    <w:qFormat/>
    <w:pPr>
      <w:spacing w:before="260" w:after="260" w:line="240" w:lineRule="auto"/>
      <w:outlineLvl w:val="2"/>
    </w:pPr>
    <w:rPr>
      <w:rFonts w:ascii="宋体" w:eastAsia="宋体" w:hAnsi="宋体"/>
      <w:szCs w:val="32"/>
    </w:rPr>
  </w:style>
  <w:style w:type="paragraph" w:styleId="Heading4">
    <w:name w:val="heading 4"/>
    <w:basedOn w:val="Normal"/>
    <w:next w:val="Normal"/>
    <w:link w:val="4"/>
    <w:qFormat/>
    <w:pPr>
      <w:keepNext/>
      <w:keepLines/>
      <w:spacing w:before="280" w:after="290" w:line="376" w:lineRule="auto"/>
      <w:outlineLvl w:val="3"/>
    </w:pPr>
    <w:rPr>
      <w:rFonts w:ascii="Arial" w:eastAsia="黑体" w:hAnsi="Arial"/>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ate">
    <w:name w:val="Date"/>
    <w:basedOn w:val="Normal"/>
    <w:next w:val="Normal"/>
    <w:link w:val="a"/>
    <w:qFormat/>
    <w:rPr>
      <w:rFonts w:ascii="宋体" w:hAnsi="Courier New"/>
      <w:sz w:val="32"/>
      <w:szCs w:val="20"/>
    </w:rPr>
  </w:style>
  <w:style w:type="character" w:customStyle="1" w:styleId="a">
    <w:name w:val="日期 字符"/>
    <w:link w:val="Date"/>
    <w:qFormat/>
    <w:rPr>
      <w:rFonts w:ascii="宋体" w:eastAsia="宋体" w:hAnsi="Courier New"/>
      <w:kern w:val="2"/>
      <w:sz w:val="32"/>
      <w:lang w:val="en-US" w:eastAsia="zh-CN" w:bidi="ar-SA"/>
    </w:rPr>
  </w:style>
  <w:style w:type="character" w:customStyle="1" w:styleId="4">
    <w:name w:val="标题 4 字符"/>
    <w:link w:val="Heading4"/>
    <w:qFormat/>
    <w:rPr>
      <w:rFonts w:ascii="Arial" w:eastAsia="黑体" w:hAnsi="Arial"/>
      <w:b/>
      <w:bCs/>
      <w:kern w:val="2"/>
      <w:sz w:val="28"/>
      <w:szCs w:val="28"/>
      <w:lang w:val="en-US" w:eastAsia="zh-CN" w:bidi="ar-SA"/>
    </w:rPr>
  </w:style>
  <w:style w:type="character" w:customStyle="1" w:styleId="3">
    <w:name w:val="标题 3 字符"/>
    <w:link w:val="Heading3"/>
    <w:qFormat/>
    <w:rPr>
      <w:rFonts w:ascii="宋体" w:eastAsia="宋体" w:hAnsi="宋体"/>
      <w:b/>
      <w:bCs/>
      <w:kern w:val="2"/>
      <w:sz w:val="28"/>
      <w:szCs w:val="32"/>
      <w:lang w:val="en-US" w:eastAsia="zh-CN" w:bidi="ar-SA"/>
    </w:rPr>
  </w:style>
  <w:style w:type="character" w:customStyle="1" w:styleId="1">
    <w:name w:val="标题 1 字符"/>
    <w:link w:val="Heading1"/>
    <w:qFormat/>
    <w:rPr>
      <w:rFonts w:ascii="黑体" w:eastAsia="黑体" w:hAnsi="黑体"/>
      <w:bCs/>
      <w:kern w:val="44"/>
      <w:sz w:val="36"/>
      <w:szCs w:val="36"/>
    </w:rPr>
  </w:style>
  <w:style w:type="character" w:customStyle="1" w:styleId="2">
    <w:name w:val="标题 2 字符"/>
    <w:link w:val="Heading2"/>
    <w:qFormat/>
    <w:rPr>
      <w:rFonts w:ascii="宋体" w:eastAsia="宋体" w:hAnsi="宋体"/>
      <w:b/>
      <w:bCs/>
      <w:sz w:val="24"/>
      <w:lang w:val="en-US" w:eastAsia="zh-CN" w:bidi="ar-SA"/>
    </w:rPr>
  </w:style>
  <w:style w:type="table" w:styleId="TableGrid">
    <w:name w:val="Table Grid"/>
    <w:basedOn w:val="TableNormal"/>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a0"/>
    <w:qFormat/>
    <w:pPr>
      <w:autoSpaceDE w:val="0"/>
      <w:autoSpaceDN w:val="0"/>
      <w:adjustRightInd w:val="0"/>
      <w:jc w:val="left"/>
      <w:textAlignment w:val="baseline"/>
    </w:pPr>
    <w:rPr>
      <w:rFonts w:ascii="宋体"/>
      <w:kern w:val="0"/>
      <w:sz w:val="34"/>
      <w:szCs w:val="20"/>
    </w:rPr>
  </w:style>
  <w:style w:type="character" w:customStyle="1" w:styleId="a0">
    <w:name w:val="批注文字 字符"/>
    <w:basedOn w:val="DefaultParagraphFont"/>
    <w:link w:val="CommentText"/>
    <w:qFormat/>
    <w:rPr>
      <w:rFonts w:ascii="宋体"/>
      <w:sz w:val="34"/>
    </w:rPr>
  </w:style>
  <w:style w:type="character" w:styleId="CommentReference">
    <w:name w:val="annotation reference"/>
    <w:basedOn w:val="DefaultParagraphFont"/>
    <w:qFormat/>
    <w:rPr>
      <w:sz w:val="21"/>
      <w:szCs w:val="21"/>
    </w:rPr>
  </w:style>
  <w:style w:type="paragraph" w:styleId="PlainText">
    <w:name w:val="Plain Text"/>
    <w:basedOn w:val="Normal"/>
    <w:link w:val="a1"/>
    <w:qFormat/>
    <w:rPr>
      <w:rFonts w:ascii="宋体" w:hAnsi="Courier New"/>
      <w:szCs w:val="20"/>
    </w:rPr>
  </w:style>
  <w:style w:type="character" w:customStyle="1" w:styleId="a1">
    <w:name w:val="纯文本 字符"/>
    <w:link w:val="PlainText"/>
    <w:qFormat/>
    <w:rPr>
      <w:rFonts w:ascii="宋体" w:eastAsia="宋体" w:hAnsi="Courier New"/>
      <w:kern w:val="2"/>
      <w:sz w:val="21"/>
      <w:lang w:val="en-US" w:eastAsia="zh-CN" w:bidi="ar-SA"/>
    </w:rPr>
  </w:style>
  <w:style w:type="character" w:customStyle="1" w:styleId="3Char">
    <w:name w:val="标题 3 Char"/>
    <w:qFormat/>
    <w:rPr>
      <w:rFonts w:ascii="黑体" w:eastAsia="黑体"/>
      <w:bCs/>
      <w:sz w:val="30"/>
    </w:rPr>
  </w:style>
  <w:style w:type="paragraph" w:styleId="NormalIndent">
    <w:name w:val="Normal Indent"/>
    <w:basedOn w:val="Normal"/>
    <w:link w:val="a2"/>
    <w:qFormat/>
    <w:pPr>
      <w:ind w:firstLine="420"/>
    </w:pPr>
    <w:rPr>
      <w:szCs w:val="20"/>
    </w:rPr>
  </w:style>
  <w:style w:type="character" w:customStyle="1" w:styleId="a2">
    <w:name w:val="正文缩进 字符"/>
    <w:link w:val="NormalIndent"/>
    <w:qFormat/>
    <w:rPr>
      <w:rFonts w:eastAsia="宋体"/>
      <w:kern w:val="2"/>
      <w:sz w:val="21"/>
      <w:lang w:val="en-US" w:eastAsia="zh-CN" w:bidi="ar-SA"/>
    </w:rPr>
  </w:style>
  <w:style w:type="paragraph" w:styleId="NormalWeb">
    <w:name w:val="Normal (Web)"/>
    <w:basedOn w:val="Normal"/>
    <w:uiPriority w:val="99"/>
    <w:qFormat/>
    <w:pPr>
      <w:jc w:val="left"/>
    </w:pPr>
    <w:rPr>
      <w:kern w:val="0"/>
      <w:sz w:val="24"/>
    </w:rPr>
  </w:style>
  <w:style w:type="character" w:customStyle="1" w:styleId="alt-edited1">
    <w:name w:val="alt-edited1"/>
    <w:qFormat/>
    <w:rPr>
      <w:color w:val="4D90F0"/>
    </w:rPr>
  </w:style>
  <w:style w:type="paragraph" w:styleId="BodyTextIndent">
    <w:name w:val="Body Text Indent"/>
    <w:basedOn w:val="Normal"/>
    <w:link w:val="a3"/>
    <w:qFormat/>
    <w:pPr>
      <w:spacing w:line="360" w:lineRule="auto"/>
      <w:ind w:firstLine="420" w:firstLineChars="200"/>
    </w:pPr>
  </w:style>
  <w:style w:type="character" w:customStyle="1" w:styleId="a3">
    <w:name w:val="正文文本缩进 字符"/>
    <w:link w:val="BodyTextIndent"/>
    <w:qFormat/>
    <w:rPr>
      <w:rFonts w:eastAsia="宋体"/>
      <w:kern w:val="2"/>
      <w:sz w:val="21"/>
      <w:szCs w:val="24"/>
      <w:lang w:val="en-US" w:eastAsia="zh-CN" w:bidi="ar-SA"/>
    </w:rPr>
  </w:style>
  <w:style w:type="character" w:styleId="Strong">
    <w:name w:val="Strong"/>
    <w:basedOn w:val="DefaultParagraphFont"/>
    <w:qFormat/>
    <w:rPr>
      <w:b/>
      <w:bC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65</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