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pPr>
        <w:pStyle w:val="NormalWeb"/>
        <w:widowControl/>
        <w:spacing w:beforeAutospacing="0" w:afterAutospacing="0" w:line="360" w:lineRule="auto"/>
        <w:jc w:val="center"/>
        <w:outlineLvl w:val="1"/>
        <w:rPr>
          <w:rFonts w:ascii="宋体" w:eastAsia="宋体" w:hAnsi="宋体" w:cs="宋体" w:hint="eastAsia"/>
          <w:b/>
          <w:bCs/>
          <w:sz w:val="40"/>
          <w:szCs w:val="40"/>
          <w:lang w:val="en-US" w:eastAsia="zh-CN"/>
        </w:rPr>
      </w:pPr>
      <w:bookmarkStart w:id="0" w:name="_Hlk71456902"/>
      <w:bookmarkStart w:id="1" w:name="_GoBack"/>
      <w:bookmarkEnd w:id="1"/>
      <w:r>
        <w:rPr>
          <w:rFonts w:ascii="宋体" w:eastAsia="宋体" w:hAnsi="宋体" w:cs="宋体" w:hint="eastAsia"/>
          <w:b/>
          <w:bCs/>
          <w:sz w:val="40"/>
          <w:szCs w:val="40"/>
          <w:lang w:val="en-US" w:eastAsia="zh-CN"/>
        </w:rPr>
        <w:t>深圳市龙华区卫生健康局龙华区平安医院电子支气管镜等设备采购项目</w:t>
      </w:r>
    </w:p>
    <w:p>
      <w:pPr>
        <w:pStyle w:val="NormalWeb"/>
        <w:widowControl/>
        <w:spacing w:beforeAutospacing="0" w:afterAutospacing="0" w:line="360" w:lineRule="auto"/>
        <w:jc w:val="center"/>
        <w:outlineLvl w:val="1"/>
        <w:rPr>
          <w:rFonts w:ascii="宋体" w:hAnsi="宋体" w:cs="宋体"/>
          <w:sz w:val="40"/>
          <w:szCs w:val="40"/>
        </w:rPr>
      </w:pPr>
      <w:r>
        <w:rPr>
          <w:rFonts w:ascii="宋体" w:hAnsi="宋体" w:cs="宋体" w:hint="eastAsia"/>
          <w:sz w:val="40"/>
          <w:szCs w:val="40"/>
        </w:rPr>
        <w:t>招标文件信息</w:t>
      </w:r>
    </w:p>
    <w:tbl>
      <w:tblPr>
        <w:tblStyle w:val="TableNormal"/>
        <w:tblW w:w="7943" w:type="dxa"/>
        <w:jc w:val="center"/>
        <w:tblCellSpacing w:w="0" w:type="dxa"/>
        <w:tblInd w:w="0" w:type="dxa"/>
        <w:tblLayout w:type="fixed"/>
        <w:tblCellMar>
          <w:top w:w="45" w:type="dxa"/>
          <w:left w:w="45" w:type="dxa"/>
          <w:bottom w:w="45" w:type="dxa"/>
          <w:right w:w="45" w:type="dxa"/>
        </w:tblCellMar>
      </w:tblPr>
      <w:tblGrid>
        <w:gridCol w:w="2723"/>
        <w:gridCol w:w="5220"/>
      </w:tblGrid>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项目编号：</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default"/>
                <w:sz w:val="30"/>
                <w:szCs w:val="30"/>
                <w:lang w:val="en-US" w:eastAsia="zh-CN"/>
              </w:rPr>
              <w:t>LHACG2022000314</w:t>
            </w:r>
          </w:p>
        </w:tc>
      </w:tr>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项目名称：</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eastAsia"/>
                <w:sz w:val="30"/>
                <w:szCs w:val="30"/>
              </w:rPr>
              <w:t>深圳市龙华区卫生健康局龙华区平安医院电子支气管镜等设备采购项目(重新采购第1次)</w:t>
            </w:r>
          </w:p>
        </w:tc>
      </w:tr>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包 号：</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eastAsia"/>
                <w:kern w:val="0"/>
                <w:sz w:val="30"/>
                <w:szCs w:val="30"/>
              </w:rPr>
              <w:t>A</w:t>
            </w:r>
          </w:p>
        </w:tc>
      </w:tr>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项目类型：</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eastAsia"/>
                <w:kern w:val="0"/>
                <w:sz w:val="30"/>
                <w:szCs w:val="30"/>
              </w:rPr>
              <w:t>货物类</w:t>
            </w:r>
          </w:p>
        </w:tc>
      </w:tr>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采购方式：</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eastAsia"/>
                <w:kern w:val="0"/>
                <w:sz w:val="30"/>
                <w:szCs w:val="30"/>
              </w:rPr>
              <w:t>公开招标</w:t>
            </w:r>
          </w:p>
        </w:tc>
      </w:tr>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货币类型：</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eastAsia"/>
                <w:kern w:val="0"/>
                <w:sz w:val="30"/>
                <w:szCs w:val="30"/>
              </w:rPr>
              <w:t>人民币</w:t>
            </w:r>
          </w:p>
        </w:tc>
      </w:tr>
      <w:tr>
        <w:tblPrEx>
          <w:tblW w:w="7943" w:type="dxa"/>
          <w:jc w:val="center"/>
          <w:tblCellSpacing w:w="0" w:type="dxa"/>
          <w:tblInd w:w="0" w:type="dxa"/>
          <w:tblLayout w:type="fixed"/>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spacing w:line="360" w:lineRule="auto"/>
              <w:jc w:val="right"/>
              <w:rPr>
                <w:rFonts w:ascii="宋体" w:hAnsi="宋体" w:cs="宋体"/>
                <w:sz w:val="30"/>
                <w:szCs w:val="30"/>
              </w:rPr>
            </w:pPr>
            <w:r>
              <w:rPr>
                <w:rFonts w:ascii="宋体" w:hAnsi="宋体" w:cs="宋体" w:hint="eastAsia"/>
                <w:kern w:val="0"/>
                <w:sz w:val="30"/>
                <w:szCs w:val="30"/>
              </w:rPr>
              <w:t>评标方法：</w:t>
            </w:r>
          </w:p>
        </w:tc>
        <w:tc>
          <w:tcPr>
            <w:tcW w:w="5220" w:type="dxa"/>
            <w:shd w:val="clear" w:color="auto" w:fill="auto"/>
            <w:vAlign w:val="center"/>
          </w:tcPr>
          <w:p>
            <w:pPr>
              <w:widowControl/>
              <w:spacing w:line="360" w:lineRule="auto"/>
              <w:jc w:val="left"/>
              <w:rPr>
                <w:rFonts w:ascii="宋体" w:hAnsi="宋体" w:cs="宋体"/>
                <w:sz w:val="30"/>
                <w:szCs w:val="30"/>
              </w:rPr>
            </w:pPr>
            <w:r>
              <w:rPr>
                <w:rFonts w:ascii="宋体" w:hAnsi="宋体" w:cs="宋体" w:hint="eastAsia"/>
                <w:kern w:val="0"/>
                <w:sz w:val="30"/>
                <w:szCs w:val="30"/>
              </w:rPr>
              <w:t>综合评分法（新价格分算法）</w:t>
            </w:r>
          </w:p>
        </w:tc>
      </w:tr>
    </w:tbl>
    <w:p>
      <w:pPr>
        <w:pStyle w:val="NormalWeb"/>
        <w:widowControl/>
        <w:spacing w:beforeAutospacing="0" w:afterAutospacing="0" w:line="360" w:lineRule="auto"/>
        <w:jc w:val="center"/>
        <w:outlineLvl w:val="1"/>
        <w:rPr>
          <w:rFonts w:ascii="宋体" w:hAnsi="宋体" w:cs="宋体"/>
          <w:kern w:val="2"/>
          <w:sz w:val="40"/>
          <w:szCs w:val="40"/>
        </w:rPr>
      </w:pPr>
      <w:bookmarkEnd w:id="0"/>
      <w:r>
        <w:rPr>
          <w:rFonts w:ascii="宋体" w:hAnsi="宋体" w:cs="宋体" w:hint="eastAsia"/>
          <w:kern w:val="2"/>
          <w:sz w:val="40"/>
          <w:szCs w:val="40"/>
        </w:rPr>
        <w:t>资格性审查表</w:t>
      </w: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94"/>
        <w:gridCol w:w="8284"/>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spacing w:line="360" w:lineRule="auto"/>
              <w:jc w:val="center"/>
              <w:rPr>
                <w:rFonts w:ascii="宋体" w:hAnsi="宋体" w:cs="宋体"/>
                <w:sz w:val="28"/>
                <w:szCs w:val="28"/>
              </w:rPr>
            </w:pPr>
            <w:r>
              <w:rPr>
                <w:rFonts w:ascii="宋体" w:hAnsi="宋体" w:cs="宋体" w:hint="eastAsia"/>
                <w:kern w:val="0"/>
                <w:sz w:val="28"/>
                <w:szCs w:val="28"/>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spacing w:line="360" w:lineRule="auto"/>
              <w:jc w:val="center"/>
              <w:rPr>
                <w:rFonts w:ascii="宋体" w:hAnsi="宋体" w:cs="宋体"/>
                <w:sz w:val="28"/>
                <w:szCs w:val="28"/>
              </w:rPr>
            </w:pPr>
            <w:r>
              <w:rPr>
                <w:rFonts w:ascii="宋体" w:hAnsi="宋体" w:cs="宋体" w:hint="eastAsia"/>
                <w:kern w:val="0"/>
                <w:sz w:val="28"/>
                <w:szCs w:val="28"/>
              </w:rPr>
              <w:t>内容</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szCs w:val="21"/>
              </w:rPr>
            </w:pPr>
            <w:r>
              <w:rPr>
                <w:rFonts w:ascii="宋体" w:hAnsi="宋体" w:cs="宋体" w:hint="eastAsia"/>
                <w:kern w:val="0"/>
                <w:szCs w:val="21"/>
              </w:rPr>
              <w:t>1</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szCs w:val="21"/>
              </w:rPr>
              <w:t xml:space="preserve">投标人须是在中华人民共和国境内注册，具有独立法人资格或是具有独立承担民事责任的能力的其它组织（提供营业执照扫描件或事业单位法人证等法人证明扫描件，原件备查）；总公司或者分公司只允许一家投标，不允许同时参与本项目投标，分公司参与投标的，须提供总公司或具有独立法人的上一级公司出具的愿为其参与本项目投标的行为以及履约等行为承担民事责任的加盖总公司公章的授权函，以及提供总、分公司的营业执照扫描件，原件备查； </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2</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color w:val="FF0000"/>
                <w:kern w:val="0"/>
                <w:szCs w:val="21"/>
              </w:rPr>
              <w:t>本项目不接受联合体投标,部分接受投标人选用进口产品参与投标；</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3</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参与本项目投标前三年内，在经营活动中没有重大违法记录（由供应商在《政府采购投标及履约承诺函》中作出声明）；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4</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参与本项目政府采购活动时不存在被有关部门禁止参与政府采购活动且在有效期内的情况（由供应商在《政府采购投标及履约承诺函》中作出声明）；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5</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具备《中华人民共和国政府采购法》第二十二条第一款的条件（由供应商在《政府采购投标及履约承诺函》中作出声明）；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6</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kern w:val="0"/>
                <w:szCs w:val="21"/>
              </w:rPr>
              <w:t>未被列入失信被执行人、重大税收违法案件当事人名单、政府采购严重违法失信行为记录名单（由供应商在《政府采购投标及履约承诺函》中作出声明）；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7</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依据《中华人民共和国政府采购法实施条例》第十八条第一款规定，单位负责人为同一人或者存在直接控股、管理关系的不同供应商，不得参加同一合同项下的政府采购活动（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8</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szCs w:val="21"/>
              </w:rPr>
              <w:t>投标人若为生产企业：所投产品为第二、三类医疗器械的，提供涵盖所投报医疗器械的《医疗器械生产许可证》(有效期内)扫描件，原件备查。</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9</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szCs w:val="21"/>
              </w:rPr>
              <w:t>投标人若为经营企业：所投产品为第二类医疗器械的，提供涵盖所投报医疗器械的《医疗器械经营备案凭证》(有效期内)扫描件，原件备查；所投产品为第三类医疗器械的，提供涵盖所投报医疗器械的《医疗器械经营许可证》(有效期内)扫描件，原件备查。</w:t>
            </w:r>
          </w:p>
        </w:tc>
      </w:tr>
    </w:tbl>
    <w:p>
      <w:pPr>
        <w:pStyle w:val="NormalWeb"/>
        <w:widowControl/>
        <w:spacing w:beforeAutospacing="0" w:afterAutospacing="0" w:line="360" w:lineRule="auto"/>
        <w:jc w:val="center"/>
        <w:outlineLvl w:val="1"/>
        <w:rPr>
          <w:rFonts w:ascii="宋体" w:hAnsi="宋体" w:cs="宋体"/>
          <w:kern w:val="2"/>
          <w:sz w:val="40"/>
          <w:szCs w:val="40"/>
        </w:rPr>
      </w:pPr>
      <w:r>
        <w:rPr>
          <w:rFonts w:ascii="宋体" w:hAnsi="宋体" w:cs="宋体" w:hint="eastAsia"/>
          <w:kern w:val="2"/>
          <w:sz w:val="40"/>
          <w:szCs w:val="40"/>
        </w:rPr>
        <w:t>符合性审查表</w:t>
      </w: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94"/>
        <w:gridCol w:w="8284"/>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spacing w:line="360" w:lineRule="auto"/>
              <w:jc w:val="center"/>
              <w:rPr>
                <w:rFonts w:ascii="宋体" w:hAnsi="宋体" w:cs="宋体"/>
                <w:sz w:val="28"/>
                <w:szCs w:val="28"/>
              </w:rPr>
            </w:pPr>
            <w:r>
              <w:rPr>
                <w:rFonts w:ascii="宋体" w:hAnsi="宋体" w:cs="宋体" w:hint="eastAsia"/>
                <w:kern w:val="0"/>
                <w:sz w:val="28"/>
                <w:szCs w:val="28"/>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spacing w:line="360" w:lineRule="auto"/>
              <w:jc w:val="center"/>
              <w:rPr>
                <w:rFonts w:ascii="宋体" w:hAnsi="宋体" w:cs="宋体"/>
                <w:sz w:val="28"/>
                <w:szCs w:val="28"/>
              </w:rPr>
            </w:pPr>
            <w:r>
              <w:rPr>
                <w:rFonts w:ascii="宋体" w:hAnsi="宋体" w:cs="宋体" w:hint="eastAsia"/>
                <w:kern w:val="0"/>
                <w:sz w:val="28"/>
                <w:szCs w:val="28"/>
              </w:rPr>
              <w:t>内容</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1</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将一个包或一个标段的内容拆开投标；</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2</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对同一项目投标时，提供两套（或以上）的投标方案（招标文件另有规定的除外）；</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3</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分项报价或投标总价高于</w:t>
            </w:r>
            <w:bookmarkStart w:id="2" w:name="_Hlk71832186"/>
            <w:r>
              <w:rPr>
                <w:rFonts w:ascii="宋体" w:hAnsi="宋体" w:cs="宋体" w:hint="eastAsia"/>
              </w:rPr>
              <w:t>相应财政预算金额（或设定的财政预算金额下的最高限价）</w:t>
            </w:r>
            <w:bookmarkEnd w:id="2"/>
            <w:r>
              <w:rPr>
                <w:rFonts w:ascii="宋体" w:hAnsi="宋体" w:cs="宋体" w:hint="eastAsia"/>
              </w:rPr>
              <w:t>；</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4</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5</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所投货物、服务在技术、商务等方面没有实质性满足招标文件要求的（是否实质性满足招标文件要求，由评审委员会根据《实质性条款响应情况表》做出评判）；</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6</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未按招标文件所提供的样式填写《投标函》；未按招标文件所提供的《政府采购投标及履约承诺函》进行承诺；未按招标文件对投标文件组成的要求提供投标文件；</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7</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投标报价有缺漏项目,或者对招标文件规定的项目需求内容或者需求数量进行修改</w:t>
            </w:r>
            <w:r>
              <w:rPr>
                <w:rFonts w:ascii="宋体" w:hAnsi="宋体" w:cs="宋体" w:hint="eastAsia"/>
                <w:szCs w:val="21"/>
              </w:rPr>
              <w:t>，评审委员会判定投标响应不满足采购需求</w:t>
            </w:r>
            <w:r>
              <w:rPr>
                <w:rFonts w:ascii="宋体" w:hAnsi="宋体" w:cs="宋体" w:hint="eastAsia"/>
              </w:rPr>
              <w:t>；</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8</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投标文件存在列放位置错误，导致属于信息公开情形的没有被公开；</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9</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投标文件电子文档带病毒，或存在通用条款32.4.11情形的；</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10</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投标文件用不属于本公司的电子密钥进行加密的；</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11</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误选了非本项目的最新加密规则文件，导致投标文件不能在开标时解密；</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szCs w:val="21"/>
              </w:rPr>
            </w:pPr>
            <w:r>
              <w:rPr>
                <w:rFonts w:ascii="宋体" w:hAnsi="宋体" w:cs="宋体" w:hint="eastAsia"/>
                <w:kern w:val="0"/>
                <w:szCs w:val="21"/>
              </w:rPr>
              <w:t>12</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widowControl/>
              <w:spacing w:line="360" w:lineRule="auto"/>
              <w:jc w:val="left"/>
              <w:textAlignment w:val="top"/>
              <w:rPr>
                <w:rFonts w:ascii="宋体" w:hAnsi="宋体" w:cs="宋体"/>
                <w:szCs w:val="21"/>
              </w:rPr>
            </w:pPr>
            <w:r>
              <w:rPr>
                <w:rFonts w:ascii="宋体" w:hAnsi="宋体" w:cs="宋体" w:hint="eastAsia"/>
              </w:rPr>
              <w:t>法律、法规、规章、规范性文件规定的其他情形。</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widowControl/>
              <w:spacing w:line="360" w:lineRule="auto"/>
              <w:jc w:val="center"/>
              <w:textAlignment w:val="top"/>
              <w:rPr>
                <w:rFonts w:ascii="宋体" w:hAnsi="宋体" w:cs="宋体"/>
                <w:kern w:val="0"/>
                <w:szCs w:val="21"/>
              </w:rPr>
            </w:pPr>
            <w:r>
              <w:rPr>
                <w:rFonts w:ascii="宋体" w:hAnsi="宋体" w:cs="宋体" w:hint="eastAsia"/>
                <w:kern w:val="0"/>
                <w:szCs w:val="21"/>
              </w:rPr>
              <w:t>13</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rPr>
            </w:pPr>
            <w:r>
              <w:rPr>
                <w:rFonts w:ascii="宋体" w:hAnsi="宋体" w:cs="宋体" w:hint="eastAsia"/>
                <w:szCs w:val="21"/>
              </w:rPr>
              <w:t>投标人所投产品具备相关主管部门要求的认证资料：所投产品为第一类医疗器械的，提供有效的《医疗器械备案凭证》扫描件，原件备查；所投产品为第二、三类医疗器械的，提供涵盖所投产品的《医疗器械注册证》(有效期内)扫描件，原件备查。</w:t>
            </w:r>
          </w:p>
        </w:tc>
      </w:tr>
      <w:tr>
        <w:tblPrEx>
          <w:tblW w:w="9078" w:type="dxa"/>
          <w:jc w:val="center"/>
          <w:tblInd w:w="0" w:type="dxa"/>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hint="default"/>
                <w:szCs w:val="21"/>
                <w:lang w:val="en-US" w:eastAsia="zh-CN"/>
              </w:rPr>
            </w:pPr>
            <w:r>
              <w:rPr>
                <w:rFonts w:ascii="宋体" w:hAnsi="宋体" w:cs="宋体" w:hint="eastAsia"/>
                <w:szCs w:val="21"/>
                <w:lang w:val="en-US" w:eastAsia="zh-CN"/>
              </w:rPr>
              <w:t>14</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hint="eastAsia"/>
                <w:szCs w:val="21"/>
              </w:rPr>
            </w:pPr>
            <w:r>
              <w:rPr>
                <w:rFonts w:ascii="宋体" w:hAnsi="宋体" w:cs="宋体" w:hint="eastAsia"/>
                <w:szCs w:val="21"/>
              </w:rPr>
              <w:t>若所投产品为进口，则投标人必须提供由设备制造商或授权的中国总代理签署的合法有效的保修、维修承诺函（免费保修期满足招标文件要求）扫描件，原件备查；若所投产品为国产产品，则无需提供。</w:t>
            </w:r>
          </w:p>
        </w:tc>
      </w:tr>
    </w:tbl>
    <w:p>
      <w:pPr>
        <w:pStyle w:val="NormalWeb"/>
        <w:widowControl/>
        <w:spacing w:beforeAutospacing="0" w:afterAutospacing="0" w:line="360" w:lineRule="auto"/>
        <w:jc w:val="center"/>
        <w:outlineLvl w:val="1"/>
        <w:rPr>
          <w:rFonts w:ascii="宋体" w:hAnsi="宋体" w:cs="宋体"/>
          <w:sz w:val="40"/>
          <w:szCs w:val="40"/>
        </w:rPr>
      </w:pPr>
      <w:r>
        <w:rPr>
          <w:rFonts w:ascii="宋体" w:hAnsi="宋体" w:cs="宋体" w:hint="eastAsia"/>
          <w:sz w:val="40"/>
          <w:szCs w:val="40"/>
        </w:rPr>
        <w:t>评标信息</w:t>
      </w:r>
    </w:p>
    <w:tbl>
      <w:tblPr>
        <w:tblStyle w:val="TableNormal"/>
        <w:tblW w:w="9078" w:type="dxa"/>
        <w:jc w:val="center"/>
        <w:tblCellSpacing w:w="0" w:type="dxa"/>
        <w:tblInd w:w="0" w:type="dxa"/>
        <w:tblBorders>
          <w:top w:val="nil"/>
          <w:left w:val="nil"/>
          <w:bottom w:val="nil"/>
          <w:right w:val="nil"/>
          <w:insideH w:val="nil"/>
          <w:insideV w:val="nil"/>
        </w:tblBorders>
        <w:tblLayout w:type="fixed"/>
        <w:tblCellMar>
          <w:top w:w="45" w:type="dxa"/>
          <w:left w:w="45" w:type="dxa"/>
          <w:bottom w:w="45" w:type="dxa"/>
          <w:right w:w="45" w:type="dxa"/>
        </w:tblCellMar>
      </w:tblPr>
      <w:tblGrid>
        <w:gridCol w:w="8873"/>
        <w:gridCol w:w="205"/>
      </w:tblGrid>
      <w:tr>
        <w:tblPrEx>
          <w:tblW w:w="9078" w:type="dxa"/>
          <w:jc w:val="center"/>
          <w:tblCellSpacing w:w="0" w:type="dxa"/>
          <w:tblInd w:w="0" w:type="dxa"/>
          <w:tblBorders>
            <w:top w:val="nil"/>
            <w:left w:val="nil"/>
            <w:bottom w:val="nil"/>
            <w:right w:val="nil"/>
            <w:insideH w:val="nil"/>
            <w:insideV w:val="nil"/>
          </w:tblBorders>
          <w:tblLayout w:type="fixed"/>
          <w:tblCellMar>
            <w:top w:w="45" w:type="dxa"/>
            <w:left w:w="45" w:type="dxa"/>
            <w:bottom w:w="45" w:type="dxa"/>
            <w:right w:w="45" w:type="dxa"/>
          </w:tblCellMar>
        </w:tblPrEx>
        <w:trPr>
          <w:tblCellSpacing w:w="0" w:type="dxa"/>
          <w:jc w:val="center"/>
        </w:trPr>
        <w:tc>
          <w:tcPr>
            <w:tcW w:w="8873" w:type="dxa"/>
            <w:shd w:val="clear" w:color="auto" w:fill="auto"/>
            <w:vAlign w:val="center"/>
          </w:tcPr>
          <w:p>
            <w:pPr>
              <w:widowControl/>
              <w:spacing w:line="360" w:lineRule="auto"/>
              <w:jc w:val="left"/>
              <w:rPr>
                <w:rFonts w:ascii="宋体" w:hAnsi="宋体" w:cs="宋体"/>
                <w:b/>
                <w:bCs/>
                <w:sz w:val="24"/>
              </w:rPr>
            </w:pPr>
            <w:r>
              <w:rPr>
                <w:rFonts w:ascii="宋体" w:hAnsi="宋体" w:cs="宋体" w:hint="eastAsia"/>
                <w:b/>
                <w:bCs/>
              </w:rPr>
              <w:t>评标方法：综合评分法（新价格分算法）</w:t>
            </w:r>
          </w:p>
        </w:tc>
        <w:tc>
          <w:tcPr>
            <w:tcW w:w="205" w:type="dxa"/>
            <w:shd w:val="clear" w:color="auto" w:fill="auto"/>
            <w:vAlign w:val="center"/>
          </w:tcPr>
          <w:p>
            <w:pPr>
              <w:spacing w:line="360" w:lineRule="auto"/>
              <w:jc w:val="right"/>
              <w:rPr>
                <w:rFonts w:ascii="宋体" w:hAnsi="宋体" w:cs="宋体"/>
                <w:b/>
                <w:bCs/>
                <w:sz w:val="24"/>
              </w:rPr>
            </w:pPr>
          </w:p>
        </w:tc>
      </w:tr>
      <w:tr>
        <w:tblPrEx>
          <w:tblW w:w="9078" w:type="dxa"/>
          <w:jc w:val="center"/>
          <w:tblCellSpacing w:w="0" w:type="dxa"/>
          <w:tblInd w:w="0" w:type="dxa"/>
          <w:tblLayout w:type="fixed"/>
          <w:tblCellMar>
            <w:top w:w="45" w:type="dxa"/>
            <w:left w:w="45" w:type="dxa"/>
            <w:bottom w:w="45" w:type="dxa"/>
            <w:right w:w="45" w:type="dxa"/>
          </w:tblCellMar>
        </w:tblPrEx>
        <w:trPr>
          <w:tblCellSpacing w:w="0" w:type="dxa"/>
          <w:jc w:val="center"/>
        </w:trPr>
        <w:tc>
          <w:tcPr>
            <w:tcW w:w="9078" w:type="dxa"/>
            <w:gridSpan w:val="2"/>
            <w:shd w:val="clear" w:color="auto" w:fill="auto"/>
            <w:vAlign w:val="center"/>
          </w:tcPr>
          <w:p>
            <w:pPr>
              <w:spacing w:line="360" w:lineRule="auto"/>
              <w:rPr>
                <w:rFonts w:ascii="宋体" w:hAnsi="宋体" w:cs="宋体"/>
                <w:szCs w:val="21"/>
              </w:rPr>
            </w:pPr>
            <w:r>
              <w:rPr>
                <w:rFonts w:ascii="宋体" w:hAnsi="宋体" w:cs="宋体" w:hint="eastAsia"/>
                <w:szCs w:val="21"/>
              </w:rPr>
              <w:t xml:space="preserve">综合评分法，是指投标文件满足招标文件全部实质性要求，且按照评审因素的量化指标评审得分最高的投标人为中标候选人的评标方法。 </w:t>
            </w:r>
          </w:p>
          <w:p>
            <w:pPr>
              <w:spacing w:line="360" w:lineRule="auto"/>
              <w:rPr>
                <w:rFonts w:ascii="宋体" w:hAnsi="宋体" w:cs="宋体"/>
                <w:szCs w:val="21"/>
              </w:rPr>
            </w:pPr>
            <w:r>
              <w:rPr>
                <w:rFonts w:ascii="宋体" w:hAnsi="宋体" w:cs="宋体" w:hint="eastAsia"/>
                <w:szCs w:val="21"/>
              </w:rPr>
              <w:t>价格分计算方法：</w:t>
            </w:r>
          </w:p>
          <w:p>
            <w:pPr>
              <w:pStyle w:val="NormalWeb"/>
              <w:widowControl/>
              <w:spacing w:beforeAutospacing="0" w:afterAutospacing="0" w:line="360" w:lineRule="auto"/>
              <w:rPr>
                <w:rFonts w:ascii="宋体" w:hAnsi="宋体" w:cs="宋体"/>
                <w:sz w:val="21"/>
                <w:szCs w:val="21"/>
              </w:rPr>
            </w:pPr>
            <w:r>
              <w:rPr>
                <w:rFonts w:ascii="宋体" w:hAnsi="宋体" w:cs="宋体" w:hint="eastAsia"/>
                <w:kern w:val="2"/>
                <w:sz w:val="21"/>
                <w:szCs w:val="21"/>
              </w:rPr>
              <w:t xml:space="preserve">采用低价优先法计算，即满足招标文件要求且投标价格最低的投标报价为评标基准价，其价格分为满分。其他投标人的价格分统一按照下列公式计算： </w:t>
            </w:r>
            <w:r>
              <w:rPr>
                <w:rFonts w:ascii="宋体" w:hAnsi="宋体" w:cs="宋体" w:hint="eastAsia"/>
                <w:kern w:val="2"/>
                <w:sz w:val="21"/>
                <w:szCs w:val="21"/>
              </w:rPr>
              <w:br/>
            </w:r>
            <w:r>
              <w:rPr>
                <w:rFonts w:ascii="宋体" w:hAnsi="宋体" w:cs="宋体" w:hint="eastAsia"/>
                <w:kern w:val="2"/>
                <w:sz w:val="21"/>
                <w:szCs w:val="21"/>
              </w:rPr>
              <w:t xml:space="preserve">投标报价得分=(评标基准价／投标报价)×100 </w:t>
            </w:r>
            <w:r>
              <w:rPr>
                <w:rFonts w:ascii="宋体" w:hAnsi="宋体" w:cs="宋体" w:hint="eastAsia"/>
                <w:kern w:val="2"/>
                <w:sz w:val="21"/>
                <w:szCs w:val="21"/>
              </w:rPr>
              <w:br/>
            </w:r>
            <w:r>
              <w:rPr>
                <w:rFonts w:ascii="宋体" w:hAnsi="宋体" w:cs="宋体" w:hint="eastAsia"/>
                <w:kern w:val="2"/>
                <w:sz w:val="21"/>
                <w:szCs w:val="21"/>
              </w:rPr>
              <w:t xml:space="preserve">评标总得分＝F1×A1＋F2×A2＋……＋Fn×An </w:t>
            </w:r>
            <w:r>
              <w:rPr>
                <w:rFonts w:ascii="宋体" w:hAnsi="宋体" w:cs="宋体" w:hint="eastAsia"/>
                <w:kern w:val="2"/>
                <w:sz w:val="21"/>
                <w:szCs w:val="21"/>
              </w:rPr>
              <w:br/>
            </w:r>
            <w:r>
              <w:rPr>
                <w:rFonts w:ascii="宋体" w:hAnsi="宋体" w:cs="宋体" w:hint="eastAsia"/>
                <w:kern w:val="2"/>
                <w:sz w:val="21"/>
                <w:szCs w:val="21"/>
              </w:rPr>
              <w:t xml:space="preserve">F1、F2……Fn分别为各项评审因素的得分； </w:t>
            </w:r>
            <w:r>
              <w:rPr>
                <w:rFonts w:ascii="宋体" w:hAnsi="宋体" w:cs="宋体" w:hint="eastAsia"/>
                <w:kern w:val="2"/>
                <w:sz w:val="21"/>
                <w:szCs w:val="21"/>
              </w:rPr>
              <w:br/>
            </w:r>
            <w:r>
              <w:rPr>
                <w:rFonts w:ascii="宋体" w:hAnsi="宋体" w:cs="宋体" w:hint="eastAsia"/>
                <w:kern w:val="2"/>
                <w:sz w:val="21"/>
                <w:szCs w:val="21"/>
              </w:rPr>
              <w:t xml:space="preserve">A1、A2、……An 分别为各项评审因素所占的权重(A1＋A2＋……＋An＝1)。 </w:t>
            </w:r>
            <w:r>
              <w:rPr>
                <w:rFonts w:ascii="宋体" w:hAnsi="宋体" w:cs="宋体" w:hint="eastAsia"/>
                <w:kern w:val="2"/>
                <w:sz w:val="21"/>
                <w:szCs w:val="21"/>
              </w:rPr>
              <w:br/>
            </w:r>
            <w:r>
              <w:rPr>
                <w:rFonts w:ascii="宋体" w:hAnsi="宋体" w:cs="宋体" w:hint="eastAsia"/>
                <w:kern w:val="2"/>
                <w:sz w:val="21"/>
                <w:szCs w:val="21"/>
              </w:rPr>
              <w:t xml:space="preserve">评标过程中，不得去掉报价中的最高报价和最低报价。 </w:t>
            </w:r>
            <w:r>
              <w:rPr>
                <w:rFonts w:ascii="宋体" w:hAnsi="宋体" w:cs="宋体" w:hint="eastAsia"/>
                <w:kern w:val="2"/>
                <w:sz w:val="21"/>
                <w:szCs w:val="21"/>
              </w:rPr>
              <w:br/>
            </w:r>
            <w:r>
              <w:rPr>
                <w:rFonts w:ascii="宋体" w:hAnsi="宋体" w:cs="宋体" w:hint="eastAsia"/>
                <w:kern w:val="2"/>
                <w:sz w:val="21"/>
                <w:szCs w:val="21"/>
              </w:rPr>
              <w:t>此方法适用于货物类、服务类、工程类项目。</w:t>
            </w:r>
          </w:p>
        </w:tc>
      </w:tr>
    </w:tbl>
    <w:p>
      <w:pPr>
        <w:spacing w:line="360" w:lineRule="auto"/>
        <w:rPr>
          <w:rFonts w:ascii="宋体" w:hAnsi="宋体" w:cs="宋体"/>
          <w:vanish/>
          <w:sz w:val="24"/>
        </w:rPr>
      </w:pP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681"/>
        <w:gridCol w:w="681"/>
        <w:gridCol w:w="2837"/>
        <w:gridCol w:w="681"/>
        <w:gridCol w:w="4198"/>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681" w:type="dxa"/>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sz w:val="24"/>
              </w:rPr>
            </w:pPr>
            <w:bookmarkStart w:id="3" w:name="_Hlk72360569"/>
            <w:r>
              <w:rPr>
                <w:rFonts w:ascii="宋体" w:hAnsi="宋体" w:cs="宋体" w:hint="eastAsia"/>
                <w:b/>
                <w:bCs/>
                <w:kern w:val="0"/>
                <w:sz w:val="24"/>
              </w:rPr>
              <w:t>序号</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sz w:val="24"/>
              </w:rPr>
            </w:pPr>
            <w:r>
              <w:rPr>
                <w:rFonts w:ascii="宋体" w:hAnsi="宋体" w:cs="宋体" w:hint="eastAsia"/>
                <w:b/>
                <w:bCs/>
                <w:kern w:val="0"/>
                <w:sz w:val="24"/>
              </w:rPr>
              <w:t>评分项</w:t>
            </w:r>
          </w:p>
        </w:tc>
        <w:tc>
          <w:tcPr>
            <w:tcW w:w="4198" w:type="dxa"/>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sz w:val="24"/>
              </w:rPr>
            </w:pPr>
            <w:r>
              <w:rPr>
                <w:rFonts w:ascii="宋体" w:hAnsi="宋体" w:cs="宋体" w:hint="eastAsia"/>
                <w:b/>
                <w:bCs/>
                <w:kern w:val="0"/>
                <w:sz w:val="24"/>
              </w:rPr>
              <w:t>权重(%)</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1</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价格</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30</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overflowPunct/>
              <w:topLinePunct w:val="0"/>
              <w:bidi w:val="0"/>
              <w:snapToGrid/>
              <w:spacing w:line="360" w:lineRule="auto"/>
              <w:rPr>
                <w:rFonts w:ascii="宋体" w:hAnsi="宋体" w:cs="宋体"/>
                <w:szCs w:val="21"/>
              </w:rPr>
            </w:pP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val="restart"/>
            <w:tcBorders>
              <w:top w:val="single" w:sz="8" w:space="0" w:color="000000"/>
              <w:left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2</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技术部分</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sz w:val="24"/>
              </w:rPr>
              <w:t>57</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overflowPunct/>
              <w:topLinePunct w:val="0"/>
              <w:bidi w:val="0"/>
              <w:snapToGrid/>
              <w:spacing w:line="360" w:lineRule="auto"/>
              <w:rPr>
                <w:rFonts w:ascii="宋体" w:hAnsi="宋体" w:cs="宋体"/>
                <w:szCs w:val="21"/>
              </w:rPr>
            </w:pP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E6EFFA"/>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权重(%)</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评分准则</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jc w:val="center"/>
              <w:textAlignment w:val="top"/>
              <w:rPr>
                <w:rFonts w:ascii="宋体" w:hAnsi="宋体" w:cs="宋体"/>
                <w:szCs w:val="21"/>
              </w:rPr>
            </w:pPr>
            <w:r>
              <w:rPr>
                <w:rFonts w:ascii="宋体" w:hAnsi="宋体" w:cs="宋体" w:hint="eastAsia"/>
                <w:kern w:val="0"/>
                <w:szCs w:val="21"/>
              </w:rPr>
              <w:t>1</w:t>
            </w:r>
          </w:p>
        </w:tc>
        <w:tc>
          <w:tcPr>
            <w:tcW w:w="2837"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hint="eastAsia"/>
              </w:rPr>
              <w:t>项目需求理解与分析</w:t>
            </w: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5</w:t>
            </w:r>
          </w:p>
        </w:tc>
        <w:tc>
          <w:tcPr>
            <w:tcW w:w="4198"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rPr>
                <w:rFonts w:ascii="宋体" w:hAnsi="宋体" w:cs="宋体"/>
                <w:b/>
                <w:bCs/>
                <w:szCs w:val="21"/>
              </w:rPr>
            </w:pPr>
            <w:r>
              <w:rPr>
                <w:rFonts w:ascii="宋体" w:hAnsi="宋体" w:cs="宋体" w:hint="eastAsia"/>
                <w:b/>
                <w:bCs/>
                <w:szCs w:val="21"/>
              </w:rPr>
              <w:t>评审内容：</w:t>
            </w:r>
          </w:p>
          <w:p>
            <w:pPr>
              <w:keepNext w:val="0"/>
              <w:keepLines w:val="0"/>
              <w:pageBreakBefore w:val="0"/>
              <w:widowControl/>
              <w:kinsoku/>
              <w:overflowPunct/>
              <w:topLinePunct w:val="0"/>
              <w:autoSpaceDE w:val="0"/>
              <w:autoSpaceDN w:val="0"/>
              <w:bidi w:val="0"/>
              <w:adjustRightInd w:val="0"/>
              <w:snapToGrid/>
              <w:spacing w:line="360" w:lineRule="auto"/>
              <w:jc w:val="left"/>
              <w:textAlignment w:val="baseline"/>
              <w:rPr>
                <w:rFonts w:ascii="宋体"/>
                <w:kern w:val="0"/>
                <w:szCs w:val="21"/>
              </w:rPr>
            </w:pPr>
            <w:r>
              <w:rPr>
                <w:rFonts w:ascii="宋体" w:hint="eastAsia"/>
                <w:kern w:val="0"/>
                <w:szCs w:val="21"/>
              </w:rPr>
              <w:t>根据投标人方案中包含：</w:t>
            </w:r>
          </w:p>
          <w:p>
            <w:pPr>
              <w:keepNext w:val="0"/>
              <w:keepLines w:val="0"/>
              <w:pageBreakBefore w:val="0"/>
              <w:widowControl/>
              <w:numPr>
                <w:ilvl w:val="0"/>
                <w:numId w:val="1"/>
              </w:numPr>
              <w:kinsoku/>
              <w:overflowPunct/>
              <w:topLinePunct w:val="0"/>
              <w:autoSpaceDE w:val="0"/>
              <w:autoSpaceDN w:val="0"/>
              <w:bidi w:val="0"/>
              <w:adjustRightInd w:val="0"/>
              <w:snapToGrid/>
              <w:spacing w:line="360" w:lineRule="auto"/>
              <w:ind w:left="420" w:hanging="420"/>
              <w:jc w:val="left"/>
              <w:textAlignment w:val="baseline"/>
              <w:rPr>
                <w:rFonts w:ascii="宋体" w:hAnsi="宋体" w:cs="宋体"/>
                <w:kern w:val="0"/>
                <w:szCs w:val="21"/>
              </w:rPr>
            </w:pPr>
            <w:r>
              <w:rPr>
                <w:rFonts w:ascii="宋体" w:hAnsi="宋体" w:cs="宋体" w:hint="eastAsia"/>
                <w:kern w:val="0"/>
                <w:szCs w:val="21"/>
              </w:rPr>
              <w:t>供货方式</w:t>
            </w:r>
          </w:p>
          <w:p>
            <w:pPr>
              <w:keepNext w:val="0"/>
              <w:keepLines w:val="0"/>
              <w:pageBreakBefore w:val="0"/>
              <w:widowControl/>
              <w:numPr>
                <w:ilvl w:val="0"/>
                <w:numId w:val="1"/>
              </w:numPr>
              <w:kinsoku/>
              <w:overflowPunct/>
              <w:topLinePunct w:val="0"/>
              <w:autoSpaceDE w:val="0"/>
              <w:autoSpaceDN w:val="0"/>
              <w:bidi w:val="0"/>
              <w:adjustRightInd w:val="0"/>
              <w:snapToGrid/>
              <w:spacing w:line="360" w:lineRule="auto"/>
              <w:ind w:left="420" w:hanging="420"/>
              <w:jc w:val="left"/>
              <w:textAlignment w:val="baseline"/>
              <w:rPr>
                <w:rFonts w:ascii="宋体" w:hAnsi="宋体" w:cs="宋体"/>
                <w:kern w:val="0"/>
                <w:szCs w:val="21"/>
              </w:rPr>
            </w:pPr>
            <w:r>
              <w:rPr>
                <w:rFonts w:ascii="宋体" w:hAnsi="宋体" w:cs="宋体" w:hint="eastAsia"/>
                <w:kern w:val="0"/>
                <w:szCs w:val="21"/>
              </w:rPr>
              <w:t>售后保障</w:t>
            </w:r>
          </w:p>
          <w:p>
            <w:pPr>
              <w:keepNext w:val="0"/>
              <w:keepLines w:val="0"/>
              <w:pageBreakBefore w:val="0"/>
              <w:widowControl/>
              <w:numPr>
                <w:ilvl w:val="0"/>
                <w:numId w:val="1"/>
              </w:numPr>
              <w:kinsoku/>
              <w:overflowPunct/>
              <w:topLinePunct w:val="0"/>
              <w:autoSpaceDE w:val="0"/>
              <w:autoSpaceDN w:val="0"/>
              <w:bidi w:val="0"/>
              <w:adjustRightInd w:val="0"/>
              <w:snapToGrid/>
              <w:spacing w:line="360" w:lineRule="auto"/>
              <w:ind w:left="420" w:hanging="420"/>
              <w:jc w:val="left"/>
              <w:textAlignment w:val="baseline"/>
              <w:rPr>
                <w:rFonts w:ascii="宋体" w:hAnsi="宋体" w:cs="宋体"/>
                <w:kern w:val="0"/>
                <w:szCs w:val="21"/>
              </w:rPr>
            </w:pPr>
            <w:r>
              <w:rPr>
                <w:rFonts w:ascii="宋体" w:hAnsi="宋体" w:cs="宋体" w:hint="eastAsia"/>
                <w:kern w:val="0"/>
                <w:szCs w:val="21"/>
              </w:rPr>
              <w:t>履行合同计划</w:t>
            </w:r>
          </w:p>
          <w:p>
            <w:pPr>
              <w:keepNext w:val="0"/>
              <w:keepLines w:val="0"/>
              <w:pageBreakBefore w:val="0"/>
              <w:widowControl/>
              <w:kinsoku/>
              <w:wordWrap w:val="0"/>
              <w:overflowPunct/>
              <w:topLinePunct w:val="0"/>
              <w:bidi w:val="0"/>
              <w:snapToGrid/>
              <w:spacing w:line="360" w:lineRule="auto"/>
              <w:rPr>
                <w:rFonts w:ascii="宋体" w:hAnsi="宋体" w:cs="宋体"/>
                <w:b/>
                <w:bCs/>
                <w:szCs w:val="21"/>
              </w:rPr>
            </w:pPr>
            <w:r>
              <w:rPr>
                <w:rFonts w:ascii="宋体" w:hAnsi="宋体" w:cs="宋体" w:hint="eastAsia"/>
                <w:b/>
                <w:bCs/>
                <w:szCs w:val="21"/>
              </w:rPr>
              <w:t>证明文件：</w:t>
            </w:r>
          </w:p>
          <w:p>
            <w:pPr>
              <w:keepNext w:val="0"/>
              <w:keepLines w:val="0"/>
              <w:pageBreakBefore w:val="0"/>
              <w:widowControl/>
              <w:kinsoku/>
              <w:wordWrap w:val="0"/>
              <w:overflowPunct/>
              <w:topLinePunct w:val="0"/>
              <w:bidi w:val="0"/>
              <w:snapToGrid/>
              <w:spacing w:line="360" w:lineRule="auto"/>
              <w:rPr>
                <w:rFonts w:ascii="宋体" w:hAnsi="宋体" w:cs="宋体"/>
                <w:kern w:val="0"/>
                <w:szCs w:val="21"/>
              </w:rPr>
            </w:pPr>
            <w:r>
              <w:rPr>
                <w:rFonts w:ascii="宋体" w:hAnsi="宋体" w:cs="宋体" w:hint="eastAsia"/>
                <w:szCs w:val="21"/>
              </w:rPr>
              <w:t>考察以上方案，如果</w:t>
            </w:r>
            <w:r>
              <w:rPr>
                <w:rFonts w:ascii="宋体" w:hAnsi="宋体" w:cs="宋体" w:hint="eastAsia"/>
                <w:kern w:val="0"/>
                <w:szCs w:val="21"/>
              </w:rPr>
              <w:t>全部满足得50分；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满足任意两点得 30分；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满足任意一点得10分；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未满足不得分。在此基础上，专家根据各供应商的具体响应内容按照量化的评审因素指标进一步评审：</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评价为优（项目方案完善，工作内容和安排考虑周到，流程合理）的加 50分；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评价为良（项目方案较完善，工作内容和安排考虑较周到，流程较合理）的加 30分；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评价为中（项目方案一般，工作内容和安排考虑基本周到，流程一般）的加 20分；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ascii="宋体" w:hAnsi="宋体" w:cs="宋体" w:hint="eastAsia"/>
                <w:szCs w:val="21"/>
              </w:rPr>
              <w:t>评价为差（项目方案不完善，工作内容和安排考虑欠周到）的不加分。</w:t>
            </w:r>
          </w:p>
          <w:p>
            <w:pPr>
              <w:keepNext w:val="0"/>
              <w:keepLines w:val="0"/>
              <w:pageBreakBefore w:val="0"/>
              <w:widowControl/>
              <w:kinsoku/>
              <w:wordWrap w:val="0"/>
              <w:overflowPunct/>
              <w:topLinePunct w:val="0"/>
              <w:bidi w:val="0"/>
              <w:snapToGrid/>
              <w:spacing w:line="360" w:lineRule="auto"/>
              <w:rPr>
                <w:rFonts w:ascii="宋体" w:hAnsi="宋体" w:cs="宋体"/>
                <w:szCs w:val="21"/>
              </w:rPr>
            </w:pPr>
            <w:r>
              <w:rPr>
                <w:rFonts w:hAnsi="宋体" w:cs="宋体" w:hint="eastAsia"/>
                <w:szCs w:val="21"/>
              </w:rPr>
              <w:t>未提供方案不得分。</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jc w:val="center"/>
              <w:textAlignment w:val="top"/>
              <w:rPr>
                <w:rFonts w:ascii="宋体" w:hAnsi="宋体" w:cs="宋体"/>
                <w:kern w:val="0"/>
                <w:szCs w:val="21"/>
              </w:rPr>
            </w:pPr>
            <w:r>
              <w:rPr>
                <w:rFonts w:ascii="宋体" w:hAnsi="宋体" w:cs="宋体" w:hint="eastAsia"/>
                <w:kern w:val="0"/>
                <w:szCs w:val="21"/>
              </w:rPr>
              <w:t>2</w:t>
            </w:r>
          </w:p>
        </w:tc>
        <w:tc>
          <w:tcPr>
            <w:tcW w:w="2837"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kern w:val="0"/>
                <w:szCs w:val="21"/>
              </w:rPr>
              <w:t>技术规格偏离情况</w:t>
            </w: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52</w:t>
            </w:r>
          </w:p>
        </w:tc>
        <w:tc>
          <w:tcPr>
            <w:tcW w:w="4198"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overflowPunct/>
              <w:topLinePunct w:val="0"/>
              <w:bidi w:val="0"/>
              <w:snapToGrid/>
              <w:spacing w:line="360" w:lineRule="auto"/>
              <w:jc w:val="left"/>
              <w:rPr>
                <w:rFonts w:ascii="宋体" w:hAnsi="宋体" w:cs="宋体"/>
                <w:szCs w:val="21"/>
              </w:rPr>
            </w:pPr>
            <w:r>
              <w:rPr>
                <w:rFonts w:ascii="宋体" w:hAnsi="宋体" w:cs="宋体" w:hint="eastAsia"/>
                <w:b/>
                <w:bCs/>
                <w:szCs w:val="21"/>
              </w:rPr>
              <w:t>考察内容：</w:t>
            </w:r>
            <w:r>
              <w:rPr>
                <w:rFonts w:ascii="宋体" w:hAnsi="宋体" w:cs="宋体" w:hint="eastAsia"/>
                <w:b/>
                <w:bCs/>
                <w:szCs w:val="21"/>
              </w:rPr>
              <w:br/>
            </w:r>
            <w:r>
              <w:rPr>
                <w:rFonts w:ascii="宋体" w:hAnsi="宋体" w:cs="宋体" w:hint="eastAsia"/>
                <w:szCs w:val="21"/>
              </w:rPr>
              <w:t>评审委员会根据《技术规格偏离表》（以下简称“偏离表”）响应情况进行打分，全部满足的得100分，一般参数每负偏离一项扣</w:t>
            </w:r>
            <w:r>
              <w:rPr>
                <w:rFonts w:ascii="宋体" w:eastAsia="宋体" w:hAnsi="宋体" w:cs="宋体" w:hint="eastAsia"/>
                <w:szCs w:val="21"/>
                <w:lang w:val="en-US" w:eastAsia="zh-CN"/>
              </w:rPr>
              <w:t>2</w:t>
            </w:r>
            <w:r>
              <w:rPr>
                <w:rFonts w:ascii="宋体" w:hAnsi="宋体" w:cs="宋体" w:hint="eastAsia"/>
                <w:szCs w:val="21"/>
              </w:rPr>
              <w:t>分，重点技术参数▲项每负偏离一项扣</w:t>
            </w:r>
            <w:r>
              <w:rPr>
                <w:rFonts w:ascii="宋体" w:eastAsia="宋体" w:hAnsi="宋体" w:cs="宋体" w:hint="eastAsia"/>
                <w:szCs w:val="21"/>
                <w:lang w:val="en-US" w:eastAsia="zh-CN"/>
              </w:rPr>
              <w:t>6</w:t>
            </w:r>
            <w:r>
              <w:rPr>
                <w:rFonts w:ascii="宋体" w:hAnsi="宋体" w:cs="宋体" w:hint="eastAsia"/>
                <w:szCs w:val="21"/>
              </w:rPr>
              <w:t>分。扣完为止。</w:t>
            </w:r>
            <w:r>
              <w:rPr>
                <w:rFonts w:ascii="宋体" w:hAnsi="宋体" w:cs="宋体" w:hint="eastAsia"/>
                <w:szCs w:val="21"/>
              </w:rPr>
              <w:br/>
            </w:r>
            <w:r>
              <w:rPr>
                <w:rFonts w:ascii="宋体" w:hAnsi="宋体" w:cs="宋体" w:hint="eastAsia"/>
                <w:b/>
                <w:bCs/>
                <w:szCs w:val="21"/>
              </w:rPr>
              <w:t>证明文件：</w:t>
            </w:r>
            <w:r>
              <w:rPr>
                <w:rFonts w:ascii="宋体" w:hAnsi="宋体" w:cs="宋体" w:hint="eastAsia"/>
                <w:b/>
                <w:bCs/>
                <w:szCs w:val="21"/>
              </w:rPr>
              <w:br/>
            </w:r>
            <w:r>
              <w:rPr>
                <w:rFonts w:ascii="宋体" w:hAnsi="宋体" w:cs="宋体" w:hint="eastAsia"/>
                <w:szCs w:val="21"/>
              </w:rPr>
              <w:t>偏离表应如实对应填写所投产品的具体参数。如要求提供“厂家网站截图/说明书/厂家出具的参数文件/检验报告”等证明资料的，需按要求提供相关证明资料；提供的证明资料与所填写内容不一致的，以证明资料为准，原件备查。证明材料不能满足招标要求的，该项按负偏离处理。（未提供或未按要求提供或提供的不清晰导致专家无法判断的，不得分）</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val="restart"/>
            <w:tcBorders>
              <w:top w:val="single" w:sz="8" w:space="0" w:color="000000"/>
              <w:left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3</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商务部分</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sz w:val="24"/>
              </w:rPr>
              <w:t>8</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overflowPunct/>
              <w:topLinePunct w:val="0"/>
              <w:bidi w:val="0"/>
              <w:snapToGrid/>
              <w:spacing w:line="360" w:lineRule="auto"/>
              <w:rPr>
                <w:rFonts w:ascii="宋体" w:hAnsi="宋体" w:cs="宋体"/>
                <w:szCs w:val="21"/>
              </w:rPr>
            </w:pP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E6EFFA"/>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权重(%)</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评分准则</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1</w:t>
            </w:r>
          </w:p>
        </w:tc>
        <w:tc>
          <w:tcPr>
            <w:tcW w:w="2837"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免费保修期内售后服务条款偏离情况</w:t>
            </w: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3</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rPr>
                <w:rFonts w:ascii="宋体" w:hAnsi="宋体" w:cs="宋体"/>
                <w:b/>
                <w:bCs/>
                <w:szCs w:val="21"/>
              </w:rPr>
            </w:pPr>
            <w:r>
              <w:rPr>
                <w:rFonts w:ascii="宋体" w:hAnsi="宋体" w:cs="宋体" w:hint="eastAsia"/>
                <w:b/>
                <w:bCs/>
                <w:szCs w:val="21"/>
              </w:rPr>
              <w:t>评审内容：</w:t>
            </w:r>
          </w:p>
          <w:p>
            <w:pPr>
              <w:keepNext w:val="0"/>
              <w:keepLines w:val="0"/>
              <w:pageBreakBefore w:val="0"/>
              <w:widowControl/>
              <w:kinsoku/>
              <w:overflowPunct/>
              <w:topLinePunct w:val="0"/>
              <w:bidi w:val="0"/>
              <w:snapToGrid/>
              <w:spacing w:line="360" w:lineRule="auto"/>
              <w:rPr>
                <w:rFonts w:ascii="宋体" w:hAnsi="宋体" w:cs="宋体"/>
                <w:szCs w:val="21"/>
              </w:rPr>
            </w:pPr>
            <w:r>
              <w:rPr>
                <w:rFonts w:ascii="宋体" w:hAnsi="宋体" w:cs="宋体" w:hint="eastAsia"/>
                <w:szCs w:val="21"/>
              </w:rPr>
              <w:t>投标人应如实填写《商务条款偏离表》中免费保修期内售后服务要求部分，评审委员会根据响应情况进行打分。</w:t>
            </w:r>
          </w:p>
          <w:p>
            <w:pPr>
              <w:keepNext w:val="0"/>
              <w:keepLines w:val="0"/>
              <w:pageBreakBefore w:val="0"/>
              <w:widowControl/>
              <w:kinsoku/>
              <w:overflowPunct/>
              <w:topLinePunct w:val="0"/>
              <w:bidi w:val="0"/>
              <w:snapToGrid/>
              <w:spacing w:line="360" w:lineRule="auto"/>
              <w:rPr>
                <w:rFonts w:ascii="宋体" w:hAnsi="宋体" w:cs="宋体"/>
                <w:b/>
                <w:bCs/>
                <w:szCs w:val="21"/>
              </w:rPr>
            </w:pPr>
            <w:r>
              <w:rPr>
                <w:rFonts w:ascii="宋体" w:hAnsi="宋体" w:cs="宋体" w:hint="eastAsia"/>
                <w:b/>
                <w:bCs/>
                <w:szCs w:val="21"/>
              </w:rPr>
              <w:t>评分标准：</w:t>
            </w:r>
          </w:p>
          <w:p>
            <w:pPr>
              <w:keepNext w:val="0"/>
              <w:keepLines w:val="0"/>
              <w:pageBreakBefore w:val="0"/>
              <w:widowControl/>
              <w:kinsoku/>
              <w:overflowPunct/>
              <w:topLinePunct w:val="0"/>
              <w:bidi w:val="0"/>
              <w:snapToGrid/>
              <w:spacing w:line="360" w:lineRule="auto"/>
              <w:rPr>
                <w:rFonts w:ascii="宋体" w:hAnsi="宋体" w:cs="宋体"/>
                <w:szCs w:val="21"/>
              </w:rPr>
            </w:pPr>
            <w:r>
              <w:rPr>
                <w:rFonts w:ascii="宋体" w:hAnsi="宋体" w:cs="宋体" w:hint="eastAsia"/>
                <w:szCs w:val="21"/>
              </w:rPr>
              <w:t>除实质性条款外，全部满足要求的得100分，每负偏离一项扣20分，扣完为止。</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2</w:t>
            </w:r>
          </w:p>
        </w:tc>
        <w:tc>
          <w:tcPr>
            <w:tcW w:w="2837"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hint="eastAsia"/>
                <w:color w:val="000000"/>
              </w:rPr>
              <w:t>免费保修期外售后服务条款偏离情况</w:t>
            </w: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2</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rPr>
                <w:rFonts w:ascii="宋体" w:hAnsi="宋体" w:cs="宋体"/>
                <w:b/>
                <w:bCs/>
                <w:szCs w:val="21"/>
              </w:rPr>
            </w:pPr>
            <w:r>
              <w:rPr>
                <w:rFonts w:ascii="宋体" w:hAnsi="宋体" w:cs="宋体" w:hint="eastAsia"/>
                <w:b/>
                <w:bCs/>
                <w:szCs w:val="21"/>
              </w:rPr>
              <w:t>评审内容：</w:t>
            </w:r>
          </w:p>
          <w:p>
            <w:pPr>
              <w:keepNext w:val="0"/>
              <w:keepLines w:val="0"/>
              <w:pageBreakBefore w:val="0"/>
              <w:widowControl/>
              <w:kinsoku/>
              <w:overflowPunct/>
              <w:topLinePunct w:val="0"/>
              <w:bidi w:val="0"/>
              <w:snapToGrid/>
              <w:spacing w:line="360" w:lineRule="auto"/>
              <w:rPr>
                <w:rFonts w:ascii="宋体" w:hAnsi="宋体" w:cs="宋体"/>
                <w:szCs w:val="21"/>
              </w:rPr>
            </w:pPr>
            <w:r>
              <w:rPr>
                <w:rFonts w:ascii="宋体" w:hAnsi="宋体" w:cs="宋体" w:hint="eastAsia"/>
                <w:szCs w:val="21"/>
              </w:rPr>
              <w:t>投标人应如实填写《商务条款偏离表》中免费保修期外售后服务要求部分，评标委员会根据响应情况进行打分。</w:t>
            </w:r>
          </w:p>
          <w:p>
            <w:pPr>
              <w:keepNext w:val="0"/>
              <w:keepLines w:val="0"/>
              <w:pageBreakBefore w:val="0"/>
              <w:widowControl/>
              <w:kinsoku/>
              <w:overflowPunct/>
              <w:topLinePunct w:val="0"/>
              <w:bidi w:val="0"/>
              <w:snapToGrid/>
              <w:spacing w:line="360" w:lineRule="auto"/>
              <w:rPr>
                <w:rFonts w:ascii="宋体" w:hAnsi="宋体" w:cs="宋体"/>
                <w:b/>
                <w:bCs/>
                <w:szCs w:val="21"/>
              </w:rPr>
            </w:pPr>
            <w:r>
              <w:rPr>
                <w:rFonts w:ascii="宋体" w:hAnsi="宋体" w:cs="宋体" w:hint="eastAsia"/>
                <w:b/>
                <w:bCs/>
                <w:szCs w:val="21"/>
              </w:rPr>
              <w:t>评分标准：</w:t>
            </w:r>
          </w:p>
          <w:p>
            <w:pPr>
              <w:keepNext w:val="0"/>
              <w:keepLines w:val="0"/>
              <w:pageBreakBefore w:val="0"/>
              <w:widowControl/>
              <w:kinsoku/>
              <w:overflowPunct/>
              <w:topLinePunct w:val="0"/>
              <w:bidi w:val="0"/>
              <w:snapToGrid/>
              <w:spacing w:line="360" w:lineRule="auto"/>
              <w:rPr>
                <w:rFonts w:ascii="宋体" w:hAnsi="宋体" w:cs="宋体"/>
                <w:szCs w:val="21"/>
              </w:rPr>
            </w:pPr>
            <w:r>
              <w:rPr>
                <w:rFonts w:ascii="宋体" w:hAnsi="宋体" w:cs="宋体" w:hint="eastAsia"/>
                <w:szCs w:val="21"/>
              </w:rPr>
              <w:t>全部满足要求的得100分，每负偏离一项扣20分，扣完为止。</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left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3</w:t>
            </w:r>
          </w:p>
        </w:tc>
        <w:tc>
          <w:tcPr>
            <w:tcW w:w="2837"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hint="eastAsia"/>
                <w:color w:val="000000"/>
              </w:rPr>
              <w:t>其他商务条款偏离情况</w:t>
            </w:r>
          </w:p>
        </w:tc>
        <w:tc>
          <w:tcPr>
            <w:tcW w:w="681"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szCs w:val="21"/>
              </w:rPr>
            </w:pPr>
            <w:r>
              <w:rPr>
                <w:rFonts w:ascii="宋体" w:hAnsi="宋体" w:cs="宋体" w:hint="eastAsia"/>
                <w:szCs w:val="21"/>
              </w:rPr>
              <w:t>3</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left"/>
              <w:rPr>
                <w:rFonts w:ascii="宋体" w:hAnsi="宋体"/>
                <w:b/>
                <w:bCs/>
                <w:color w:val="000000"/>
              </w:rPr>
            </w:pPr>
            <w:r>
              <w:rPr>
                <w:rFonts w:ascii="宋体" w:hAnsi="宋体" w:hint="eastAsia"/>
                <w:b/>
                <w:bCs/>
                <w:color w:val="000000"/>
              </w:rPr>
              <w:t>评审内容：</w:t>
            </w:r>
          </w:p>
          <w:p>
            <w:pPr>
              <w:keepNext w:val="0"/>
              <w:keepLines w:val="0"/>
              <w:pageBreakBefore w:val="0"/>
              <w:widowControl/>
              <w:kinsoku/>
              <w:overflowPunct/>
              <w:topLinePunct w:val="0"/>
              <w:bidi w:val="0"/>
              <w:snapToGrid/>
              <w:spacing w:line="360" w:lineRule="auto"/>
              <w:jc w:val="left"/>
              <w:rPr>
                <w:rFonts w:ascii="宋体" w:hAnsi="宋体"/>
                <w:color w:val="000000"/>
              </w:rPr>
            </w:pPr>
            <w:r>
              <w:rPr>
                <w:rFonts w:ascii="宋体" w:hAnsi="宋体" w:hint="eastAsia"/>
                <w:color w:val="000000"/>
              </w:rPr>
              <w:t>投标人应如实填写《商务条款偏离表》中其他商务要求部分，</w:t>
            </w:r>
            <w:r>
              <w:rPr>
                <w:rFonts w:ascii="宋体" w:hAnsi="宋体" w:hint="eastAsia"/>
              </w:rPr>
              <w:t>评标委员会</w:t>
            </w:r>
            <w:r>
              <w:rPr>
                <w:rFonts w:ascii="宋体" w:hAnsi="宋体" w:hint="eastAsia"/>
                <w:color w:val="000000"/>
              </w:rPr>
              <w:t>根据响应情况进行打分。</w:t>
            </w:r>
          </w:p>
          <w:p>
            <w:pPr>
              <w:keepNext w:val="0"/>
              <w:keepLines w:val="0"/>
              <w:pageBreakBefore w:val="0"/>
              <w:widowControl/>
              <w:kinsoku/>
              <w:overflowPunct/>
              <w:topLinePunct w:val="0"/>
              <w:bidi w:val="0"/>
              <w:snapToGrid/>
              <w:spacing w:line="360" w:lineRule="auto"/>
              <w:jc w:val="left"/>
              <w:rPr>
                <w:rFonts w:ascii="宋体" w:hAnsi="宋体"/>
                <w:color w:val="000000"/>
              </w:rPr>
            </w:pPr>
            <w:r>
              <w:rPr>
                <w:rFonts w:ascii="宋体" w:hAnsi="宋体" w:hint="eastAsia"/>
                <w:b/>
                <w:bCs/>
                <w:color w:val="000000"/>
              </w:rPr>
              <w:t>评分标准：</w:t>
            </w:r>
          </w:p>
          <w:p>
            <w:pPr>
              <w:keepNext w:val="0"/>
              <w:keepLines w:val="0"/>
              <w:pageBreakBefore w:val="0"/>
              <w:widowControl/>
              <w:kinsoku/>
              <w:overflowPunct/>
              <w:topLinePunct w:val="0"/>
              <w:bidi w:val="0"/>
              <w:snapToGrid/>
              <w:spacing w:line="360" w:lineRule="auto"/>
              <w:rPr>
                <w:rFonts w:ascii="宋体" w:hAnsi="宋体" w:cs="宋体"/>
                <w:szCs w:val="21"/>
              </w:rPr>
            </w:pPr>
            <w:r>
              <w:rPr>
                <w:rFonts w:ascii="宋体" w:hAnsi="宋体" w:cs="宋体" w:hint="eastAsia"/>
                <w:szCs w:val="21"/>
              </w:rPr>
              <w:t>除实质性条款外，全部满足要求的得100分，每负偏离一项扣8分，扣完为止。</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4</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kern w:val="0"/>
                <w:sz w:val="24"/>
              </w:rPr>
              <w:t>诚信情况</w:t>
            </w:r>
          </w:p>
        </w:tc>
        <w:tc>
          <w:tcPr>
            <w:tcW w:w="4198" w:type="dxa"/>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b/>
                <w:bCs/>
                <w:color w:val="0000FF"/>
                <w:sz w:val="24"/>
              </w:rPr>
            </w:pPr>
            <w:r>
              <w:rPr>
                <w:rFonts w:ascii="宋体" w:hAnsi="宋体" w:cs="宋体" w:hint="eastAsia"/>
                <w:b/>
                <w:bCs/>
                <w:color w:val="0000FF"/>
                <w:sz w:val="24"/>
              </w:rPr>
              <w:t>5</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8397" w:type="dxa"/>
            <w:gridSpan w:val="4"/>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overflowPunct/>
              <w:topLinePunct w:val="0"/>
              <w:bidi w:val="0"/>
              <w:snapToGrid/>
              <w:spacing w:line="360" w:lineRule="auto"/>
              <w:rPr>
                <w:rFonts w:ascii="宋体" w:hAnsi="宋体" w:cs="宋体"/>
                <w:szCs w:val="21"/>
              </w:rPr>
            </w:pP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权重(%)</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widowControl/>
              <w:kinsoku/>
              <w:wordWrap w:val="0"/>
              <w:overflowPunct/>
              <w:topLinePunct w:val="0"/>
              <w:bidi w:val="0"/>
              <w:snapToGrid/>
              <w:spacing w:line="360" w:lineRule="auto"/>
              <w:jc w:val="center"/>
              <w:rPr>
                <w:rFonts w:ascii="宋体" w:hAnsi="宋体" w:cs="宋体"/>
                <w:szCs w:val="21"/>
              </w:rPr>
            </w:pPr>
            <w:r>
              <w:rPr>
                <w:rFonts w:ascii="宋体" w:hAnsi="宋体" w:cs="宋体" w:hint="eastAsia"/>
                <w:kern w:val="0"/>
                <w:szCs w:val="21"/>
              </w:rPr>
              <w:t>评分准则</w:t>
            </w:r>
          </w:p>
        </w:tc>
      </w:tr>
      <w:tr>
        <w:tblPrEx>
          <w:tblW w:w="9078" w:type="dxa"/>
          <w:jc w:val="center"/>
          <w:tblInd w:w="0" w:type="dxa"/>
          <w:tblLayout w:type="fixed"/>
          <w:tblCellMar>
            <w:top w:w="20" w:type="dxa"/>
            <w:left w:w="108" w:type="dxa"/>
            <w:bottom w:w="20" w:type="dxa"/>
            <w:right w:w="108" w:type="dxa"/>
          </w:tblCellMar>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pPr>
              <w:keepNext w:val="0"/>
              <w:keepLines w:val="0"/>
              <w:pageBreakBefore w:val="0"/>
              <w:widowControl/>
              <w:kinsoku/>
              <w:overflowPunct/>
              <w:topLinePunct w:val="0"/>
              <w:bidi w:val="0"/>
              <w:snapToGrid/>
              <w:spacing w:line="360" w:lineRule="auto"/>
              <w:jc w:val="center"/>
              <w:rPr>
                <w:rFonts w:ascii="宋体" w:hAnsi="宋体" w:cs="宋体"/>
                <w:b/>
                <w:bCs/>
                <w:color w:val="0000FF"/>
                <w:sz w:val="24"/>
              </w:rPr>
            </w:pPr>
          </w:p>
        </w:tc>
        <w:tc>
          <w:tcPr>
            <w:tcW w:w="681"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jc w:val="center"/>
              <w:textAlignment w:val="top"/>
              <w:rPr>
                <w:rFonts w:ascii="宋体" w:hAnsi="宋体" w:cs="宋体"/>
                <w:szCs w:val="21"/>
              </w:rPr>
            </w:pPr>
            <w:r>
              <w:rPr>
                <w:rFonts w:ascii="宋体" w:hAnsi="宋体" w:cs="宋体" w:hint="eastAsia"/>
              </w:rPr>
              <w:t>1</w:t>
            </w:r>
          </w:p>
        </w:tc>
        <w:tc>
          <w:tcPr>
            <w:tcW w:w="2837"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jc w:val="left"/>
              <w:textAlignment w:val="top"/>
              <w:rPr>
                <w:rFonts w:ascii="宋体" w:hAnsi="宋体" w:cs="宋体"/>
                <w:szCs w:val="21"/>
              </w:rPr>
            </w:pPr>
            <w:r>
              <w:rPr>
                <w:rFonts w:ascii="宋体" w:hAnsi="宋体" w:cs="宋体" w:hint="eastAsia"/>
              </w:rPr>
              <w:t>诚信情况</w:t>
            </w:r>
          </w:p>
        </w:tc>
        <w:tc>
          <w:tcPr>
            <w:tcW w:w="681"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jc w:val="center"/>
              <w:textAlignment w:val="top"/>
              <w:rPr>
                <w:rFonts w:ascii="宋体" w:hAnsi="宋体" w:cs="宋体"/>
                <w:szCs w:val="21"/>
              </w:rPr>
            </w:pPr>
            <w:r>
              <w:rPr>
                <w:rFonts w:ascii="宋体" w:hAnsi="宋体" w:cs="宋体" w:hint="eastAsia"/>
              </w:rPr>
              <w:t>5</w:t>
            </w:r>
          </w:p>
        </w:tc>
        <w:tc>
          <w:tcPr>
            <w:tcW w:w="4198" w:type="dxa"/>
            <w:tcBorders>
              <w:top w:val="single" w:sz="8" w:space="0" w:color="000000"/>
              <w:left w:val="single" w:sz="8" w:space="0" w:color="000000"/>
              <w:bottom w:val="single" w:sz="8" w:space="0" w:color="000000"/>
              <w:right w:val="single" w:sz="8" w:space="0" w:color="000000"/>
            </w:tcBorders>
            <w:shd w:val="clear" w:color="auto" w:fill="auto"/>
          </w:tcPr>
          <w:p>
            <w:pPr>
              <w:keepNext w:val="0"/>
              <w:keepLines w:val="0"/>
              <w:pageBreakBefore w:val="0"/>
              <w:widowControl/>
              <w:kinsoku/>
              <w:wordWrap w:val="0"/>
              <w:overflowPunct/>
              <w:topLinePunct w:val="0"/>
              <w:bidi w:val="0"/>
              <w:snapToGrid/>
              <w:spacing w:line="360" w:lineRule="auto"/>
              <w:jc w:val="left"/>
              <w:textAlignment w:val="top"/>
              <w:rPr>
                <w:rFonts w:ascii="宋体" w:hAnsi="宋体" w:cs="宋体"/>
                <w:szCs w:val="21"/>
              </w:rPr>
            </w:pPr>
            <w:r>
              <w:rPr>
                <w:rFonts w:ascii="宋体" w:hAnsi="宋体" w:cs="宋体" w:hint="eastAsia"/>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spacing w:line="360" w:lineRule="auto"/>
        <w:rPr>
          <w:rFonts w:ascii="宋体" w:hAnsi="宋体" w:cs="宋体"/>
          <w:b/>
          <w:sz w:val="120"/>
          <w:szCs w:val="120"/>
        </w:rPr>
      </w:pPr>
      <w:bookmarkEnd w:id="3"/>
      <w:r>
        <w:rPr>
          <w:rFonts w:ascii="宋体" w:hAnsi="宋体" w:cs="宋体" w:hint="eastAsia"/>
          <w:b/>
          <w:sz w:val="120"/>
          <w:szCs w:val="120"/>
        </w:rPr>
        <w:br w:type="page"/>
      </w:r>
    </w:p>
    <w:p>
      <w:pPr>
        <w:spacing w:line="360" w:lineRule="auto"/>
        <w:jc w:val="center"/>
        <w:rPr>
          <w:rFonts w:ascii="宋体" w:hAnsi="宋体" w:cs="宋体"/>
          <w:b/>
          <w:sz w:val="120"/>
          <w:szCs w:val="120"/>
        </w:rPr>
      </w:pPr>
      <w:r>
        <w:rPr>
          <w:rFonts w:ascii="宋体" w:hAnsi="宋体" w:cs="宋体" w:hint="eastAsia"/>
          <w:b/>
          <w:sz w:val="120"/>
          <w:szCs w:val="120"/>
        </w:rPr>
        <w:t>政府采购</w:t>
      </w:r>
    </w:p>
    <w:p>
      <w:pPr>
        <w:spacing w:line="360" w:lineRule="auto"/>
        <w:jc w:val="center"/>
        <w:rPr>
          <w:rFonts w:ascii="宋体" w:hAnsi="宋体" w:cs="宋体"/>
          <w:b/>
          <w:sz w:val="120"/>
          <w:szCs w:val="120"/>
        </w:rPr>
      </w:pPr>
      <w:r>
        <w:rPr>
          <w:rFonts w:ascii="宋体" w:hAnsi="宋体" w:cs="宋体" w:hint="eastAsia"/>
          <w:b/>
          <w:sz w:val="120"/>
          <w:szCs w:val="120"/>
        </w:rPr>
        <w:t>招标文件</w:t>
      </w:r>
    </w:p>
    <w:p>
      <w:pPr>
        <w:spacing w:line="360" w:lineRule="auto"/>
        <w:jc w:val="center"/>
        <w:rPr>
          <w:rFonts w:ascii="宋体" w:hAnsi="宋体" w:cs="宋体"/>
          <w:b/>
          <w:sz w:val="52"/>
          <w:szCs w:val="52"/>
        </w:rPr>
      </w:pPr>
      <w:r>
        <w:rPr>
          <w:rFonts w:ascii="宋体" w:hAnsi="宋体" w:cs="宋体" w:hint="eastAsia"/>
          <w:b/>
          <w:sz w:val="52"/>
          <w:szCs w:val="52"/>
        </w:rPr>
        <w:t>（货物类）</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jc w:val="center"/>
        <w:rPr>
          <w:rFonts w:ascii="宋体" w:hAnsi="宋体" w:cs="宋体"/>
          <w:b/>
          <w:sz w:val="44"/>
          <w:szCs w:val="44"/>
        </w:rPr>
      </w:pPr>
      <w:bookmarkStart w:id="4" w:name="_Hlk71465316"/>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r>
        <w:rPr>
          <w:rFonts w:ascii="宋体" w:hAnsi="宋体" w:cs="宋体" w:hint="eastAsia"/>
          <w:b/>
          <w:sz w:val="44"/>
          <w:szCs w:val="44"/>
        </w:rPr>
        <w:t>深圳公共资源交易中心</w:t>
      </w:r>
    </w:p>
    <w:p>
      <w:pPr>
        <w:spacing w:line="360" w:lineRule="auto"/>
        <w:jc w:val="center"/>
        <w:rPr>
          <w:rFonts w:ascii="宋体" w:hAnsi="宋体" w:cs="宋体"/>
          <w:b/>
          <w:sz w:val="44"/>
          <w:szCs w:val="44"/>
        </w:rPr>
      </w:pPr>
      <w:r>
        <w:rPr>
          <w:rFonts w:ascii="宋体" w:hAnsi="宋体" w:cs="宋体" w:hint="eastAsia"/>
          <w:b/>
          <w:sz w:val="44"/>
          <w:szCs w:val="44"/>
        </w:rPr>
        <w:t>（2022）</w:t>
      </w:r>
      <w:bookmarkEnd w:id="4"/>
    </w:p>
    <w:p>
      <w:pPr>
        <w:widowControl/>
        <w:autoSpaceDE w:val="0"/>
        <w:autoSpaceDN w:val="0"/>
        <w:adjustRightInd w:val="0"/>
        <w:spacing w:line="400" w:lineRule="exact"/>
        <w:ind w:firstLine="420"/>
        <w:jc w:val="center"/>
        <w:rPr>
          <w:rFonts w:eastAsia="黑体"/>
          <w:b/>
          <w:bCs/>
          <w:color w:val="FF0000"/>
          <w:kern w:val="44"/>
          <w:sz w:val="28"/>
          <w:szCs w:val="44"/>
        </w:rPr>
      </w:pPr>
      <w:bookmarkStart w:id="5" w:name="_Hlk73564573"/>
      <w:r>
        <w:rPr>
          <w:rFonts w:eastAsia="黑体" w:cs="黑体" w:hint="eastAsia"/>
          <w:b/>
          <w:bCs/>
          <w:color w:val="FF0000"/>
          <w:kern w:val="44"/>
          <w:sz w:val="28"/>
          <w:szCs w:val="44"/>
        </w:rPr>
        <w:t>警示条款</w:t>
      </w:r>
    </w:p>
    <w:p>
      <w:pPr>
        <w:widowControl/>
        <w:autoSpaceDE w:val="0"/>
        <w:autoSpaceDN w:val="0"/>
        <w:adjustRightInd w:val="0"/>
        <w:spacing w:line="400" w:lineRule="exact"/>
        <w:ind w:firstLine="420"/>
        <w:jc w:val="center"/>
        <w:rPr>
          <w:rFonts w:eastAsia="黑体"/>
          <w:b/>
          <w:bCs/>
          <w:color w:val="FF0000"/>
          <w:kern w:val="44"/>
          <w:sz w:val="28"/>
          <w:szCs w:val="44"/>
        </w:rPr>
      </w:pPr>
    </w:p>
    <w:p>
      <w:pPr>
        <w:widowControl/>
        <w:spacing w:line="400" w:lineRule="exact"/>
        <w:ind w:firstLine="480" w:firstLineChars="200"/>
        <w:jc w:val="left"/>
        <w:rPr>
          <w:color w:val="FF0000"/>
          <w:sz w:val="20"/>
          <w:szCs w:val="20"/>
        </w:rPr>
      </w:pPr>
      <w:r>
        <w:rPr>
          <w:rFonts w:cs="宋体" w:hint="eastAsia"/>
          <w:color w:val="FF0000"/>
          <w:kern w:val="0"/>
          <w:sz w:val="20"/>
          <w:szCs w:val="20"/>
        </w:rPr>
        <w:t>一、</w:t>
      </w:r>
      <w:r>
        <w:rPr>
          <w:rFonts w:cs="宋体" w:hint="eastAsia"/>
          <w:b/>
          <w:bCs/>
          <w:color w:val="FF0000"/>
          <w:kern w:val="0"/>
          <w:sz w:val="20"/>
          <w:szCs w:val="20"/>
        </w:rPr>
        <w:t>《深圳经济特区政府采购条例》第五十七条</w:t>
      </w:r>
      <w:r>
        <w:rPr>
          <w:color w:val="FF0000"/>
          <w:kern w:val="0"/>
          <w:sz w:val="20"/>
          <w:szCs w:val="20"/>
        </w:rPr>
        <w:t xml:space="preserve"> </w:t>
      </w:r>
      <w:r>
        <w:rPr>
          <w:rFonts w:cs="宋体" w:hint="eastAsia"/>
          <w:color w:val="FF0000"/>
          <w:kern w:val="0"/>
          <w:sz w:val="20"/>
          <w:szCs w:val="20"/>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widowControl/>
        <w:spacing w:line="400" w:lineRule="exact"/>
        <w:ind w:firstLine="480" w:firstLineChars="200"/>
        <w:jc w:val="left"/>
        <w:rPr>
          <w:color w:val="FF0000"/>
          <w:sz w:val="20"/>
          <w:szCs w:val="20"/>
        </w:rPr>
      </w:pPr>
      <w:r>
        <w:rPr>
          <w:rFonts w:cs="宋体" w:hint="eastAsia"/>
          <w:color w:val="FF0000"/>
          <w:kern w:val="0"/>
          <w:sz w:val="20"/>
          <w:szCs w:val="20"/>
        </w:rPr>
        <w:t>（一）在采购活动中应当回避而未回避的；</w:t>
      </w:r>
    </w:p>
    <w:p>
      <w:pPr>
        <w:widowControl/>
        <w:spacing w:line="400" w:lineRule="exact"/>
        <w:ind w:firstLine="480" w:firstLineChars="200"/>
        <w:jc w:val="left"/>
        <w:rPr>
          <w:color w:val="FF0000"/>
          <w:sz w:val="20"/>
          <w:szCs w:val="20"/>
        </w:rPr>
      </w:pPr>
      <w:r>
        <w:rPr>
          <w:rFonts w:cs="宋体" w:hint="eastAsia"/>
          <w:color w:val="FF0000"/>
          <w:kern w:val="0"/>
          <w:sz w:val="20"/>
          <w:szCs w:val="20"/>
        </w:rPr>
        <w:t>（二）未按本条例规定签订、履行采购合同，造成严重后果的；</w:t>
      </w:r>
    </w:p>
    <w:p>
      <w:pPr>
        <w:widowControl/>
        <w:spacing w:line="400" w:lineRule="exact"/>
        <w:ind w:firstLine="480" w:firstLineChars="200"/>
        <w:jc w:val="left"/>
        <w:rPr>
          <w:color w:val="FF0000"/>
          <w:sz w:val="20"/>
          <w:szCs w:val="20"/>
        </w:rPr>
      </w:pPr>
      <w:r>
        <w:rPr>
          <w:rFonts w:cs="宋体" w:hint="eastAsia"/>
          <w:color w:val="FF0000"/>
          <w:kern w:val="0"/>
          <w:sz w:val="20"/>
          <w:szCs w:val="20"/>
        </w:rPr>
        <w:t>（三）隐瞒真实情况，提供虚假资料的；</w:t>
      </w:r>
    </w:p>
    <w:p>
      <w:pPr>
        <w:widowControl/>
        <w:spacing w:line="400" w:lineRule="exact"/>
        <w:ind w:firstLine="480" w:firstLineChars="200"/>
        <w:jc w:val="left"/>
        <w:rPr>
          <w:color w:val="FF0000"/>
          <w:sz w:val="20"/>
          <w:szCs w:val="20"/>
        </w:rPr>
      </w:pPr>
      <w:r>
        <w:rPr>
          <w:rFonts w:cs="宋体" w:hint="eastAsia"/>
          <w:color w:val="FF0000"/>
          <w:kern w:val="0"/>
          <w:sz w:val="20"/>
          <w:szCs w:val="20"/>
        </w:rPr>
        <w:t>（四）以非法手段排斥其他供应商参与竞争的；</w:t>
      </w:r>
    </w:p>
    <w:p>
      <w:pPr>
        <w:widowControl/>
        <w:spacing w:line="400" w:lineRule="exact"/>
        <w:ind w:firstLine="480" w:firstLineChars="200"/>
        <w:jc w:val="left"/>
        <w:rPr>
          <w:color w:val="FF0000"/>
          <w:sz w:val="20"/>
          <w:szCs w:val="20"/>
        </w:rPr>
      </w:pPr>
      <w:r>
        <w:rPr>
          <w:rFonts w:cs="宋体" w:hint="eastAsia"/>
          <w:color w:val="FF0000"/>
          <w:kern w:val="0"/>
          <w:sz w:val="20"/>
          <w:szCs w:val="20"/>
        </w:rPr>
        <w:t>（五）与其他采购参加人串通投标的；</w:t>
      </w:r>
    </w:p>
    <w:p>
      <w:pPr>
        <w:widowControl/>
        <w:spacing w:line="400" w:lineRule="exact"/>
        <w:ind w:firstLine="480" w:firstLineChars="200"/>
        <w:jc w:val="left"/>
        <w:rPr>
          <w:color w:val="FF0000"/>
          <w:sz w:val="20"/>
          <w:szCs w:val="20"/>
        </w:rPr>
      </w:pPr>
      <w:r>
        <w:rPr>
          <w:rFonts w:cs="宋体" w:hint="eastAsia"/>
          <w:color w:val="FF0000"/>
          <w:kern w:val="0"/>
          <w:sz w:val="20"/>
          <w:szCs w:val="20"/>
        </w:rPr>
        <w:t>（六）恶意投诉的；</w:t>
      </w:r>
    </w:p>
    <w:p>
      <w:pPr>
        <w:widowControl/>
        <w:spacing w:line="400" w:lineRule="exact"/>
        <w:ind w:firstLine="480" w:firstLineChars="200"/>
        <w:jc w:val="left"/>
        <w:rPr>
          <w:color w:val="FF0000"/>
          <w:sz w:val="20"/>
          <w:szCs w:val="20"/>
        </w:rPr>
      </w:pPr>
      <w:r>
        <w:rPr>
          <w:rFonts w:cs="宋体" w:hint="eastAsia"/>
          <w:color w:val="FF0000"/>
          <w:kern w:val="0"/>
          <w:sz w:val="20"/>
          <w:szCs w:val="20"/>
        </w:rPr>
        <w:t>（七）向采购项目相关人行贿或者提供其他不当利益的；</w:t>
      </w:r>
    </w:p>
    <w:p>
      <w:pPr>
        <w:widowControl/>
        <w:spacing w:line="400" w:lineRule="exact"/>
        <w:ind w:firstLine="480" w:firstLineChars="200"/>
        <w:jc w:val="left"/>
        <w:rPr>
          <w:color w:val="FF0000"/>
          <w:sz w:val="20"/>
          <w:szCs w:val="20"/>
        </w:rPr>
      </w:pPr>
      <w:r>
        <w:rPr>
          <w:rFonts w:cs="宋体" w:hint="eastAsia"/>
          <w:color w:val="FF0000"/>
          <w:kern w:val="0"/>
          <w:sz w:val="20"/>
          <w:szCs w:val="20"/>
        </w:rPr>
        <w:t>（八）阻碍、抗拒主管部门监督检查的；</w:t>
      </w:r>
    </w:p>
    <w:p>
      <w:pPr>
        <w:widowControl/>
        <w:spacing w:line="400" w:lineRule="exact"/>
        <w:ind w:firstLine="480" w:firstLineChars="200"/>
        <w:jc w:val="left"/>
        <w:rPr>
          <w:color w:val="FF0000"/>
          <w:sz w:val="20"/>
          <w:szCs w:val="20"/>
        </w:rPr>
      </w:pPr>
      <w:r>
        <w:rPr>
          <w:rFonts w:cs="宋体" w:hint="eastAsia"/>
          <w:color w:val="FF0000"/>
          <w:kern w:val="0"/>
          <w:sz w:val="20"/>
          <w:szCs w:val="20"/>
        </w:rPr>
        <w:t>（九）其他违反本条例规定的行为。</w:t>
      </w:r>
    </w:p>
    <w:p>
      <w:pPr>
        <w:widowControl/>
        <w:spacing w:line="400" w:lineRule="exact"/>
        <w:ind w:firstLine="480" w:firstLineChars="200"/>
        <w:jc w:val="left"/>
        <w:rPr>
          <w:color w:val="FF0000"/>
          <w:sz w:val="20"/>
          <w:szCs w:val="20"/>
        </w:rPr>
      </w:pPr>
      <w:r>
        <w:rPr>
          <w:rFonts w:cs="宋体" w:hint="eastAsia"/>
          <w:b/>
          <w:bCs/>
          <w:color w:val="FF0000"/>
          <w:kern w:val="0"/>
          <w:sz w:val="20"/>
          <w:szCs w:val="20"/>
        </w:rPr>
        <w:t>二、《深圳经济特区政府采购条例实施细则》第七十五条</w:t>
      </w:r>
      <w:r>
        <w:rPr>
          <w:b/>
          <w:bCs/>
          <w:color w:val="FF0000"/>
          <w:kern w:val="0"/>
          <w:sz w:val="20"/>
          <w:szCs w:val="20"/>
        </w:rPr>
        <w:t xml:space="preserve"> </w:t>
      </w:r>
      <w:r>
        <w:rPr>
          <w:rFonts w:cs="宋体" w:hint="eastAsia"/>
          <w:color w:val="FF0000"/>
          <w:kern w:val="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widowControl/>
        <w:spacing w:line="400" w:lineRule="exact"/>
        <w:ind w:firstLine="480" w:firstLineChars="200"/>
        <w:jc w:val="left"/>
        <w:rPr>
          <w:color w:val="FF0000"/>
          <w:sz w:val="20"/>
          <w:szCs w:val="20"/>
        </w:rPr>
      </w:pPr>
      <w:r>
        <w:rPr>
          <w:rFonts w:cs="宋体" w:hint="eastAsia"/>
          <w:b/>
          <w:bCs/>
          <w:color w:val="FF0000"/>
          <w:kern w:val="0"/>
          <w:sz w:val="20"/>
          <w:szCs w:val="20"/>
        </w:rPr>
        <w:t>三、《深圳经济特区政府采购条例实施细则》第七十七条</w:t>
      </w:r>
      <w:r>
        <w:rPr>
          <w:b/>
          <w:bCs/>
          <w:color w:val="FF0000"/>
          <w:kern w:val="0"/>
          <w:sz w:val="20"/>
          <w:szCs w:val="20"/>
        </w:rPr>
        <w:t xml:space="preserve"> </w:t>
      </w:r>
      <w:r>
        <w:rPr>
          <w:rFonts w:cs="宋体" w:hint="eastAsia"/>
          <w:color w:val="FF0000"/>
          <w:kern w:val="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widowControl/>
        <w:spacing w:line="400" w:lineRule="exact"/>
        <w:ind w:firstLine="480" w:firstLineChars="200"/>
        <w:jc w:val="left"/>
        <w:rPr>
          <w:color w:val="FF0000"/>
          <w:sz w:val="20"/>
          <w:szCs w:val="20"/>
        </w:rPr>
      </w:pPr>
      <w:r>
        <w:rPr>
          <w:rFonts w:cs="宋体" w:hint="eastAsia"/>
          <w:color w:val="FF0000"/>
          <w:kern w:val="0"/>
          <w:sz w:val="20"/>
          <w:szCs w:val="20"/>
        </w:rPr>
        <w:t>投标供应商不能提供项目负责人或者主要技术人员的劳动合同、社会保险等劳动关系证明材料的，视为存在前款第（三）项规定的情形。</w:t>
      </w:r>
    </w:p>
    <w:p>
      <w:pPr>
        <w:spacing w:line="360" w:lineRule="auto"/>
        <w:rPr>
          <w:rFonts w:ascii="宋体" w:hAnsi="宋体" w:cs="宋体"/>
          <w:color w:val="FF0000"/>
          <w:sz w:val="20"/>
          <w:szCs w:val="20"/>
        </w:rPr>
      </w:pPr>
    </w:p>
    <w:p>
      <w:pPr>
        <w:spacing w:line="360" w:lineRule="auto"/>
        <w:rPr>
          <w:rFonts w:ascii="宋体" w:hAnsi="宋体" w:cs="宋体"/>
          <w:color w:val="FF0000"/>
          <w:sz w:val="20"/>
          <w:szCs w:val="20"/>
        </w:rPr>
      </w:pPr>
      <w:bookmarkEnd w:id="5"/>
    </w:p>
    <w:p>
      <w:pPr>
        <w:spacing w:line="360" w:lineRule="auto"/>
        <w:rPr>
          <w:rFonts w:ascii="宋体" w:hAnsi="宋体" w:cs="宋体"/>
        </w:rPr>
      </w:pPr>
    </w:p>
    <w:p>
      <w:pPr>
        <w:pStyle w:val="Heading1"/>
        <w:spacing w:before="0" w:after="0"/>
        <w:rPr>
          <w:rFonts w:eastAsia="宋体" w:cs="宋体"/>
        </w:rPr>
      </w:pPr>
      <w:bookmarkStart w:id="6" w:name="_Hlk72218009"/>
      <w:r>
        <w:rPr>
          <w:rFonts w:eastAsia="宋体" w:cs="宋体" w:hint="eastAsia"/>
        </w:rPr>
        <w:t>目   录</w:t>
      </w:r>
    </w:p>
    <w:p>
      <w:pPr>
        <w:spacing w:line="360" w:lineRule="auto"/>
        <w:outlineLvl w:val="0"/>
        <w:rPr>
          <w:rFonts w:ascii="宋体" w:hAnsi="宋体" w:cs="宋体"/>
          <w:b/>
          <w:sz w:val="24"/>
        </w:rPr>
      </w:pPr>
      <w:r>
        <w:rPr>
          <w:rFonts w:ascii="宋体" w:hAnsi="宋体" w:cs="宋体" w:hint="eastAsia"/>
          <w:b/>
          <w:sz w:val="24"/>
        </w:rPr>
        <w:t>第一册  专用条款</w:t>
      </w:r>
    </w:p>
    <w:p>
      <w:pPr>
        <w:spacing w:line="360" w:lineRule="auto"/>
        <w:jc w:val="center"/>
        <w:rPr>
          <w:rFonts w:ascii="宋体" w:hAnsi="宋体" w:cs="宋体"/>
          <w:sz w:val="24"/>
        </w:rPr>
      </w:pPr>
      <w:r>
        <w:rPr>
          <w:rFonts w:ascii="宋体" w:hAnsi="宋体" w:cs="宋体" w:hint="eastAsia"/>
          <w:sz w:val="24"/>
        </w:rPr>
        <w:t>关键信息</w:t>
      </w:r>
    </w:p>
    <w:p>
      <w:pPr>
        <w:spacing w:line="360" w:lineRule="auto"/>
        <w:rPr>
          <w:rFonts w:ascii="宋体" w:hAnsi="宋体" w:cs="宋体"/>
          <w:szCs w:val="21"/>
        </w:rPr>
      </w:pPr>
      <w:r>
        <w:rPr>
          <w:rFonts w:ascii="宋体" w:hAnsi="宋体" w:cs="宋体" w:hint="eastAsia"/>
          <w:szCs w:val="21"/>
        </w:rPr>
        <w:t>第一章  招标公告</w:t>
      </w:r>
    </w:p>
    <w:p>
      <w:pPr>
        <w:spacing w:line="360" w:lineRule="auto"/>
        <w:rPr>
          <w:rFonts w:ascii="宋体" w:hAnsi="宋体" w:cs="宋体"/>
          <w:szCs w:val="21"/>
        </w:rPr>
      </w:pPr>
      <w:r>
        <w:rPr>
          <w:rFonts w:ascii="宋体" w:hAnsi="宋体" w:cs="宋体" w:hint="eastAsia"/>
          <w:szCs w:val="21"/>
        </w:rPr>
        <w:t xml:space="preserve">第二章  </w:t>
      </w:r>
      <w:bookmarkStart w:id="7" w:name="_Hlk71994379"/>
      <w:r>
        <w:rPr>
          <w:rFonts w:ascii="宋体" w:hAnsi="宋体" w:cs="宋体" w:hint="eastAsia"/>
          <w:szCs w:val="21"/>
        </w:rPr>
        <w:t>对通用条款的补充内容及其他关键信息</w:t>
      </w:r>
      <w:bookmarkEnd w:id="7"/>
    </w:p>
    <w:p>
      <w:pPr>
        <w:spacing w:line="360" w:lineRule="auto"/>
        <w:rPr>
          <w:rFonts w:ascii="宋体" w:hAnsi="宋体" w:cs="宋体"/>
          <w:szCs w:val="21"/>
        </w:rPr>
      </w:pPr>
      <w:r>
        <w:rPr>
          <w:rFonts w:ascii="宋体" w:hAnsi="宋体" w:cs="宋体" w:hint="eastAsia"/>
          <w:szCs w:val="21"/>
        </w:rPr>
        <w:t>第三章  用户需求书</w:t>
      </w:r>
    </w:p>
    <w:p>
      <w:pPr>
        <w:spacing w:line="360" w:lineRule="auto"/>
        <w:rPr>
          <w:rFonts w:ascii="宋体" w:hAnsi="宋体" w:cs="宋体"/>
          <w:szCs w:val="21"/>
        </w:rPr>
      </w:pPr>
      <w:r>
        <w:rPr>
          <w:rFonts w:ascii="宋体" w:hAnsi="宋体" w:cs="宋体" w:hint="eastAsia"/>
          <w:szCs w:val="21"/>
        </w:rPr>
        <w:t>第四章  投标文件组成要求及格式</w:t>
      </w:r>
    </w:p>
    <w:p>
      <w:pPr>
        <w:spacing w:line="360" w:lineRule="auto"/>
        <w:rPr>
          <w:rFonts w:ascii="宋体" w:hAnsi="宋体" w:cs="宋体"/>
          <w:szCs w:val="21"/>
        </w:rPr>
      </w:pPr>
      <w:r>
        <w:rPr>
          <w:rFonts w:ascii="宋体" w:hAnsi="宋体" w:cs="宋体" w:hint="eastAsia"/>
          <w:szCs w:val="21"/>
        </w:rPr>
        <w:t>第五章  合同条款及格式</w:t>
      </w:r>
    </w:p>
    <w:p>
      <w:pPr>
        <w:spacing w:line="360" w:lineRule="auto"/>
        <w:rPr>
          <w:rFonts w:ascii="宋体" w:hAnsi="宋体" w:cs="宋体"/>
          <w:b/>
          <w:sz w:val="24"/>
        </w:rPr>
      </w:pPr>
    </w:p>
    <w:p>
      <w:pPr>
        <w:spacing w:line="360" w:lineRule="auto"/>
        <w:outlineLvl w:val="0"/>
        <w:rPr>
          <w:rFonts w:ascii="宋体" w:hAnsi="宋体" w:cs="宋体"/>
          <w:b/>
          <w:sz w:val="24"/>
        </w:rPr>
      </w:pPr>
      <w:r>
        <w:rPr>
          <w:rFonts w:ascii="宋体" w:hAnsi="宋体" w:cs="宋体" w:hint="eastAsia"/>
          <w:b/>
          <w:sz w:val="24"/>
        </w:rPr>
        <w:t>第二册  通用条款</w:t>
      </w:r>
    </w:p>
    <w:p>
      <w:pPr>
        <w:spacing w:line="360" w:lineRule="auto"/>
        <w:rPr>
          <w:rFonts w:ascii="宋体" w:hAnsi="宋体" w:cs="宋体"/>
          <w:szCs w:val="21"/>
        </w:rPr>
      </w:pPr>
      <w:r>
        <w:rPr>
          <w:rFonts w:ascii="宋体" w:hAnsi="宋体" w:cs="宋体" w:hint="eastAsia"/>
          <w:szCs w:val="21"/>
        </w:rPr>
        <w:t>第一章  总则</w:t>
      </w:r>
    </w:p>
    <w:p>
      <w:pPr>
        <w:spacing w:line="360" w:lineRule="auto"/>
        <w:rPr>
          <w:rFonts w:ascii="宋体" w:hAnsi="宋体" w:cs="宋体"/>
          <w:szCs w:val="21"/>
        </w:rPr>
      </w:pPr>
      <w:r>
        <w:rPr>
          <w:rFonts w:ascii="宋体" w:hAnsi="宋体" w:cs="宋体" w:hint="eastAsia"/>
          <w:szCs w:val="21"/>
        </w:rPr>
        <w:t>第二章  招标文件</w:t>
      </w:r>
    </w:p>
    <w:p>
      <w:pPr>
        <w:spacing w:line="360" w:lineRule="auto"/>
        <w:rPr>
          <w:rFonts w:ascii="宋体" w:hAnsi="宋体" w:cs="宋体"/>
          <w:szCs w:val="21"/>
        </w:rPr>
      </w:pPr>
      <w:r>
        <w:rPr>
          <w:rFonts w:ascii="宋体" w:hAnsi="宋体" w:cs="宋体" w:hint="eastAsia"/>
          <w:szCs w:val="21"/>
        </w:rPr>
        <w:t>第三章  投标文件的编制</w:t>
      </w:r>
    </w:p>
    <w:p>
      <w:pPr>
        <w:spacing w:line="360" w:lineRule="auto"/>
        <w:rPr>
          <w:rFonts w:ascii="宋体" w:hAnsi="宋体" w:cs="宋体"/>
          <w:szCs w:val="21"/>
        </w:rPr>
      </w:pPr>
      <w:r>
        <w:rPr>
          <w:rFonts w:ascii="宋体" w:hAnsi="宋体" w:cs="宋体" w:hint="eastAsia"/>
          <w:szCs w:val="21"/>
        </w:rPr>
        <w:t>第四章  投标文件的递交</w:t>
      </w:r>
    </w:p>
    <w:p>
      <w:pPr>
        <w:spacing w:line="360" w:lineRule="auto"/>
        <w:rPr>
          <w:rFonts w:ascii="宋体" w:hAnsi="宋体" w:cs="宋体"/>
          <w:szCs w:val="21"/>
        </w:rPr>
      </w:pPr>
      <w:r>
        <w:rPr>
          <w:rFonts w:ascii="宋体" w:hAnsi="宋体" w:cs="宋体" w:hint="eastAsia"/>
          <w:szCs w:val="21"/>
        </w:rPr>
        <w:t>第五章  开标</w:t>
      </w:r>
    </w:p>
    <w:p>
      <w:pPr>
        <w:spacing w:line="360" w:lineRule="auto"/>
        <w:rPr>
          <w:rFonts w:ascii="宋体" w:hAnsi="宋体" w:cs="宋体"/>
          <w:szCs w:val="21"/>
        </w:rPr>
      </w:pPr>
      <w:r>
        <w:rPr>
          <w:rFonts w:ascii="宋体" w:hAnsi="宋体" w:cs="宋体" w:hint="eastAsia"/>
          <w:szCs w:val="21"/>
        </w:rPr>
        <w:t>第六章  评审要求</w:t>
      </w:r>
    </w:p>
    <w:p>
      <w:pPr>
        <w:spacing w:line="360" w:lineRule="auto"/>
        <w:rPr>
          <w:rFonts w:ascii="宋体" w:hAnsi="宋体" w:cs="宋体"/>
          <w:szCs w:val="21"/>
        </w:rPr>
      </w:pPr>
      <w:r>
        <w:rPr>
          <w:rFonts w:ascii="宋体" w:hAnsi="宋体" w:cs="宋体" w:hint="eastAsia"/>
          <w:szCs w:val="21"/>
        </w:rPr>
        <w:t>第七章  评审程序及评审方法</w:t>
      </w:r>
    </w:p>
    <w:p>
      <w:pPr>
        <w:spacing w:line="360" w:lineRule="auto"/>
        <w:rPr>
          <w:rFonts w:ascii="宋体" w:hAnsi="宋体" w:cs="宋体"/>
          <w:szCs w:val="21"/>
        </w:rPr>
      </w:pPr>
      <w:r>
        <w:rPr>
          <w:rFonts w:ascii="宋体" w:hAnsi="宋体" w:cs="宋体" w:hint="eastAsia"/>
          <w:szCs w:val="21"/>
        </w:rPr>
        <w:t>第八章  定标及公示</w:t>
      </w:r>
    </w:p>
    <w:p>
      <w:pPr>
        <w:spacing w:line="360" w:lineRule="auto"/>
        <w:rPr>
          <w:rFonts w:ascii="宋体" w:hAnsi="宋体" w:cs="宋体"/>
          <w:szCs w:val="21"/>
        </w:rPr>
      </w:pPr>
      <w:r>
        <w:rPr>
          <w:rFonts w:ascii="宋体" w:hAnsi="宋体" w:cs="宋体" w:hint="eastAsia"/>
          <w:szCs w:val="21"/>
        </w:rPr>
        <w:t>第九章  公开招标失败的后续处理</w:t>
      </w:r>
    </w:p>
    <w:p>
      <w:pPr>
        <w:spacing w:line="360" w:lineRule="auto"/>
        <w:rPr>
          <w:rFonts w:ascii="宋体" w:hAnsi="宋体" w:cs="宋体"/>
          <w:szCs w:val="21"/>
        </w:rPr>
      </w:pPr>
      <w:r>
        <w:rPr>
          <w:rFonts w:ascii="宋体" w:hAnsi="宋体" w:cs="宋体" w:hint="eastAsia"/>
          <w:szCs w:val="21"/>
        </w:rPr>
        <w:t>第十章  合同的授予与备案</w:t>
      </w:r>
    </w:p>
    <w:p>
      <w:pPr>
        <w:spacing w:line="360" w:lineRule="auto"/>
        <w:outlineLvl w:val="0"/>
        <w:rPr>
          <w:rFonts w:ascii="宋体" w:hAnsi="宋体" w:cs="宋体"/>
          <w:szCs w:val="21"/>
        </w:rPr>
      </w:pPr>
      <w:r>
        <w:rPr>
          <w:rFonts w:ascii="宋体" w:hAnsi="宋体" w:cs="宋体" w:hint="eastAsia"/>
          <w:szCs w:val="21"/>
        </w:rPr>
        <w:t>第十一章  质疑处理</w:t>
      </w:r>
    </w:p>
    <w:p>
      <w:pPr>
        <w:spacing w:line="360" w:lineRule="auto"/>
        <w:rPr>
          <w:rFonts w:ascii="宋体" w:hAnsi="宋体" w:cs="宋体"/>
        </w:rPr>
      </w:pPr>
      <w:bookmarkEnd w:id="6"/>
      <w:bookmarkStart w:id="8" w:name="bt项目管理班子配备情况"/>
      <w:bookmarkEnd w:id="8"/>
      <w:bookmarkStart w:id="9" w:name="bt投标文件签署授权委托书"/>
      <w:bookmarkEnd w:id="9"/>
      <w:bookmarkStart w:id="10" w:name="bt合同条款"/>
      <w:bookmarkEnd w:id="10"/>
      <w:bookmarkStart w:id="11" w:name="bt技术标投标文件格式"/>
      <w:bookmarkEnd w:id="11"/>
      <w:bookmarkStart w:id="12" w:name="bt说明"/>
      <w:bookmarkEnd w:id="12"/>
      <w:bookmarkStart w:id="13" w:name="bt投标人情况介绍"/>
      <w:bookmarkEnd w:id="13"/>
      <w:bookmarkStart w:id="14" w:name="bt商务标投标文件格式"/>
      <w:bookmarkEnd w:id="14"/>
      <w:bookmarkStart w:id="15" w:name="bt其他资料由投标人自定"/>
      <w:bookmarkEnd w:id="15"/>
      <w:bookmarkStart w:id="16" w:name="bt投标函"/>
      <w:bookmarkEnd w:id="16"/>
      <w:bookmarkStart w:id="17" w:name="bt投标人须知"/>
      <w:bookmarkEnd w:id="17"/>
      <w:bookmarkStart w:id="18" w:name="bt其他资料2"/>
      <w:bookmarkEnd w:id="18"/>
      <w:bookmarkStart w:id="19" w:name="bt本工程承诺书"/>
      <w:bookmarkEnd w:id="19"/>
      <w:bookmarkStart w:id="20" w:name="bt合同条款及格式"/>
      <w:bookmarkEnd w:id="20"/>
      <w:bookmarkStart w:id="21" w:name="bt合同格式"/>
      <w:bookmarkEnd w:id="21"/>
      <w:bookmarkStart w:id="22" w:name="bt投标报价汇总表"/>
      <w:bookmarkEnd w:id="22"/>
      <w:bookmarkStart w:id="23" w:name="合同格式"/>
      <w:bookmarkEnd w:id="23"/>
      <w:bookmarkStart w:id="24" w:name="bt开标一览表"/>
      <w:bookmarkEnd w:id="24"/>
      <w:r>
        <w:rPr>
          <w:rFonts w:ascii="宋体" w:hAnsi="宋体" w:cs="宋体" w:hint="eastAsia"/>
        </w:rPr>
        <w:br w:type="page"/>
      </w:r>
    </w:p>
    <w:p>
      <w:pPr>
        <w:pStyle w:val="Heading1"/>
        <w:spacing w:before="0" w:after="0"/>
        <w:rPr>
          <w:rFonts w:eastAsia="宋体" w:cs="宋体"/>
          <w:color w:val="FF0000"/>
          <w:sz w:val="24"/>
        </w:rPr>
      </w:pPr>
      <w:r>
        <w:rPr>
          <w:rFonts w:eastAsia="宋体" w:cs="宋体" w:hint="eastAsia"/>
        </w:rPr>
        <w:t>第一册  专用条款</w:t>
      </w:r>
    </w:p>
    <w:p>
      <w:pPr>
        <w:pStyle w:val="Heading2"/>
        <w:spacing w:line="360" w:lineRule="auto"/>
        <w:rPr>
          <w:rFonts w:ascii="宋体" w:hAnsi="宋体" w:cs="宋体"/>
          <w:sz w:val="28"/>
          <w:szCs w:val="28"/>
        </w:rPr>
      </w:pPr>
      <w:r>
        <w:rPr>
          <w:rFonts w:ascii="宋体" w:hAnsi="宋体" w:cs="宋体" w:hint="eastAsia"/>
          <w:sz w:val="28"/>
          <w:szCs w:val="28"/>
        </w:rPr>
        <w:t>第一章  招标公告</w:t>
      </w:r>
    </w:p>
    <w:p>
      <w:pPr>
        <w:pStyle w:val="NormalIndent"/>
        <w:spacing w:line="360" w:lineRule="auto"/>
        <w:ind w:firstLine="0"/>
        <w:jc w:val="left"/>
        <w:rPr>
          <w:rFonts w:ascii="宋体" w:hAnsi="宋体" w:cs="宋体"/>
          <w:sz w:val="24"/>
          <w:szCs w:val="24"/>
        </w:rPr>
      </w:pPr>
      <w:r>
        <w:rPr>
          <w:rFonts w:ascii="宋体" w:hAnsi="宋体" w:cs="宋体" w:hint="eastAsia"/>
          <w:sz w:val="24"/>
          <w:szCs w:val="24"/>
        </w:rPr>
        <w:t>1、投标人资格要求：</w:t>
      </w: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94"/>
        <w:gridCol w:w="8284"/>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spacing w:line="360" w:lineRule="auto"/>
              <w:jc w:val="center"/>
              <w:rPr>
                <w:rFonts w:ascii="宋体" w:hAnsi="宋体" w:cs="宋体"/>
                <w:sz w:val="28"/>
                <w:szCs w:val="28"/>
              </w:rPr>
            </w:pPr>
            <w:r>
              <w:rPr>
                <w:rFonts w:ascii="宋体" w:hAnsi="宋体" w:cs="宋体" w:hint="eastAsia"/>
                <w:kern w:val="0"/>
                <w:sz w:val="28"/>
                <w:szCs w:val="28"/>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spacing w:line="360" w:lineRule="auto"/>
              <w:jc w:val="center"/>
              <w:rPr>
                <w:rFonts w:ascii="宋体" w:hAnsi="宋体" w:cs="宋体"/>
                <w:sz w:val="28"/>
                <w:szCs w:val="28"/>
              </w:rPr>
            </w:pPr>
            <w:r>
              <w:rPr>
                <w:rFonts w:ascii="宋体" w:hAnsi="宋体" w:cs="宋体" w:hint="eastAsia"/>
                <w:kern w:val="0"/>
                <w:sz w:val="28"/>
                <w:szCs w:val="28"/>
              </w:rPr>
              <w:t>内容</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szCs w:val="21"/>
              </w:rPr>
            </w:pPr>
            <w:r>
              <w:rPr>
                <w:rFonts w:ascii="宋体" w:hAnsi="宋体" w:cs="宋体" w:hint="eastAsia"/>
                <w:kern w:val="0"/>
                <w:szCs w:val="21"/>
              </w:rPr>
              <w:t>1</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szCs w:val="21"/>
              </w:rPr>
              <w:t xml:space="preserve">投标人须是在中华人民共和国境内注册，具有独立法人资格或是具有独立承担民事责任的能力的其它组织（提供营业执照扫描件或事业单位法人证等法人证明扫描件，原件备查）；总公司或者分公司只允许一家投标，不允许同时参与本项目投标，分公司参与投标的，须提供总公司或具有独立法人的上一级公司出具的愿为其参与本项目投标的行为以及履约等行为承担民事责任的加盖总公司公章的授权函，以及提供总、分公司的营业执照扫描件，原件备查； </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2</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eastAsia="宋体" w:hAnsi="宋体" w:cs="宋体" w:hint="eastAsia"/>
                <w:kern w:val="0"/>
                <w:szCs w:val="21"/>
                <w:lang w:eastAsia="zh-CN"/>
              </w:rPr>
            </w:pPr>
            <w:r>
              <w:rPr>
                <w:rFonts w:ascii="宋体" w:hAnsi="宋体" w:cs="宋体" w:hint="eastAsia"/>
                <w:color w:val="FF0000"/>
                <w:kern w:val="0"/>
                <w:szCs w:val="21"/>
              </w:rPr>
              <w:t>本项目不接受联合体投标,部分接受投标人选用进口产品参与投标；</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3</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参与本项目投标前三年内，在经营活动中没有重大违法记录（由供应商在《政府采购投标及履约承诺函》中作出声明）；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4</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参与本项目政府采购活动时不存在被有关部门禁止参与政府采购活动且在有效期内的情况（由供应商在《政府采购投标及履约承诺函》中作出声明）；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5</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具备《中华人民共和国政府采购法》第二十二条第一款的条件（由供应商在《政府采购投标及履约承诺函》中作出声明）；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6</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kern w:val="0"/>
                <w:szCs w:val="21"/>
              </w:rPr>
              <w:t>未被列入失信被执行人、重大税收违法案件当事人名单、政府采购严重违法失信行为记录名单（由供应商在《政府采购投标及履约承诺函》中作出声明）；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7</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kern w:val="0"/>
                <w:szCs w:val="21"/>
              </w:rPr>
            </w:pPr>
            <w:r>
              <w:rPr>
                <w:rFonts w:ascii="宋体" w:hAnsi="宋体" w:cs="宋体" w:hint="eastAsia"/>
                <w:kern w:val="0"/>
                <w:szCs w:val="21"/>
              </w:rPr>
              <w:t>依据《中华人民共和国政府采购法实施条例》第十八条第一款规定，单位负责人为同一人或者存在直接控股、管理关系的不同供应商，不得参加同一合同项下的政府采购活动（由供应商在《政府采购投标及履约承诺函》中作出声明）；</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8</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szCs w:val="21"/>
              </w:rPr>
              <w:t>投标人若为生产企业：所投产品为第二、三类医疗器械的，提供涵盖所投报医疗器械的《医疗器械生产许可证》(有效期内)扫描件，原件备查。</w:t>
            </w:r>
          </w:p>
        </w:tc>
      </w:tr>
      <w:tr>
        <w:tblPrEx>
          <w:tblW w:w="9078" w:type="dxa"/>
          <w:jc w:val="center"/>
          <w:tblInd w:w="0" w:type="dxa"/>
          <w:tblLayout w:type="fixed"/>
          <w:tblCellMar>
            <w:top w:w="20" w:type="dxa"/>
            <w:left w:w="108" w:type="dxa"/>
            <w:bottom w:w="20" w:type="dxa"/>
            <w:right w:w="108" w:type="dxa"/>
          </w:tblCellMar>
        </w:tblPrEx>
        <w:trPr>
          <w:trHeight w:val="9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pPr>
              <w:spacing w:line="360" w:lineRule="auto"/>
              <w:jc w:val="center"/>
              <w:rPr>
                <w:rFonts w:ascii="宋体" w:hAnsi="宋体" w:cs="宋体"/>
                <w:kern w:val="0"/>
                <w:szCs w:val="21"/>
              </w:rPr>
            </w:pPr>
            <w:r>
              <w:rPr>
                <w:rFonts w:ascii="宋体" w:hAnsi="宋体" w:cs="宋体" w:hint="eastAsia"/>
                <w:kern w:val="0"/>
                <w:szCs w:val="21"/>
              </w:rPr>
              <w:t>9</w:t>
            </w:r>
          </w:p>
        </w:tc>
        <w:tc>
          <w:tcPr>
            <w:tcW w:w="8284" w:type="dxa"/>
            <w:tcBorders>
              <w:top w:val="single" w:sz="8" w:space="0" w:color="000000"/>
              <w:left w:val="single" w:sz="8" w:space="0" w:color="000000"/>
              <w:bottom w:val="single" w:sz="8" w:space="0" w:color="000000"/>
              <w:right w:val="single" w:sz="8" w:space="0" w:color="000000"/>
            </w:tcBorders>
            <w:shd w:val="clear" w:color="auto" w:fill="auto"/>
          </w:tcPr>
          <w:p>
            <w:pPr>
              <w:spacing w:line="360" w:lineRule="auto"/>
              <w:rPr>
                <w:rFonts w:ascii="宋体" w:hAnsi="宋体" w:cs="宋体"/>
                <w:szCs w:val="21"/>
              </w:rPr>
            </w:pPr>
            <w:r>
              <w:rPr>
                <w:rFonts w:ascii="宋体" w:hAnsi="宋体" w:cs="宋体" w:hint="eastAsia"/>
                <w:szCs w:val="21"/>
              </w:rPr>
              <w:t>投标人若为经营企业：所投产品为第二类医疗器械的，提供涵盖所投报医疗器械的《医疗器械经营备案凭证》(有效期内)扫描件，原件备查；所投产品为第三类医疗器械的，提供涵盖所投报医疗器械的《医疗器械经营许可证》(有效期内)扫描件，原件备查。</w:t>
            </w:r>
          </w:p>
        </w:tc>
      </w:tr>
    </w:tbl>
    <w:p>
      <w:pPr>
        <w:pStyle w:val="NormalIndent"/>
        <w:spacing w:line="360" w:lineRule="auto"/>
        <w:ind w:firstLine="0"/>
        <w:jc w:val="left"/>
        <w:rPr>
          <w:rFonts w:ascii="宋体" w:hAnsi="宋体" w:cs="宋体"/>
        </w:rPr>
      </w:pPr>
      <w:r>
        <w:rPr>
          <w:rFonts w:ascii="宋体" w:hAnsi="宋体" w:cs="宋体" w:hint="eastAsia"/>
          <w:sz w:val="24"/>
          <w:szCs w:val="24"/>
        </w:rPr>
        <w:t>注：（1）“信用中国”、“中国政府采购网”、“深圳信用网”以及“深</w:t>
      </w:r>
      <w:r>
        <w:rPr>
          <w:rFonts w:ascii="宋体" w:hAnsi="宋体" w:cs="宋体" w:hint="eastAsia"/>
          <w:sz w:val="24"/>
          <w:szCs w:val="24"/>
        </w:rPr>
        <w:br/>
      </w:r>
      <w:r>
        <w:rPr>
          <w:rFonts w:ascii="宋体" w:hAnsi="宋体" w:cs="宋体" w:hint="eastAsia"/>
          <w:sz w:val="24"/>
          <w:szCs w:val="24"/>
        </w:rPr>
        <w:t>圳市政府采购监管网”为供应商信用信息的查询渠道，相关信息以开标当日的</w:t>
      </w:r>
      <w:r>
        <w:rPr>
          <w:rFonts w:ascii="宋体" w:hAnsi="宋体" w:cs="宋体" w:hint="eastAsia"/>
          <w:sz w:val="24"/>
          <w:szCs w:val="24"/>
        </w:rPr>
        <w:br/>
      </w:r>
      <w:r>
        <w:rPr>
          <w:rFonts w:ascii="宋体" w:hAnsi="宋体" w:cs="宋体" w:hint="eastAsia"/>
          <w:sz w:val="24"/>
          <w:szCs w:val="24"/>
        </w:rPr>
        <w:t>查询结果为准；</w:t>
      </w:r>
      <w:r>
        <w:rPr>
          <w:rFonts w:ascii="宋体" w:hAnsi="宋体" w:cs="宋体" w:hint="eastAsia"/>
          <w:sz w:val="24"/>
          <w:szCs w:val="24"/>
        </w:rPr>
        <w:br/>
      </w:r>
      <w:r>
        <w:rPr>
          <w:rFonts w:ascii="宋体" w:hAnsi="宋体" w:cs="宋体" w:hint="eastAsia"/>
          <w:sz w:val="24"/>
          <w:szCs w:val="24"/>
        </w:rPr>
        <w:t>（2）供应商投标（上传投标文件）必须先行办理注册手续，具体请按照本</w:t>
      </w:r>
      <w:r>
        <w:rPr>
          <w:rFonts w:ascii="宋体" w:hAnsi="宋体" w:cs="宋体" w:hint="eastAsia"/>
          <w:sz w:val="24"/>
          <w:szCs w:val="24"/>
        </w:rPr>
        <w:br/>
      </w:r>
      <w:r>
        <w:rPr>
          <w:rFonts w:ascii="宋体" w:hAnsi="宋体" w:cs="宋体" w:hint="eastAsia"/>
          <w:sz w:val="24"/>
          <w:szCs w:val="24"/>
        </w:rPr>
        <w:t>公告“六、其他补充事宜”相关内容指引办理。</w:t>
      </w:r>
      <w:r>
        <w:rPr>
          <w:rFonts w:ascii="宋体" w:hAnsi="宋体" w:cs="宋体" w:hint="eastAsia"/>
          <w:sz w:val="24"/>
          <w:szCs w:val="24"/>
        </w:rPr>
        <w:br/>
      </w:r>
      <w:r>
        <w:rPr>
          <w:rFonts w:ascii="宋体" w:hAnsi="宋体" w:cs="宋体" w:hint="eastAsia"/>
          <w:sz w:val="24"/>
          <w:szCs w:val="24"/>
        </w:rPr>
        <w:t>完整公告内容详见：http://zfcg.szggzy.com:8081</w:t>
      </w:r>
    </w:p>
    <w:p>
      <w:pPr>
        <w:pStyle w:val="NormalIndent"/>
        <w:spacing w:line="360" w:lineRule="auto"/>
        <w:ind w:firstLine="0"/>
        <w:jc w:val="left"/>
        <w:rPr>
          <w:rFonts w:ascii="宋体" w:hAnsi="宋体" w:cs="宋体"/>
        </w:rPr>
      </w:pPr>
    </w:p>
    <w:p>
      <w:pPr>
        <w:pStyle w:val="NormalIndent"/>
        <w:spacing w:line="360" w:lineRule="auto"/>
        <w:ind w:firstLine="0"/>
        <w:rPr>
          <w:rFonts w:ascii="宋体" w:hAnsi="宋体" w:cs="宋体"/>
        </w:rPr>
      </w:pPr>
    </w:p>
    <w:p>
      <w:pPr>
        <w:pStyle w:val="NormalIndent"/>
        <w:spacing w:line="360" w:lineRule="auto"/>
        <w:ind w:firstLine="0"/>
        <w:rPr>
          <w:rFonts w:ascii="宋体" w:hAnsi="宋体" w:cs="宋体"/>
        </w:rPr>
      </w:pPr>
    </w:p>
    <w:p>
      <w:pPr>
        <w:pStyle w:val="NormalIndent"/>
        <w:spacing w:line="360" w:lineRule="auto"/>
        <w:ind w:firstLine="0"/>
        <w:rPr>
          <w:rFonts w:ascii="宋体" w:hAnsi="宋体" w:cs="宋体"/>
        </w:rPr>
      </w:pPr>
    </w:p>
    <w:p>
      <w:pPr>
        <w:pStyle w:val="NormalIndent"/>
        <w:spacing w:line="360" w:lineRule="auto"/>
        <w:ind w:firstLine="0"/>
        <w:rPr>
          <w:rFonts w:ascii="宋体" w:hAnsi="宋体" w:cs="宋体"/>
        </w:rPr>
      </w:pPr>
    </w:p>
    <w:p>
      <w:pPr>
        <w:pStyle w:val="NormalIndent"/>
        <w:spacing w:line="360" w:lineRule="auto"/>
        <w:ind w:firstLine="0"/>
        <w:jc w:val="right"/>
        <w:rPr>
          <w:rFonts w:ascii="宋体" w:hAnsi="宋体" w:cs="宋体"/>
          <w:szCs w:val="21"/>
        </w:rPr>
      </w:pPr>
    </w:p>
    <w:p>
      <w:pPr>
        <w:spacing w:line="360" w:lineRule="auto"/>
        <w:rPr>
          <w:rFonts w:ascii="宋体" w:hAnsi="宋体" w:cs="宋体"/>
          <w:sz w:val="24"/>
        </w:rPr>
      </w:pPr>
      <w:r>
        <w:rPr>
          <w:rFonts w:ascii="宋体" w:hAnsi="宋体" w:cs="宋体" w:hint="eastAsia"/>
          <w:sz w:val="24"/>
        </w:rPr>
        <w:br w:type="page"/>
      </w:r>
    </w:p>
    <w:p>
      <w:pPr>
        <w:pStyle w:val="Heading2"/>
        <w:spacing w:line="360" w:lineRule="auto"/>
        <w:rPr>
          <w:rFonts w:ascii="宋体" w:hAnsi="宋体" w:cs="宋体"/>
          <w:sz w:val="28"/>
          <w:szCs w:val="28"/>
        </w:rPr>
      </w:pPr>
      <w:r>
        <w:rPr>
          <w:rFonts w:ascii="宋体" w:hAnsi="宋体" w:cs="宋体" w:hint="eastAsia"/>
          <w:sz w:val="28"/>
          <w:szCs w:val="28"/>
        </w:rPr>
        <w:t xml:space="preserve">第二章 </w:t>
      </w:r>
      <w:bookmarkStart w:id="25" w:name="_Hlk71926094"/>
      <w:r>
        <w:rPr>
          <w:rFonts w:ascii="宋体" w:hAnsi="宋体" w:cs="宋体" w:hint="eastAsia"/>
          <w:sz w:val="28"/>
          <w:szCs w:val="28"/>
        </w:rPr>
        <w:t>对通用条款的补充内容及其他关键信息</w:t>
      </w:r>
      <w:bookmarkEnd w:id="25"/>
    </w:p>
    <w:p>
      <w:pPr>
        <w:pStyle w:val="Heading2"/>
        <w:spacing w:line="360" w:lineRule="auto"/>
        <w:rPr>
          <w:rFonts w:ascii="宋体" w:hAnsi="宋体" w:cs="宋体"/>
          <w:szCs w:val="24"/>
        </w:rPr>
      </w:pPr>
      <w:bookmarkStart w:id="26" w:name="_Toc73517639"/>
      <w:bookmarkStart w:id="27" w:name="_Toc101074876"/>
      <w:bookmarkStart w:id="28" w:name="_Toc73518117"/>
      <w:bookmarkStart w:id="29" w:name="_Toc60560625"/>
      <w:bookmarkStart w:id="30" w:name="_Toc73521547"/>
      <w:bookmarkStart w:id="31" w:name="_Toc60631620"/>
      <w:bookmarkStart w:id="32" w:name="_Toc100052364"/>
      <w:bookmarkStart w:id="33" w:name="_Toc73521635"/>
      <w:r>
        <w:rPr>
          <w:rFonts w:ascii="宋体" w:hAnsi="宋体" w:cs="宋体" w:hint="eastAsia"/>
          <w:szCs w:val="24"/>
        </w:rPr>
        <w:t>一、对通用条款的补充内容</w:t>
      </w:r>
    </w:p>
    <w:tbl>
      <w:tblPr>
        <w:tblStyle w:val="TableNormal"/>
        <w:tblW w:w="8367" w:type="dxa"/>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978"/>
        <w:gridCol w:w="2409"/>
        <w:gridCol w:w="4980"/>
      </w:tblGrid>
      <w:tr>
        <w:tblPrEx>
          <w:tblW w:w="8367" w:type="dxa"/>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b/>
                <w:bCs/>
              </w:rPr>
            </w:pPr>
            <w:bookmarkEnd w:id="26"/>
            <w:bookmarkEnd w:id="27"/>
            <w:bookmarkEnd w:id="28"/>
            <w:bookmarkEnd w:id="29"/>
            <w:bookmarkEnd w:id="30"/>
            <w:bookmarkEnd w:id="31"/>
            <w:bookmarkEnd w:id="32"/>
            <w:bookmarkEnd w:id="33"/>
            <w:bookmarkStart w:id="34" w:name="_Hlk72218097"/>
            <w:r>
              <w:rPr>
                <w:rFonts w:ascii="宋体" w:hAnsi="宋体" w:cs="宋体" w:hint="eastAsia"/>
                <w:b/>
                <w:bCs/>
              </w:rPr>
              <w:t>通用条款序号</w:t>
            </w:r>
          </w:p>
        </w:tc>
        <w:tc>
          <w:tcPr>
            <w:tcW w:w="2409" w:type="dxa"/>
            <w:vAlign w:val="center"/>
          </w:tcPr>
          <w:p>
            <w:pPr>
              <w:spacing w:line="360" w:lineRule="auto"/>
              <w:jc w:val="center"/>
              <w:rPr>
                <w:rFonts w:ascii="宋体" w:hAnsi="宋体" w:cs="宋体"/>
                <w:b/>
                <w:bCs/>
              </w:rPr>
            </w:pPr>
            <w:r>
              <w:rPr>
                <w:rFonts w:ascii="宋体" w:hAnsi="宋体" w:cs="宋体" w:hint="eastAsia"/>
                <w:b/>
                <w:bCs/>
              </w:rPr>
              <w:t>涉及事项</w:t>
            </w:r>
          </w:p>
        </w:tc>
        <w:tc>
          <w:tcPr>
            <w:tcW w:w="4980" w:type="dxa"/>
            <w:vAlign w:val="center"/>
          </w:tcPr>
          <w:p>
            <w:pPr>
              <w:spacing w:line="360" w:lineRule="auto"/>
              <w:jc w:val="center"/>
              <w:rPr>
                <w:rFonts w:ascii="宋体" w:hAnsi="宋体" w:cs="宋体"/>
                <w:b/>
                <w:bCs/>
              </w:rPr>
            </w:pPr>
            <w:r>
              <w:rPr>
                <w:rFonts w:ascii="宋体" w:hAnsi="宋体" w:cs="宋体" w:hint="eastAsia"/>
                <w:b/>
                <w:bCs/>
              </w:rPr>
              <w:t>具  体  补  充  内  容</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3.1</w:t>
            </w:r>
          </w:p>
        </w:tc>
        <w:tc>
          <w:tcPr>
            <w:tcW w:w="2409" w:type="dxa"/>
            <w:vAlign w:val="center"/>
          </w:tcPr>
          <w:p>
            <w:pPr>
              <w:spacing w:line="360" w:lineRule="auto"/>
              <w:jc w:val="center"/>
              <w:rPr>
                <w:rFonts w:ascii="宋体" w:hAnsi="宋体" w:cs="宋体"/>
              </w:rPr>
            </w:pPr>
            <w:r>
              <w:rPr>
                <w:rFonts w:ascii="宋体" w:hAnsi="宋体" w:cs="宋体" w:hint="eastAsia"/>
              </w:rPr>
              <w:t>采购人</w:t>
            </w:r>
          </w:p>
        </w:tc>
        <w:tc>
          <w:tcPr>
            <w:tcW w:w="4980" w:type="dxa"/>
            <w:vAlign w:val="center"/>
          </w:tcPr>
          <w:p>
            <w:pPr>
              <w:spacing w:line="360" w:lineRule="auto"/>
              <w:jc w:val="center"/>
              <w:rPr>
                <w:rFonts w:ascii="宋体" w:hAnsi="宋体" w:cs="宋体"/>
                <w:highlight w:val="yellow"/>
              </w:rPr>
            </w:pPr>
            <w:r>
              <w:rPr>
                <w:rFonts w:ascii="宋体" w:hAnsi="宋体" w:cs="宋体" w:hint="eastAsia"/>
              </w:rPr>
              <w:t xml:space="preserve"> 深圳市龙华区卫生健康局</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3.2</w:t>
            </w:r>
          </w:p>
        </w:tc>
        <w:tc>
          <w:tcPr>
            <w:tcW w:w="2409" w:type="dxa"/>
            <w:vAlign w:val="center"/>
          </w:tcPr>
          <w:p>
            <w:pPr>
              <w:spacing w:line="360" w:lineRule="auto"/>
              <w:jc w:val="center"/>
              <w:rPr>
                <w:rFonts w:ascii="宋体" w:hAnsi="宋体" w:cs="宋体"/>
              </w:rPr>
            </w:pPr>
            <w:r>
              <w:rPr>
                <w:rFonts w:ascii="宋体" w:hAnsi="宋体" w:cs="宋体" w:hint="eastAsia"/>
              </w:rPr>
              <w:t>政府集中采购机构</w:t>
            </w:r>
          </w:p>
        </w:tc>
        <w:tc>
          <w:tcPr>
            <w:tcW w:w="4980" w:type="dxa"/>
            <w:vAlign w:val="center"/>
          </w:tcPr>
          <w:p>
            <w:pPr>
              <w:spacing w:line="360" w:lineRule="auto"/>
              <w:jc w:val="center"/>
              <w:rPr>
                <w:rFonts w:ascii="宋体" w:hAnsi="宋体" w:cs="宋体"/>
                <w:highlight w:val="yellow"/>
              </w:rPr>
            </w:pPr>
            <w:r>
              <w:rPr>
                <w:rFonts w:ascii="宋体" w:hAnsi="宋体" w:cs="宋体" w:hint="eastAsia"/>
              </w:rPr>
              <w:t>深圳公共资源交易中心（深圳交易集团有限公司龙华分公司）</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5.3</w:t>
            </w:r>
          </w:p>
        </w:tc>
        <w:tc>
          <w:tcPr>
            <w:tcW w:w="2409" w:type="dxa"/>
            <w:vAlign w:val="center"/>
          </w:tcPr>
          <w:p>
            <w:pPr>
              <w:spacing w:line="360" w:lineRule="auto"/>
              <w:jc w:val="center"/>
              <w:rPr>
                <w:rFonts w:ascii="宋体" w:hAnsi="宋体" w:cs="宋体"/>
              </w:rPr>
            </w:pPr>
            <w:r>
              <w:rPr>
                <w:rFonts w:ascii="宋体" w:hAnsi="宋体" w:cs="宋体" w:hint="eastAsia"/>
              </w:rPr>
              <w:t>联合体投标</w:t>
            </w:r>
          </w:p>
        </w:tc>
        <w:tc>
          <w:tcPr>
            <w:tcW w:w="4980" w:type="dxa"/>
            <w:vAlign w:val="center"/>
          </w:tcPr>
          <w:p>
            <w:pPr>
              <w:spacing w:line="360" w:lineRule="auto"/>
              <w:jc w:val="center"/>
              <w:rPr>
                <w:rFonts w:ascii="宋体" w:hAnsi="宋体" w:cs="宋体"/>
              </w:rPr>
            </w:pPr>
            <w:r>
              <w:rPr>
                <w:rFonts w:ascii="宋体" w:hAnsi="宋体" w:cs="宋体" w:hint="eastAsia"/>
              </w:rPr>
              <w:t>不接受</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9</w:t>
            </w:r>
          </w:p>
        </w:tc>
        <w:tc>
          <w:tcPr>
            <w:tcW w:w="2409" w:type="dxa"/>
            <w:vAlign w:val="center"/>
          </w:tcPr>
          <w:p>
            <w:pPr>
              <w:spacing w:line="360" w:lineRule="auto"/>
              <w:jc w:val="center"/>
              <w:rPr>
                <w:rFonts w:ascii="宋体" w:hAnsi="宋体" w:cs="宋体"/>
              </w:rPr>
            </w:pPr>
            <w:r>
              <w:rPr>
                <w:rFonts w:ascii="宋体" w:hAnsi="宋体" w:cs="宋体" w:hint="eastAsia"/>
              </w:rPr>
              <w:t>踏勘现场</w:t>
            </w:r>
          </w:p>
        </w:tc>
        <w:tc>
          <w:tcPr>
            <w:tcW w:w="4980" w:type="dxa"/>
            <w:vAlign w:val="center"/>
          </w:tcPr>
          <w:p>
            <w:pPr>
              <w:spacing w:line="360" w:lineRule="auto"/>
              <w:jc w:val="center"/>
              <w:rPr>
                <w:rFonts w:ascii="宋体" w:hAnsi="宋体" w:cs="宋体"/>
              </w:rPr>
            </w:pPr>
            <w:r>
              <w:rPr>
                <w:rFonts w:ascii="宋体" w:hAnsi="宋体" w:cs="宋体" w:hint="eastAsia"/>
              </w:rPr>
              <w:t>不组织</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10</w:t>
            </w:r>
          </w:p>
        </w:tc>
        <w:tc>
          <w:tcPr>
            <w:tcW w:w="2409" w:type="dxa"/>
            <w:vAlign w:val="center"/>
          </w:tcPr>
          <w:p>
            <w:pPr>
              <w:spacing w:line="360" w:lineRule="auto"/>
              <w:jc w:val="center"/>
              <w:rPr>
                <w:rFonts w:ascii="宋体" w:hAnsi="宋体" w:cs="宋体"/>
              </w:rPr>
            </w:pPr>
            <w:r>
              <w:rPr>
                <w:rFonts w:ascii="宋体" w:hAnsi="宋体" w:cs="宋体" w:hint="eastAsia"/>
              </w:rPr>
              <w:t>标前会议</w:t>
            </w:r>
          </w:p>
        </w:tc>
        <w:tc>
          <w:tcPr>
            <w:tcW w:w="4980" w:type="dxa"/>
            <w:vAlign w:val="center"/>
          </w:tcPr>
          <w:p>
            <w:pPr>
              <w:spacing w:line="360" w:lineRule="auto"/>
              <w:jc w:val="center"/>
              <w:rPr>
                <w:rFonts w:ascii="宋体" w:hAnsi="宋体" w:cs="宋体"/>
              </w:rPr>
            </w:pPr>
            <w:r>
              <w:rPr>
                <w:rFonts w:ascii="宋体" w:hAnsi="宋体" w:cs="宋体" w:hint="eastAsia"/>
              </w:rPr>
              <w:t>不组织</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12/13</w:t>
            </w:r>
          </w:p>
        </w:tc>
        <w:tc>
          <w:tcPr>
            <w:tcW w:w="2409" w:type="dxa"/>
            <w:vAlign w:val="center"/>
          </w:tcPr>
          <w:p>
            <w:pPr>
              <w:spacing w:line="360" w:lineRule="auto"/>
              <w:jc w:val="center"/>
              <w:rPr>
                <w:rFonts w:ascii="宋体" w:hAnsi="宋体" w:cs="宋体"/>
              </w:rPr>
            </w:pPr>
            <w:r>
              <w:rPr>
                <w:rFonts w:ascii="宋体" w:hAnsi="宋体" w:cs="宋体" w:hint="eastAsia"/>
              </w:rPr>
              <w:t>招标文件的澄清和修改</w:t>
            </w:r>
          </w:p>
        </w:tc>
        <w:tc>
          <w:tcPr>
            <w:tcW w:w="4980" w:type="dxa"/>
            <w:vAlign w:val="center"/>
          </w:tcPr>
          <w:p>
            <w:pPr>
              <w:spacing w:line="360" w:lineRule="auto"/>
              <w:rPr>
                <w:rFonts w:ascii="宋体" w:hAnsi="宋体" w:cs="宋体"/>
              </w:rPr>
            </w:pPr>
            <w:r>
              <w:rPr>
                <w:rFonts w:ascii="宋体" w:hAnsi="宋体" w:cs="宋体" w:hint="eastAsia"/>
              </w:rPr>
              <w:t>不晚于投标截止日三日前，投标人有义务在招标期间在政府集中采购机构网站浏览与本项目有关的澄清和修改信息。</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20</w:t>
            </w:r>
          </w:p>
        </w:tc>
        <w:tc>
          <w:tcPr>
            <w:tcW w:w="2409" w:type="dxa"/>
            <w:vAlign w:val="center"/>
          </w:tcPr>
          <w:p>
            <w:pPr>
              <w:spacing w:line="360" w:lineRule="auto"/>
              <w:jc w:val="center"/>
              <w:rPr>
                <w:rFonts w:ascii="宋体" w:hAnsi="宋体" w:cs="宋体"/>
              </w:rPr>
            </w:pPr>
            <w:r>
              <w:rPr>
                <w:rFonts w:ascii="宋体" w:hAnsi="宋体" w:cs="宋体" w:hint="eastAsia"/>
              </w:rPr>
              <w:t>投标有效期</w:t>
            </w:r>
          </w:p>
        </w:tc>
        <w:tc>
          <w:tcPr>
            <w:tcW w:w="4980" w:type="dxa"/>
            <w:vAlign w:val="center"/>
          </w:tcPr>
          <w:p>
            <w:pPr>
              <w:spacing w:line="360" w:lineRule="auto"/>
              <w:jc w:val="center"/>
              <w:rPr>
                <w:rFonts w:ascii="宋体" w:hAnsi="宋体" w:cs="宋体"/>
                <w:highlight w:val="yellow"/>
              </w:rPr>
            </w:pPr>
            <w:r>
              <w:rPr>
                <w:rFonts w:ascii="宋体" w:hAnsi="宋体" w:cs="宋体" w:hint="eastAsia"/>
                <w:u w:val="single"/>
              </w:rPr>
              <w:t>120日历天</w:t>
            </w:r>
            <w:r>
              <w:rPr>
                <w:rFonts w:ascii="宋体" w:hAnsi="宋体" w:cs="宋体" w:hint="eastAsia"/>
              </w:rPr>
              <w:t>（从投标截止之日算起）</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22</w:t>
            </w:r>
          </w:p>
        </w:tc>
        <w:tc>
          <w:tcPr>
            <w:tcW w:w="2409" w:type="dxa"/>
            <w:vAlign w:val="center"/>
          </w:tcPr>
          <w:p>
            <w:pPr>
              <w:spacing w:line="360" w:lineRule="auto"/>
              <w:jc w:val="center"/>
              <w:rPr>
                <w:rFonts w:ascii="宋体" w:hAnsi="宋体" w:cs="宋体"/>
              </w:rPr>
            </w:pPr>
            <w:r>
              <w:rPr>
                <w:rFonts w:ascii="宋体" w:hAnsi="宋体" w:cs="宋体" w:hint="eastAsia"/>
              </w:rPr>
              <w:t>投标人的替代方案</w:t>
            </w:r>
          </w:p>
        </w:tc>
        <w:tc>
          <w:tcPr>
            <w:tcW w:w="4980" w:type="dxa"/>
            <w:vAlign w:val="center"/>
          </w:tcPr>
          <w:p>
            <w:pPr>
              <w:spacing w:line="360" w:lineRule="auto"/>
              <w:jc w:val="center"/>
              <w:rPr>
                <w:rFonts w:ascii="宋体" w:hAnsi="宋体" w:cs="宋体"/>
              </w:rPr>
            </w:pPr>
            <w:r>
              <w:rPr>
                <w:rFonts w:ascii="宋体" w:hAnsi="宋体" w:cs="宋体" w:hint="eastAsia"/>
              </w:rPr>
              <w:t>不接受</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25</w:t>
            </w:r>
          </w:p>
        </w:tc>
        <w:tc>
          <w:tcPr>
            <w:tcW w:w="2409" w:type="dxa"/>
            <w:vAlign w:val="center"/>
          </w:tcPr>
          <w:p>
            <w:pPr>
              <w:spacing w:line="360" w:lineRule="auto"/>
              <w:jc w:val="center"/>
              <w:rPr>
                <w:rFonts w:ascii="宋体" w:hAnsi="宋体" w:cs="宋体"/>
              </w:rPr>
            </w:pPr>
            <w:r>
              <w:rPr>
                <w:rFonts w:ascii="宋体" w:hAnsi="宋体" w:cs="宋体" w:hint="eastAsia"/>
              </w:rPr>
              <w:t>投标文件的大小</w:t>
            </w:r>
          </w:p>
        </w:tc>
        <w:tc>
          <w:tcPr>
            <w:tcW w:w="4980" w:type="dxa"/>
            <w:vAlign w:val="center"/>
          </w:tcPr>
          <w:p>
            <w:pPr>
              <w:spacing w:line="360" w:lineRule="auto"/>
              <w:ind w:firstLine="960" w:firstLineChars="400"/>
              <w:rPr>
                <w:rFonts w:ascii="宋体" w:hAnsi="宋体" w:cs="宋体"/>
              </w:rPr>
            </w:pPr>
            <w:r>
              <w:rPr>
                <w:rFonts w:ascii="宋体" w:hAnsi="宋体" w:cs="宋体" w:hint="eastAsia"/>
              </w:rPr>
              <w:t>投标文件大小不得超过100MB</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26</w:t>
            </w:r>
          </w:p>
        </w:tc>
        <w:tc>
          <w:tcPr>
            <w:tcW w:w="2409" w:type="dxa"/>
            <w:vAlign w:val="center"/>
          </w:tcPr>
          <w:p>
            <w:pPr>
              <w:spacing w:line="360" w:lineRule="auto"/>
              <w:jc w:val="center"/>
              <w:rPr>
                <w:rFonts w:ascii="宋体" w:hAnsi="宋体" w:cs="宋体"/>
              </w:rPr>
            </w:pPr>
            <w:bookmarkStart w:id="35" w:name="_Hlk71664860"/>
            <w:r>
              <w:rPr>
                <w:rFonts w:ascii="宋体" w:hAnsi="宋体" w:cs="宋体" w:hint="eastAsia"/>
              </w:rPr>
              <w:t>样品、现场演示、方案讲解</w:t>
            </w:r>
            <w:bookmarkEnd w:id="35"/>
          </w:p>
        </w:tc>
        <w:tc>
          <w:tcPr>
            <w:tcW w:w="4980" w:type="dxa"/>
            <w:vAlign w:val="center"/>
          </w:tcPr>
          <w:p>
            <w:pPr>
              <w:spacing w:line="360" w:lineRule="auto"/>
              <w:jc w:val="center"/>
              <w:rPr>
                <w:rFonts w:ascii="宋体" w:hAnsi="宋体" w:cs="宋体"/>
              </w:rPr>
            </w:pPr>
            <w:r>
              <w:rPr>
                <w:rFonts w:ascii="宋体" w:hAnsi="宋体" w:cs="宋体" w:hint="eastAsia"/>
              </w:rPr>
              <w:t>无</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37</w:t>
            </w:r>
          </w:p>
        </w:tc>
        <w:tc>
          <w:tcPr>
            <w:tcW w:w="2409" w:type="dxa"/>
            <w:vAlign w:val="center"/>
          </w:tcPr>
          <w:p>
            <w:pPr>
              <w:spacing w:line="360" w:lineRule="auto"/>
              <w:jc w:val="center"/>
              <w:rPr>
                <w:rFonts w:ascii="宋体" w:hAnsi="宋体" w:cs="宋体"/>
              </w:rPr>
            </w:pPr>
            <w:r>
              <w:rPr>
                <w:rFonts w:ascii="宋体" w:hAnsi="宋体" w:cs="宋体" w:hint="eastAsia"/>
              </w:rPr>
              <w:t>评审方法</w:t>
            </w:r>
          </w:p>
        </w:tc>
        <w:tc>
          <w:tcPr>
            <w:tcW w:w="4980" w:type="dxa"/>
            <w:vAlign w:val="center"/>
          </w:tcPr>
          <w:p>
            <w:pPr>
              <w:spacing w:line="360" w:lineRule="auto"/>
              <w:jc w:val="center"/>
              <w:rPr>
                <w:rFonts w:ascii="宋体" w:hAnsi="宋体" w:cs="宋体"/>
              </w:rPr>
            </w:pPr>
            <w:r>
              <w:rPr>
                <w:rFonts w:ascii="宋体" w:hAnsi="宋体" w:cs="宋体" w:hint="eastAsia"/>
              </w:rPr>
              <w:t>综合评分法</w:t>
            </w:r>
          </w:p>
        </w:tc>
      </w:tr>
      <w:tr>
        <w:tblPrEx>
          <w:tblW w:w="8367" w:type="dxa"/>
          <w:jc w:val="center"/>
          <w:tblInd w:w="0" w:type="dxa"/>
          <w:tblLayout w:type="fixed"/>
          <w:tblCellMar>
            <w:top w:w="0" w:type="dxa"/>
            <w:left w:w="108" w:type="dxa"/>
            <w:bottom w:w="0" w:type="dxa"/>
            <w:right w:w="108" w:type="dxa"/>
          </w:tblCellMar>
        </w:tblPrEx>
        <w:trPr>
          <w:cantSplit/>
          <w:trHeight w:val="20"/>
          <w:jc w:val="center"/>
        </w:trPr>
        <w:tc>
          <w:tcPr>
            <w:tcW w:w="978" w:type="dxa"/>
            <w:vAlign w:val="center"/>
          </w:tcPr>
          <w:p>
            <w:pPr>
              <w:spacing w:line="360" w:lineRule="auto"/>
              <w:jc w:val="center"/>
              <w:rPr>
                <w:rFonts w:ascii="宋体" w:hAnsi="宋体" w:cs="宋体"/>
              </w:rPr>
            </w:pPr>
            <w:r>
              <w:rPr>
                <w:rFonts w:ascii="宋体" w:hAnsi="宋体" w:cs="宋体" w:hint="eastAsia"/>
              </w:rPr>
              <w:t>38</w:t>
            </w:r>
          </w:p>
        </w:tc>
        <w:tc>
          <w:tcPr>
            <w:tcW w:w="2409" w:type="dxa"/>
            <w:vAlign w:val="center"/>
          </w:tcPr>
          <w:p>
            <w:pPr>
              <w:spacing w:line="360" w:lineRule="auto"/>
              <w:jc w:val="center"/>
              <w:rPr>
                <w:rFonts w:ascii="宋体" w:hAnsi="宋体" w:cs="宋体"/>
              </w:rPr>
            </w:pPr>
            <w:r>
              <w:rPr>
                <w:rFonts w:ascii="宋体" w:hAnsi="宋体" w:cs="宋体" w:hint="eastAsia"/>
              </w:rPr>
              <w:t>定标方法</w:t>
            </w:r>
          </w:p>
        </w:tc>
        <w:tc>
          <w:tcPr>
            <w:tcW w:w="4980" w:type="dxa"/>
            <w:vAlign w:val="center"/>
          </w:tcPr>
          <w:p>
            <w:pPr>
              <w:spacing w:line="360" w:lineRule="auto"/>
              <w:jc w:val="center"/>
              <w:rPr>
                <w:rFonts w:ascii="宋体" w:hAnsi="宋体" w:cs="宋体"/>
              </w:rPr>
            </w:pPr>
            <w:r>
              <w:rPr>
                <w:rFonts w:ascii="宋体" w:hAnsi="宋体" w:cs="宋体" w:hint="eastAsia"/>
              </w:rPr>
              <w:t>非评定分离</w:t>
            </w:r>
          </w:p>
        </w:tc>
      </w:tr>
      <w:tr>
        <w:tblPrEx>
          <w:tblW w:w="8367" w:type="dxa"/>
          <w:jc w:val="center"/>
          <w:tblInd w:w="0" w:type="dxa"/>
          <w:tblLayout w:type="fixed"/>
          <w:tblCellMar>
            <w:top w:w="0" w:type="dxa"/>
            <w:left w:w="108" w:type="dxa"/>
            <w:bottom w:w="0" w:type="dxa"/>
            <w:right w:w="108" w:type="dxa"/>
          </w:tblCellMar>
        </w:tblPrEx>
        <w:trPr>
          <w:cantSplit/>
          <w:trHeight w:val="1606"/>
          <w:jc w:val="center"/>
        </w:trPr>
        <w:tc>
          <w:tcPr>
            <w:tcW w:w="978" w:type="dxa"/>
            <w:vAlign w:val="center"/>
          </w:tcPr>
          <w:p>
            <w:pPr>
              <w:spacing w:line="360" w:lineRule="auto"/>
              <w:jc w:val="center"/>
              <w:rPr>
                <w:rFonts w:ascii="宋体" w:hAnsi="宋体" w:cs="宋体"/>
              </w:rPr>
            </w:pPr>
            <w:r>
              <w:rPr>
                <w:rFonts w:ascii="宋体" w:hAnsi="宋体" w:cs="宋体" w:hint="eastAsia"/>
              </w:rPr>
              <w:t>46</w:t>
            </w:r>
          </w:p>
        </w:tc>
        <w:tc>
          <w:tcPr>
            <w:tcW w:w="2409" w:type="dxa"/>
            <w:vAlign w:val="center"/>
          </w:tcPr>
          <w:p>
            <w:pPr>
              <w:spacing w:line="360" w:lineRule="auto"/>
              <w:jc w:val="center"/>
              <w:rPr>
                <w:rFonts w:ascii="宋体" w:hAnsi="宋体" w:cs="宋体"/>
              </w:rPr>
            </w:pPr>
            <w:r>
              <w:rPr>
                <w:rFonts w:ascii="宋体" w:hAnsi="宋体" w:cs="宋体" w:hint="eastAsia"/>
              </w:rPr>
              <w:t>履约担保</w:t>
            </w:r>
          </w:p>
        </w:tc>
        <w:tc>
          <w:tcPr>
            <w:tcW w:w="4980" w:type="dxa"/>
            <w:vAlign w:val="center"/>
          </w:tcPr>
          <w:p>
            <w:pPr>
              <w:spacing w:line="360" w:lineRule="auto"/>
              <w:jc w:val="center"/>
              <w:rPr>
                <w:rFonts w:ascii="宋体" w:hAnsi="宋体" w:cs="宋体"/>
              </w:rPr>
            </w:pPr>
            <w:r>
              <w:rPr>
                <w:rFonts w:ascii="宋体" w:hAnsi="宋体" w:cs="宋体" w:hint="eastAsia"/>
              </w:rPr>
              <w:t>为合同价款</w:t>
            </w:r>
            <w:r>
              <w:rPr>
                <w:rFonts w:ascii="宋体" w:hAnsi="宋体" w:cs="宋体" w:hint="eastAsia"/>
                <w:color w:val="auto"/>
              </w:rPr>
              <w:t>的5％（应当以支票、汇票、本票或保函等非现金形式提交）</w:t>
            </w:r>
          </w:p>
        </w:tc>
      </w:tr>
    </w:tbl>
    <w:p>
      <w:pPr>
        <w:spacing w:line="360" w:lineRule="auto"/>
        <w:rPr>
          <w:rFonts w:ascii="宋体" w:hAnsi="宋体" w:cs="宋体"/>
          <w:b/>
        </w:rPr>
      </w:pPr>
      <w:r>
        <w:rPr>
          <w:rFonts w:ascii="宋体" w:hAnsi="宋体" w:cs="宋体" w:hint="eastAsia"/>
          <w:szCs w:val="21"/>
        </w:rPr>
        <w:t>备注：本表是通用条款相关条款的补充和明确，如与通用条款内容相冲突的，以本表为准。</w:t>
      </w:r>
    </w:p>
    <w:p>
      <w:pPr>
        <w:adjustRightInd w:val="0"/>
        <w:spacing w:line="360" w:lineRule="auto"/>
        <w:jc w:val="center"/>
        <w:textAlignment w:val="baseline"/>
        <w:outlineLvl w:val="1"/>
        <w:rPr>
          <w:rFonts w:ascii="宋体" w:hAnsi="宋体" w:cs="宋体"/>
          <w:kern w:val="0"/>
          <w:sz w:val="24"/>
        </w:rPr>
      </w:pPr>
      <w:bookmarkEnd w:id="34"/>
      <w:bookmarkStart w:id="36" w:name="_Hlk72218117"/>
      <w:r>
        <w:rPr>
          <w:rFonts w:ascii="宋体" w:hAnsi="宋体" w:cs="宋体" w:hint="eastAsia"/>
          <w:kern w:val="0"/>
          <w:sz w:val="24"/>
        </w:rPr>
        <w:t>二、其他关键信息</w:t>
      </w:r>
    </w:p>
    <w:p>
      <w:pPr>
        <w:spacing w:line="540" w:lineRule="exact"/>
        <w:rPr>
          <w:rFonts w:ascii="宋体" w:hAnsi="宋体" w:cs="宋体"/>
          <w:b/>
        </w:rPr>
      </w:pPr>
      <w:bookmarkStart w:id="37" w:name="_Hlk72579427"/>
      <w:r>
        <w:rPr>
          <w:rFonts w:ascii="宋体" w:hAnsi="宋体" w:cs="宋体" w:hint="eastAsia"/>
          <w:b/>
          <w:bCs/>
        </w:rPr>
        <w:t>（一）</w:t>
      </w:r>
      <w:r>
        <w:rPr>
          <w:rFonts w:ascii="宋体" w:hAnsi="宋体" w:cs="宋体" w:hint="eastAsia"/>
          <w:b/>
        </w:rPr>
        <w:t>其他事项</w:t>
      </w:r>
      <w:bookmarkEnd w:id="37"/>
    </w:p>
    <w:p>
      <w:pPr>
        <w:spacing w:line="360" w:lineRule="auto"/>
        <w:rPr>
          <w:rFonts w:ascii="宋体" w:hAnsi="宋体" w:cs="宋体"/>
          <w:b/>
          <w:bCs/>
        </w:rPr>
      </w:pPr>
      <w:r>
        <w:rPr>
          <w:rFonts w:ascii="宋体" w:hAnsi="宋体" w:cs="宋体" w:hint="eastAsia"/>
          <w:b/>
          <w:bCs/>
        </w:rPr>
        <w:t>1、关于享受优惠政策的主体及价格扣除比例</w:t>
      </w:r>
    </w:p>
    <w:p>
      <w:pPr>
        <w:spacing w:line="360" w:lineRule="auto"/>
        <w:rPr>
          <w:rFonts w:ascii="宋体" w:hAnsi="宋体" w:cs="宋体"/>
        </w:rPr>
      </w:pPr>
      <w:r>
        <w:rPr>
          <w:rFonts w:ascii="宋体" w:hAnsi="宋体" w:cs="宋体" w:hint="eastAsia"/>
        </w:rPr>
        <w:t>（1）投标人提供的货物（以招标文件用户需求书“货物清单明细”的“货物名称”一栏为准）全部均由优惠主体制造，则对其投标总价给予</w:t>
      </w:r>
      <w:r>
        <w:rPr>
          <w:rFonts w:ascii="宋体" w:hAnsi="宋体" w:cs="宋体" w:hint="eastAsia"/>
          <w:color w:val="FF0000"/>
        </w:rPr>
        <w:t>【</w:t>
      </w:r>
      <w:r>
        <w:rPr>
          <w:rFonts w:ascii="宋体" w:hAnsi="宋体" w:cs="宋体" w:hint="eastAsia"/>
          <w:color w:val="FF0000"/>
          <w:u w:val="single"/>
        </w:rPr>
        <w:t xml:space="preserve"> 10%</w:t>
      </w:r>
      <w:r>
        <w:rPr>
          <w:rFonts w:ascii="宋体" w:hAnsi="宋体" w:cs="宋体" w:hint="eastAsia"/>
          <w:color w:val="FF0000"/>
        </w:rPr>
        <w:t>】</w:t>
      </w:r>
      <w:r>
        <w:rPr>
          <w:rFonts w:ascii="宋体" w:hAnsi="宋体" w:cs="宋体" w:hint="eastAsia"/>
        </w:rPr>
        <w:t>的扣除，用扣除后的价格参与评审。满足多项优惠政策的企业，不重复享受多项价格扣除政策。</w:t>
      </w:r>
    </w:p>
    <w:p>
      <w:pPr>
        <w:spacing w:line="360" w:lineRule="auto"/>
        <w:rPr>
          <w:rFonts w:ascii="宋体" w:hAnsi="宋体" w:cs="宋体"/>
        </w:rPr>
      </w:pPr>
      <w:r>
        <w:rPr>
          <w:rFonts w:ascii="宋体" w:hAnsi="宋体" w:cs="宋体" w:hint="eastAsia"/>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b)优惠主体制造是指货物由优惠主体生产且使用该优惠主体商号或者注册商标；投标人提供的货物既有优惠主体制造货物，又有非优惠主体制造货物的，不给予价格扣除。</w:t>
      </w:r>
    </w:p>
    <w:p>
      <w:pPr>
        <w:spacing w:line="360" w:lineRule="auto"/>
        <w:rPr>
          <w:rFonts w:ascii="宋体" w:hAnsi="宋体" w:cs="宋体"/>
        </w:rPr>
      </w:pPr>
      <w:r>
        <w:rPr>
          <w:rFonts w:ascii="宋体" w:hAnsi="宋体" w:cs="宋体" w:hint="eastAsia"/>
        </w:rPr>
        <w:t>（2）根据《工业和信息化部、国家统计局、国家发展和改革委员会、财政部关于印发中小企业划型标准规定的通知》（工信部联企业〔2011〕300 号），</w:t>
      </w:r>
      <w:bookmarkStart w:id="38" w:name="_Hlk71970739"/>
      <w:r>
        <w:rPr>
          <w:rFonts w:ascii="宋体" w:hAnsi="宋体" w:cs="宋体" w:hint="eastAsia"/>
        </w:rPr>
        <w:t>本项目</w:t>
      </w:r>
      <w:bookmarkStart w:id="39" w:name="_Hlk71924718"/>
      <w:r>
        <w:rPr>
          <w:rFonts w:ascii="宋体" w:hAnsi="宋体" w:cs="宋体" w:hint="eastAsia"/>
        </w:rPr>
        <w:t>采购标的（货物）对应的中小企业划分标准所属行业</w:t>
      </w:r>
      <w:bookmarkEnd w:id="39"/>
      <w:r>
        <w:rPr>
          <w:rFonts w:ascii="宋体" w:hAnsi="宋体" w:cs="宋体" w:hint="eastAsia"/>
        </w:rPr>
        <w:t>为</w:t>
      </w:r>
      <w:r>
        <w:rPr>
          <w:rFonts w:ascii="宋体" w:hAnsi="宋体" w:cs="宋体" w:hint="eastAsia"/>
          <w:color w:val="FF0000"/>
        </w:rPr>
        <w:t>【</w:t>
      </w:r>
      <w:r>
        <w:rPr>
          <w:rFonts w:ascii="宋体" w:hAnsi="宋体" w:cs="宋体" w:hint="eastAsia"/>
          <w:color w:val="FF0000"/>
          <w:u w:val="single"/>
          <w:lang w:eastAsia="zh-CN"/>
        </w:rPr>
        <w:t>工</w:t>
      </w:r>
      <w:r>
        <w:rPr>
          <w:rFonts w:ascii="宋体" w:hAnsi="宋体" w:cs="宋体" w:hint="eastAsia"/>
          <w:color w:val="FF0000"/>
          <w:u w:val="single"/>
        </w:rPr>
        <w:t xml:space="preserve">业 </w:t>
      </w:r>
      <w:r>
        <w:rPr>
          <w:rFonts w:ascii="宋体" w:hAnsi="宋体" w:cs="宋体" w:hint="eastAsia"/>
          <w:color w:val="FF0000"/>
        </w:rPr>
        <w:t>】</w:t>
      </w:r>
      <w:r>
        <w:rPr>
          <w:rFonts w:ascii="宋体" w:hAnsi="宋体" w:cs="宋体" w:hint="eastAsia"/>
        </w:rPr>
        <w:t>。</w:t>
      </w:r>
      <w:bookmarkEnd w:id="38"/>
    </w:p>
    <w:p>
      <w:pPr>
        <w:spacing w:line="360" w:lineRule="auto"/>
        <w:rPr>
          <w:rFonts w:ascii="宋体" w:hAnsi="宋体" w:cs="宋体"/>
        </w:rPr>
      </w:pPr>
      <w:r>
        <w:rPr>
          <w:rFonts w:ascii="宋体" w:hAnsi="宋体" w:cs="宋体" w:hint="eastAsia"/>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投标文件格式、附件”中“四、投标人情况及资格证明文件”章节提供的格式）。</w:t>
      </w:r>
    </w:p>
    <w:p>
      <w:pPr>
        <w:spacing w:line="360" w:lineRule="auto"/>
        <w:rPr>
          <w:rFonts w:ascii="宋体" w:hAnsi="宋体" w:cs="宋体"/>
          <w:sz w:val="28"/>
          <w:szCs w:val="28"/>
        </w:rPr>
      </w:pPr>
      <w:r>
        <w:rPr>
          <w:rFonts w:ascii="宋体" w:hAnsi="宋体" w:cs="宋体" w:hint="eastAsia"/>
        </w:rPr>
        <w:t>（4）享受价格扣除获得政府采购合同的，小微企业不得将合同分包给大中型企业。</w:t>
      </w:r>
    </w:p>
    <w:p>
      <w:pPr>
        <w:spacing w:line="360" w:lineRule="auto"/>
        <w:rPr>
          <w:rFonts w:ascii="宋体" w:hAnsi="宋体" w:cs="宋体"/>
          <w:b/>
          <w:bCs/>
        </w:rPr>
      </w:pPr>
      <w:r>
        <w:rPr>
          <w:rFonts w:ascii="宋体" w:hAnsi="宋体" w:cs="宋体" w:hint="eastAsia"/>
          <w:b/>
          <w:bCs/>
        </w:rPr>
        <w:t>2.关于政府采购订单融资政策</w:t>
      </w:r>
    </w:p>
    <w:p>
      <w:pPr>
        <w:spacing w:line="360" w:lineRule="auto"/>
        <w:rPr>
          <w:rFonts w:ascii="宋体" w:hAnsi="宋体" w:cs="宋体"/>
        </w:rPr>
      </w:pPr>
      <w:r>
        <w:rPr>
          <w:rFonts w:ascii="宋体" w:hAnsi="宋体" w:cs="宋体" w:hint="eastAsia"/>
        </w:rPr>
        <w:t>为进一步拓宽企业融资渠道，降低企业融资成本，我市推出政府采购订单融资服务，中标（成交）供应商可以凭借中标（成交）通知书或政府采购合同向金融机构提出融资申请。订单融资具体流程可登录深圳交易集团融资服务平台（http://zfcg.szggzy.com:8081/financeplatform/），相关政策法规参阅深圳市政府采购监管网（http://zfcg.sz.gov.cn/）信息公开栏目。咨询电话：0755­88653386。</w:t>
      </w:r>
    </w:p>
    <w:p>
      <w:pPr>
        <w:rPr>
          <w:rFonts w:ascii="宋体" w:hAnsi="宋体" w:cs="宋体"/>
          <w:b/>
          <w:bCs/>
          <w:sz w:val="28"/>
          <w:szCs w:val="28"/>
        </w:rPr>
      </w:pPr>
      <w:bookmarkEnd w:id="36"/>
      <w:r>
        <w:rPr>
          <w:rFonts w:ascii="宋体" w:hAnsi="宋体" w:cs="宋体" w:hint="eastAsia"/>
          <w:b/>
          <w:bCs/>
          <w:sz w:val="28"/>
          <w:szCs w:val="28"/>
        </w:rPr>
        <w:br w:type="page"/>
      </w:r>
    </w:p>
    <w:p>
      <w:pPr>
        <w:pStyle w:val="Heading2"/>
        <w:spacing w:line="360" w:lineRule="auto"/>
        <w:rPr>
          <w:rFonts w:ascii="宋体" w:hAnsi="宋体" w:cs="宋体"/>
          <w:b/>
          <w:bCs/>
          <w:sz w:val="28"/>
          <w:szCs w:val="28"/>
        </w:rPr>
      </w:pPr>
      <w:r>
        <w:rPr>
          <w:rFonts w:ascii="宋体" w:hAnsi="宋体" w:cs="宋体" w:hint="eastAsia"/>
          <w:b/>
          <w:bCs/>
          <w:sz w:val="28"/>
          <w:szCs w:val="28"/>
        </w:rPr>
        <w:t>第三章 用户需求书</w:t>
      </w:r>
    </w:p>
    <w:p>
      <w:pPr>
        <w:pStyle w:val="Heading2"/>
        <w:spacing w:line="360" w:lineRule="auto"/>
        <w:jc w:val="left"/>
        <w:rPr>
          <w:rFonts w:ascii="宋体" w:hAnsi="宋体" w:cs="宋体"/>
          <w:b/>
          <w:bCs/>
          <w:sz w:val="28"/>
          <w:szCs w:val="28"/>
        </w:rPr>
      </w:pPr>
      <w:r>
        <w:rPr>
          <w:rFonts w:ascii="宋体" w:hAnsi="宋体" w:cs="宋体" w:hint="eastAsia"/>
          <w:b/>
          <w:bCs/>
          <w:sz w:val="28"/>
          <w:szCs w:val="28"/>
        </w:rPr>
        <w:t>一、项目基本信息</w:t>
      </w:r>
    </w:p>
    <w:tbl>
      <w:tblPr>
        <w:tblStyle w:val="TableNormal"/>
        <w:tblW w:w="85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69"/>
        <w:gridCol w:w="1632"/>
        <w:gridCol w:w="2304"/>
        <w:gridCol w:w="2304"/>
        <w:gridCol w:w="1719"/>
      </w:tblGrid>
      <w:tr>
        <w:tblPrEx>
          <w:tblW w:w="85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4"/>
          <w:jc w:val="center"/>
        </w:trPr>
        <w:tc>
          <w:tcPr>
            <w:tcW w:w="569" w:type="dxa"/>
            <w:vAlign w:val="center"/>
          </w:tcPr>
          <w:p>
            <w:pPr>
              <w:spacing w:line="360" w:lineRule="auto"/>
              <w:jc w:val="center"/>
              <w:rPr>
                <w:rFonts w:ascii="宋体" w:hAnsi="宋体" w:cs="宋体"/>
                <w:b/>
                <w:szCs w:val="21"/>
              </w:rPr>
            </w:pPr>
            <w:r>
              <w:rPr>
                <w:rFonts w:ascii="宋体" w:hAnsi="宋体" w:cs="宋体" w:hint="eastAsia"/>
                <w:b/>
                <w:szCs w:val="21"/>
              </w:rPr>
              <w:t>序号</w:t>
            </w:r>
          </w:p>
        </w:tc>
        <w:tc>
          <w:tcPr>
            <w:tcW w:w="1632" w:type="dxa"/>
            <w:vAlign w:val="center"/>
          </w:tcPr>
          <w:p>
            <w:pPr>
              <w:spacing w:line="360" w:lineRule="auto"/>
              <w:jc w:val="center"/>
              <w:rPr>
                <w:rFonts w:ascii="宋体" w:hAnsi="宋体" w:cs="宋体"/>
                <w:b/>
                <w:szCs w:val="21"/>
              </w:rPr>
            </w:pPr>
            <w:r>
              <w:rPr>
                <w:rFonts w:ascii="宋体" w:hAnsi="宋体" w:cs="宋体" w:hint="eastAsia"/>
                <w:b/>
                <w:szCs w:val="21"/>
              </w:rPr>
              <w:t>采购计划编号</w:t>
            </w:r>
          </w:p>
        </w:tc>
        <w:tc>
          <w:tcPr>
            <w:tcW w:w="2304" w:type="dxa"/>
            <w:vAlign w:val="center"/>
          </w:tcPr>
          <w:p>
            <w:pPr>
              <w:spacing w:line="360" w:lineRule="auto"/>
              <w:jc w:val="center"/>
              <w:rPr>
                <w:rFonts w:ascii="宋体" w:hAnsi="宋体" w:cs="宋体"/>
                <w:b/>
                <w:szCs w:val="21"/>
              </w:rPr>
            </w:pPr>
            <w:r>
              <w:rPr>
                <w:rFonts w:ascii="宋体" w:hAnsi="宋体" w:cs="宋体" w:hint="eastAsia"/>
                <w:b/>
                <w:szCs w:val="21"/>
              </w:rPr>
              <w:t>项目编号</w:t>
            </w:r>
          </w:p>
        </w:tc>
        <w:tc>
          <w:tcPr>
            <w:tcW w:w="2304" w:type="dxa"/>
            <w:vAlign w:val="center"/>
          </w:tcPr>
          <w:p>
            <w:pPr>
              <w:spacing w:line="360" w:lineRule="auto"/>
              <w:jc w:val="center"/>
              <w:rPr>
                <w:rFonts w:ascii="宋体" w:hAnsi="宋体" w:cs="宋体"/>
                <w:b/>
                <w:szCs w:val="21"/>
              </w:rPr>
            </w:pPr>
            <w:r>
              <w:rPr>
                <w:rFonts w:ascii="宋体" w:hAnsi="宋体" w:cs="宋体" w:hint="eastAsia"/>
                <w:b/>
                <w:szCs w:val="21"/>
              </w:rPr>
              <w:t>采购项目名称</w:t>
            </w:r>
          </w:p>
        </w:tc>
        <w:tc>
          <w:tcPr>
            <w:tcW w:w="1719" w:type="dxa"/>
            <w:vAlign w:val="center"/>
          </w:tcPr>
          <w:p>
            <w:pPr>
              <w:spacing w:line="360" w:lineRule="auto"/>
              <w:jc w:val="center"/>
              <w:rPr>
                <w:rFonts w:ascii="宋体" w:hAnsi="宋体" w:cs="宋体"/>
                <w:b/>
                <w:color w:val="FF0000"/>
                <w:szCs w:val="21"/>
              </w:rPr>
            </w:pPr>
            <w:r>
              <w:rPr>
                <w:rFonts w:ascii="宋体" w:hAnsi="宋体" w:cs="宋体" w:hint="eastAsia"/>
                <w:b/>
                <w:color w:val="FF0000"/>
                <w:szCs w:val="21"/>
              </w:rPr>
              <w:t>财政预算金额（元）</w:t>
            </w:r>
          </w:p>
        </w:tc>
      </w:tr>
      <w:tr>
        <w:tblPrEx>
          <w:tblW w:w="8528" w:type="dxa"/>
          <w:jc w:val="center"/>
          <w:tblInd w:w="0" w:type="dxa"/>
          <w:tblLayout w:type="fixed"/>
          <w:tblCellMar>
            <w:top w:w="0" w:type="dxa"/>
            <w:left w:w="108" w:type="dxa"/>
            <w:bottom w:w="0" w:type="dxa"/>
            <w:right w:w="108" w:type="dxa"/>
          </w:tblCellMar>
        </w:tblPrEx>
        <w:trPr>
          <w:trHeight w:val="290"/>
          <w:jc w:val="center"/>
        </w:trPr>
        <w:tc>
          <w:tcPr>
            <w:tcW w:w="569" w:type="dxa"/>
            <w:vAlign w:val="center"/>
          </w:tcPr>
          <w:p>
            <w:pPr>
              <w:spacing w:line="360" w:lineRule="auto"/>
              <w:jc w:val="center"/>
              <w:rPr>
                <w:rFonts w:ascii="宋体" w:hAnsi="宋体" w:cs="宋体"/>
                <w:b/>
                <w:bCs w:val="0"/>
                <w:color w:val="FF0000"/>
                <w:szCs w:val="21"/>
              </w:rPr>
            </w:pPr>
            <w:r>
              <w:rPr>
                <w:rFonts w:ascii="宋体" w:hAnsi="宋体" w:cs="宋体" w:hint="eastAsia"/>
                <w:b/>
                <w:bCs w:val="0"/>
                <w:color w:val="FF0000"/>
                <w:szCs w:val="21"/>
              </w:rPr>
              <w:t>1</w:t>
            </w:r>
          </w:p>
        </w:tc>
        <w:tc>
          <w:tcPr>
            <w:tcW w:w="1632" w:type="dxa"/>
            <w:vAlign w:val="center"/>
          </w:tcPr>
          <w:p>
            <w:pPr>
              <w:spacing w:line="360" w:lineRule="auto"/>
              <w:jc w:val="center"/>
              <w:rPr>
                <w:rFonts w:ascii="宋体" w:hAnsi="宋体" w:cs="宋体"/>
                <w:b/>
                <w:bCs w:val="0"/>
                <w:color w:val="FF0000"/>
                <w:szCs w:val="21"/>
              </w:rPr>
            </w:pPr>
            <w:r>
              <w:rPr>
                <w:rFonts w:ascii="宋体" w:hAnsi="宋体" w:cs="宋体" w:hint="eastAsia"/>
                <w:b/>
                <w:bCs w:val="0"/>
                <w:color w:val="FF0000"/>
                <w:szCs w:val="21"/>
              </w:rPr>
              <w:t xml:space="preserve"> PLAN-2022-440309000-108001-05076 </w:t>
            </w:r>
          </w:p>
        </w:tc>
        <w:tc>
          <w:tcPr>
            <w:tcW w:w="2304" w:type="dxa"/>
            <w:vAlign w:val="center"/>
          </w:tcPr>
          <w:p>
            <w:pPr>
              <w:spacing w:line="360" w:lineRule="auto"/>
              <w:jc w:val="center"/>
              <w:rPr>
                <w:rFonts w:ascii="宋体" w:hAnsi="宋体" w:cs="宋体"/>
                <w:b/>
                <w:bCs/>
                <w:color w:val="FF0000"/>
                <w:szCs w:val="21"/>
              </w:rPr>
            </w:pPr>
            <w:r>
              <w:rPr>
                <w:rFonts w:ascii="宋体" w:hAnsi="宋体" w:cs="宋体" w:hint="default"/>
                <w:b/>
                <w:bCs/>
                <w:color w:val="FF0000"/>
                <w:szCs w:val="21"/>
                <w:lang w:val="en-US" w:eastAsia="zh-CN"/>
              </w:rPr>
              <w:t>LHACG2022000314</w:t>
            </w:r>
          </w:p>
        </w:tc>
        <w:tc>
          <w:tcPr>
            <w:tcW w:w="2304" w:type="dxa"/>
            <w:vAlign w:val="center"/>
          </w:tcPr>
          <w:p>
            <w:pPr>
              <w:spacing w:line="360" w:lineRule="auto"/>
              <w:jc w:val="center"/>
              <w:rPr>
                <w:rFonts w:ascii="宋体" w:hAnsi="宋体" w:cs="宋体"/>
                <w:b/>
                <w:bCs/>
                <w:color w:val="FF0000"/>
                <w:szCs w:val="21"/>
              </w:rPr>
            </w:pPr>
            <w:r>
              <w:rPr>
                <w:rFonts w:ascii="宋体" w:hAnsi="宋体" w:cs="宋体" w:hint="eastAsia"/>
                <w:b/>
                <w:bCs/>
                <w:color w:val="FF0000"/>
                <w:szCs w:val="21"/>
              </w:rPr>
              <w:t>深圳市龙华区卫生健康局龙华区平安医院电子支气管镜等设备采购项目(重新采购第1次)</w:t>
            </w:r>
          </w:p>
        </w:tc>
        <w:tc>
          <w:tcPr>
            <w:tcW w:w="1719" w:type="dxa"/>
            <w:vAlign w:val="center"/>
          </w:tcPr>
          <w:p>
            <w:pPr>
              <w:spacing w:line="360" w:lineRule="auto"/>
              <w:jc w:val="center"/>
              <w:rPr>
                <w:rFonts w:ascii="宋体" w:hAnsi="宋体" w:cs="宋体"/>
                <w:b/>
                <w:color w:val="FF0000"/>
                <w:szCs w:val="21"/>
              </w:rPr>
            </w:pPr>
            <w:r>
              <w:rPr>
                <w:rFonts w:ascii="宋体" w:hAnsi="宋体" w:cs="宋体"/>
                <w:b/>
                <w:color w:val="FF0000"/>
                <w:szCs w:val="21"/>
              </w:rPr>
              <w:t xml:space="preserve"> </w:t>
            </w:r>
            <w:r>
              <w:rPr>
                <w:rFonts w:ascii="宋体" w:hAnsi="宋体" w:cs="宋体"/>
                <w:b/>
                <w:bCs w:val="0"/>
                <w:color w:val="FF0000"/>
                <w:szCs w:val="21"/>
              </w:rPr>
              <w:t>1,780,000.00</w:t>
            </w:r>
            <w:r>
              <w:rPr>
                <w:rFonts w:ascii="宋体" w:hAnsi="宋体" w:cs="宋体" w:hint="eastAsia"/>
                <w:bCs/>
                <w:color w:val="FF0000"/>
                <w:szCs w:val="21"/>
              </w:rPr>
              <w:t xml:space="preserve"> </w:t>
            </w:r>
          </w:p>
        </w:tc>
      </w:tr>
    </w:tbl>
    <w:p>
      <w:pPr>
        <w:spacing w:line="360" w:lineRule="auto"/>
        <w:jc w:val="left"/>
        <w:rPr>
          <w:rFonts w:ascii="宋体" w:hAnsi="宋体" w:cs="宋体"/>
          <w:b/>
          <w:szCs w:val="21"/>
        </w:rPr>
      </w:pPr>
      <w:bookmarkStart w:id="40" w:name="_Hlk72258617"/>
      <w:r>
        <w:rPr>
          <w:rFonts w:ascii="宋体" w:hAnsi="宋体" w:cs="宋体" w:hint="eastAsia"/>
          <w:b/>
          <w:szCs w:val="21"/>
        </w:rPr>
        <w:t>备注：本项目的财政预算金额为人民币</w:t>
      </w:r>
      <w:r>
        <w:rPr>
          <w:rFonts w:ascii="宋体" w:hAnsi="宋体" w:cs="宋体" w:hint="eastAsia"/>
          <w:b/>
          <w:color w:val="FF0000"/>
          <w:szCs w:val="21"/>
        </w:rPr>
        <w:t xml:space="preserve"> </w:t>
      </w:r>
      <w:bookmarkStart w:id="41" w:name="_Hlk111800021"/>
      <w:r>
        <w:rPr>
          <w:rFonts w:ascii="宋体" w:hAnsi="宋体" w:cs="宋体" w:hint="eastAsia"/>
          <w:b/>
          <w:color w:val="FF0000"/>
          <w:szCs w:val="21"/>
        </w:rPr>
        <w:t>1,780,000.00</w:t>
      </w:r>
      <w:bookmarkEnd w:id="41"/>
      <w:r>
        <w:rPr>
          <w:rFonts w:ascii="宋体" w:hAnsi="宋体" w:cs="宋体" w:hint="eastAsia"/>
          <w:b/>
          <w:color w:val="FF0000"/>
          <w:szCs w:val="21"/>
        </w:rPr>
        <w:t>元</w:t>
      </w:r>
      <w:r>
        <w:rPr>
          <w:rFonts w:ascii="宋体" w:hAnsi="宋体" w:cs="宋体" w:hint="eastAsia"/>
          <w:b/>
          <w:szCs w:val="21"/>
        </w:rPr>
        <w:t>；</w:t>
      </w:r>
      <w:r>
        <w:rPr>
          <w:rFonts w:ascii="宋体" w:hAnsi="宋体" w:cs="宋体" w:hint="eastAsia"/>
          <w:b/>
          <w:szCs w:val="21"/>
          <w:highlight w:val="yellow"/>
        </w:rPr>
        <w:t>分项报价或投标总价高于投标最高限价的做投标无效处理。</w:t>
      </w:r>
    </w:p>
    <w:p>
      <w:pPr>
        <w:pStyle w:val="Heading2"/>
        <w:numPr>
          <w:ilvl w:val="0"/>
          <w:numId w:val="2"/>
        </w:numPr>
        <w:spacing w:line="360" w:lineRule="auto"/>
        <w:jc w:val="left"/>
        <w:rPr>
          <w:rFonts w:ascii="宋体" w:hAnsi="宋体" w:cs="宋体"/>
          <w:b/>
          <w:bCs/>
          <w:sz w:val="28"/>
          <w:szCs w:val="28"/>
        </w:rPr>
      </w:pPr>
      <w:bookmarkStart w:id="42" w:name="_Hlk72073432"/>
      <w:r>
        <w:rPr>
          <w:rFonts w:ascii="宋体" w:hAnsi="宋体" w:cs="宋体" w:hint="eastAsia"/>
          <w:b/>
          <w:bCs/>
          <w:sz w:val="28"/>
          <w:szCs w:val="28"/>
        </w:rPr>
        <w:t>货物需求明细</w:t>
      </w:r>
      <w:bookmarkEnd w:id="42"/>
    </w:p>
    <w:p>
      <w:pPr>
        <w:spacing w:line="480" w:lineRule="auto"/>
      </w:pPr>
      <w:r>
        <w:rPr>
          <w:rFonts w:hint="eastAsia"/>
          <w:b/>
          <w:bCs/>
          <w:sz w:val="24"/>
        </w:rPr>
        <w:t>2.1货物清单</w:t>
      </w:r>
    </w:p>
    <w:tbl>
      <w:tblPr>
        <w:tblStyle w:val="TableNormal"/>
        <w:tblpPr w:leftFromText="180" w:rightFromText="180" w:vertAnchor="text" w:horzAnchor="page" w:tblpX="1737" w:tblpY="425"/>
        <w:tblOverlap w:val="never"/>
        <w:tblW w:w="88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22"/>
        <w:gridCol w:w="1553"/>
        <w:gridCol w:w="1675"/>
        <w:gridCol w:w="1705"/>
        <w:gridCol w:w="440"/>
        <w:gridCol w:w="523"/>
        <w:gridCol w:w="1459"/>
        <w:gridCol w:w="933"/>
      </w:tblGrid>
      <w:tr>
        <w:tblPrEx>
          <w:tblW w:w="88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70"/>
        </w:trPr>
        <w:tc>
          <w:tcPr>
            <w:tcW w:w="522" w:type="dxa"/>
            <w:vAlign w:val="center"/>
          </w:tcPr>
          <w:p>
            <w:pPr>
              <w:spacing w:line="360" w:lineRule="auto"/>
              <w:jc w:val="center"/>
              <w:rPr>
                <w:rFonts w:ascii="宋体" w:hAnsi="宋体" w:cs="宋体"/>
                <w:b/>
                <w:szCs w:val="21"/>
              </w:rPr>
            </w:pPr>
            <w:r>
              <w:rPr>
                <w:rFonts w:ascii="宋体" w:hAnsi="宋体" w:cs="宋体" w:hint="eastAsia"/>
                <w:b/>
                <w:szCs w:val="21"/>
              </w:rPr>
              <w:t>序号</w:t>
            </w:r>
          </w:p>
        </w:tc>
        <w:tc>
          <w:tcPr>
            <w:tcW w:w="1553" w:type="dxa"/>
            <w:vAlign w:val="center"/>
          </w:tcPr>
          <w:p>
            <w:pPr>
              <w:spacing w:line="360" w:lineRule="auto"/>
              <w:jc w:val="center"/>
              <w:rPr>
                <w:rFonts w:ascii="宋体" w:hAnsi="宋体" w:cs="宋体"/>
                <w:b/>
                <w:szCs w:val="21"/>
              </w:rPr>
            </w:pPr>
            <w:r>
              <w:rPr>
                <w:rFonts w:ascii="宋体" w:hAnsi="宋体" w:cs="宋体" w:hint="eastAsia"/>
                <w:b/>
                <w:szCs w:val="21"/>
              </w:rPr>
              <w:t>采购计划编号</w:t>
            </w:r>
          </w:p>
        </w:tc>
        <w:tc>
          <w:tcPr>
            <w:tcW w:w="1675" w:type="dxa"/>
            <w:vAlign w:val="center"/>
          </w:tcPr>
          <w:p>
            <w:pPr>
              <w:spacing w:line="360" w:lineRule="auto"/>
              <w:jc w:val="center"/>
              <w:rPr>
                <w:rFonts w:ascii="宋体" w:hAnsi="宋体" w:cs="宋体"/>
                <w:b/>
                <w:szCs w:val="21"/>
              </w:rPr>
            </w:pPr>
            <w:r>
              <w:rPr>
                <w:rFonts w:ascii="宋体" w:hAnsi="宋体" w:cs="宋体" w:hint="eastAsia"/>
                <w:b/>
                <w:bCs/>
                <w:color w:val="000000"/>
                <w:kern w:val="0"/>
                <w:szCs w:val="21"/>
              </w:rPr>
              <w:t>项目编号</w:t>
            </w:r>
          </w:p>
        </w:tc>
        <w:tc>
          <w:tcPr>
            <w:tcW w:w="1705" w:type="dxa"/>
            <w:vAlign w:val="center"/>
          </w:tcPr>
          <w:p>
            <w:pPr>
              <w:spacing w:line="360" w:lineRule="auto"/>
              <w:jc w:val="center"/>
              <w:rPr>
                <w:rFonts w:ascii="宋体" w:hAnsi="宋体" w:cs="宋体"/>
                <w:b/>
                <w:szCs w:val="21"/>
              </w:rPr>
            </w:pPr>
            <w:r>
              <w:rPr>
                <w:rFonts w:ascii="宋体" w:hAnsi="宋体" w:cs="宋体" w:hint="eastAsia"/>
                <w:b/>
                <w:szCs w:val="21"/>
              </w:rPr>
              <w:t>货物名称（标的名称）</w:t>
            </w:r>
          </w:p>
        </w:tc>
        <w:tc>
          <w:tcPr>
            <w:tcW w:w="440" w:type="dxa"/>
            <w:vAlign w:val="center"/>
          </w:tcPr>
          <w:p>
            <w:pPr>
              <w:spacing w:line="360" w:lineRule="auto"/>
              <w:jc w:val="center"/>
              <w:rPr>
                <w:rFonts w:ascii="宋体" w:hAnsi="宋体" w:cs="宋体"/>
                <w:b/>
                <w:szCs w:val="21"/>
              </w:rPr>
            </w:pPr>
            <w:r>
              <w:rPr>
                <w:rFonts w:ascii="宋体" w:hAnsi="宋体" w:cs="宋体" w:hint="eastAsia"/>
                <w:b/>
                <w:szCs w:val="21"/>
              </w:rPr>
              <w:t>数量</w:t>
            </w:r>
          </w:p>
        </w:tc>
        <w:tc>
          <w:tcPr>
            <w:tcW w:w="523" w:type="dxa"/>
            <w:vAlign w:val="center"/>
          </w:tcPr>
          <w:p>
            <w:pPr>
              <w:spacing w:line="360" w:lineRule="auto"/>
              <w:jc w:val="center"/>
              <w:rPr>
                <w:rFonts w:ascii="宋体" w:hAnsi="宋体" w:cs="宋体"/>
                <w:b/>
                <w:color w:val="FF0000"/>
                <w:szCs w:val="21"/>
              </w:rPr>
            </w:pPr>
            <w:r>
              <w:rPr>
                <w:rFonts w:ascii="宋体" w:hAnsi="宋体" w:cs="宋体" w:hint="eastAsia"/>
                <w:b/>
                <w:szCs w:val="21"/>
              </w:rPr>
              <w:t>单位</w:t>
            </w:r>
          </w:p>
        </w:tc>
        <w:tc>
          <w:tcPr>
            <w:tcW w:w="1459" w:type="dxa"/>
            <w:vAlign w:val="center"/>
          </w:tcPr>
          <w:p>
            <w:pPr>
              <w:widowControl/>
              <w:spacing w:line="360" w:lineRule="auto"/>
              <w:jc w:val="center"/>
              <w:rPr>
                <w:rFonts w:ascii="宋体" w:hAnsi="宋体" w:cs="宋体"/>
                <w:b/>
                <w:color w:val="FF0000"/>
                <w:szCs w:val="21"/>
              </w:rPr>
            </w:pPr>
            <w:r>
              <w:rPr>
                <w:rFonts w:ascii="宋体" w:hAnsi="宋体" w:cs="宋体" w:hint="eastAsia"/>
                <w:b/>
                <w:color w:val="FF0000"/>
                <w:szCs w:val="21"/>
              </w:rPr>
              <w:t>投标最高限价（元）</w:t>
            </w:r>
          </w:p>
        </w:tc>
        <w:tc>
          <w:tcPr>
            <w:tcW w:w="933" w:type="dxa"/>
            <w:vAlign w:val="center"/>
          </w:tcPr>
          <w:p>
            <w:pPr>
              <w:spacing w:line="360" w:lineRule="auto"/>
              <w:jc w:val="center"/>
              <w:rPr>
                <w:rFonts w:ascii="宋体" w:hAnsi="宋体" w:cs="宋体" w:hint="eastAsia"/>
                <w:b/>
                <w:color w:val="FF0000"/>
                <w:szCs w:val="21"/>
              </w:rPr>
            </w:pPr>
            <w:r>
              <w:rPr>
                <w:rFonts w:ascii="宋体" w:hAnsi="宋体" w:cs="宋体" w:hint="eastAsia"/>
                <w:b/>
                <w:color w:val="FF0000"/>
                <w:szCs w:val="21"/>
              </w:rPr>
              <w:t>备注</w:t>
            </w:r>
          </w:p>
        </w:tc>
      </w:tr>
      <w:tr>
        <w:tblPrEx>
          <w:tblW w:w="8810" w:type="dxa"/>
          <w:tblInd w:w="0" w:type="dxa"/>
          <w:tblLayout w:type="fixed"/>
          <w:tblCellMar>
            <w:top w:w="0" w:type="dxa"/>
            <w:left w:w="108" w:type="dxa"/>
            <w:bottom w:w="0" w:type="dxa"/>
            <w:right w:w="108" w:type="dxa"/>
          </w:tblCellMar>
        </w:tblPrEx>
        <w:trPr>
          <w:trHeight w:val="717"/>
        </w:trPr>
        <w:tc>
          <w:tcPr>
            <w:tcW w:w="522" w:type="dxa"/>
            <w:vAlign w:val="center"/>
          </w:tcPr>
          <w:p>
            <w:pPr>
              <w:widowControl/>
              <w:jc w:val="center"/>
              <w:textAlignment w:val="center"/>
              <w:rPr>
                <w:rFonts w:ascii="宋体" w:hAnsi="宋体" w:cs="宋体"/>
                <w:b/>
                <w:bCs/>
                <w:szCs w:val="21"/>
              </w:rPr>
            </w:pPr>
            <w:r>
              <w:rPr>
                <w:rFonts w:ascii="宋体" w:hAnsi="宋体" w:cs="宋体" w:hint="eastAsia"/>
                <w:b/>
                <w:bCs/>
                <w:color w:val="000000"/>
                <w:kern w:val="0"/>
                <w:sz w:val="22"/>
                <w:szCs w:val="22"/>
              </w:rPr>
              <w:t>1</w:t>
            </w:r>
          </w:p>
        </w:tc>
        <w:tc>
          <w:tcPr>
            <w:tcW w:w="1553" w:type="dxa"/>
            <w:vMerge w:val="restart"/>
            <w:vAlign w:val="center"/>
          </w:tcPr>
          <w:p>
            <w:pPr>
              <w:widowControl/>
              <w:spacing w:line="360" w:lineRule="auto"/>
              <w:jc w:val="center"/>
              <w:rPr>
                <w:rFonts w:ascii="宋体" w:hAnsi="宋体" w:cs="宋体" w:hint="eastAsia"/>
              </w:rPr>
            </w:pPr>
          </w:p>
          <w:p>
            <w:pPr>
              <w:widowControl/>
              <w:spacing w:line="360" w:lineRule="auto"/>
              <w:jc w:val="center"/>
              <w:rPr>
                <w:rFonts w:ascii="宋体" w:hAnsi="宋体" w:cs="宋体" w:hint="eastAsia"/>
              </w:rPr>
            </w:pPr>
            <w:r>
              <w:rPr>
                <w:rFonts w:ascii="宋体" w:hAnsi="宋体" w:cs="宋体" w:hint="eastAsia"/>
                <w:bCs/>
                <w:color w:val="FF0000"/>
                <w:szCs w:val="21"/>
              </w:rPr>
              <w:t xml:space="preserve"> PLAN-2022-440309000-108001-05076 </w:t>
            </w:r>
          </w:p>
        </w:tc>
        <w:tc>
          <w:tcPr>
            <w:tcW w:w="1675" w:type="dxa"/>
            <w:vMerge w:val="restart"/>
            <w:vAlign w:val="center"/>
          </w:tcPr>
          <w:p>
            <w:pPr>
              <w:widowControl/>
              <w:spacing w:line="360" w:lineRule="auto"/>
              <w:jc w:val="center"/>
              <w:rPr>
                <w:rFonts w:ascii="宋体" w:hAnsi="宋体" w:cs="宋体" w:hint="eastAsia"/>
              </w:rPr>
            </w:pPr>
            <w:r>
              <w:rPr>
                <w:rFonts w:ascii="宋体" w:hAnsi="宋体" w:cs="宋体" w:hint="default"/>
                <w:b/>
                <w:bCs/>
                <w:color w:val="FF0000"/>
                <w:szCs w:val="21"/>
                <w:lang w:val="en-US" w:eastAsia="zh-CN"/>
              </w:rPr>
              <w:t>LHACG2022000314</w:t>
            </w:r>
          </w:p>
        </w:tc>
        <w:tc>
          <w:tcPr>
            <w:tcW w:w="1705" w:type="dxa"/>
            <w:vAlign w:val="center"/>
          </w:tcPr>
          <w:p>
            <w:pPr>
              <w:jc w:val="center"/>
              <w:rPr>
                <w:rFonts w:ascii="宋体" w:hAnsi="宋体" w:cs="宋体"/>
                <w:bCs/>
                <w:szCs w:val="21"/>
              </w:rPr>
            </w:pPr>
            <w:r>
              <w:rPr>
                <w:rFonts w:hint="eastAsia"/>
              </w:rPr>
              <w:t>电子支气管镜</w:t>
            </w:r>
          </w:p>
        </w:tc>
        <w:tc>
          <w:tcPr>
            <w:tcW w:w="440" w:type="dxa"/>
            <w:vAlign w:val="center"/>
          </w:tcPr>
          <w:p>
            <w:pPr>
              <w:jc w:val="center"/>
              <w:rPr>
                <w:rFonts w:ascii="宋体" w:hAnsi="宋体" w:cs="宋体"/>
                <w:bCs/>
                <w:szCs w:val="21"/>
              </w:rPr>
            </w:pPr>
            <w:r>
              <w:t>4</w:t>
            </w:r>
          </w:p>
        </w:tc>
        <w:tc>
          <w:tcPr>
            <w:tcW w:w="523" w:type="dxa"/>
            <w:vAlign w:val="center"/>
          </w:tcPr>
          <w:p>
            <w:pPr>
              <w:spacing w:line="360" w:lineRule="auto"/>
              <w:jc w:val="center"/>
              <w:rPr>
                <w:rFonts w:ascii="宋体" w:hAnsi="宋体" w:cs="宋体"/>
                <w:b/>
                <w:bCs/>
                <w:color w:val="FF0000"/>
                <w:sz w:val="24"/>
              </w:rPr>
            </w:pPr>
            <w:r>
              <w:rPr>
                <w:rFonts w:hint="eastAsia"/>
              </w:rPr>
              <w:t>条</w:t>
            </w:r>
          </w:p>
        </w:tc>
        <w:tc>
          <w:tcPr>
            <w:tcW w:w="1459" w:type="dxa"/>
            <w:vAlign w:val="top"/>
          </w:tcPr>
          <w:p>
            <w:pPr>
              <w:widowControl/>
              <w:spacing w:line="360" w:lineRule="auto"/>
              <w:jc w:val="center"/>
              <w:rPr>
                <w:rFonts w:asciiTheme="minorEastAsia" w:eastAsiaTheme="minorEastAsia" w:hAnsiTheme="minorEastAsia" w:cstheme="minorEastAsia" w:hint="eastAsia"/>
                <w:b/>
                <w:bCs/>
                <w:color w:val="FF0000"/>
                <w:szCs w:val="21"/>
              </w:rPr>
            </w:pPr>
            <w:r>
              <w:rPr>
                <w:rFonts w:ascii="宋体" w:hAnsi="宋体" w:cs="宋体" w:hint="eastAsia"/>
                <w:b/>
                <w:bCs/>
                <w:color w:val="FF0000"/>
                <w:sz w:val="24"/>
              </w:rPr>
              <w:t>1</w:t>
            </w:r>
            <w:r>
              <w:rPr>
                <w:rFonts w:ascii="宋体" w:hAnsi="宋体" w:cs="宋体"/>
                <w:b/>
                <w:bCs/>
                <w:color w:val="FF0000"/>
                <w:sz w:val="24"/>
              </w:rPr>
              <w:t>600000.00</w:t>
            </w:r>
          </w:p>
        </w:tc>
        <w:tc>
          <w:tcPr>
            <w:tcW w:w="933" w:type="dxa"/>
            <w:vAlign w:val="center"/>
          </w:tcPr>
          <w:p>
            <w:pPr>
              <w:jc w:val="center"/>
              <w:rPr>
                <w:rFonts w:ascii="宋体" w:eastAsia="宋体" w:hAnsi="宋体" w:cs="宋体" w:hint="eastAsia"/>
                <w:b/>
                <w:color w:val="FF0000"/>
                <w:szCs w:val="21"/>
                <w:lang w:eastAsia="zh-CN"/>
              </w:rPr>
            </w:pPr>
            <w:r>
              <w:rPr>
                <w:rFonts w:ascii="宋体" w:hAnsi="宋体" w:cs="宋体" w:hint="eastAsia"/>
                <w:b/>
                <w:color w:val="FF0000"/>
                <w:szCs w:val="21"/>
              </w:rPr>
              <w:t>接受进口</w:t>
            </w:r>
          </w:p>
        </w:tc>
      </w:tr>
      <w:tr>
        <w:tblPrEx>
          <w:tblW w:w="8810" w:type="dxa"/>
          <w:tblInd w:w="0" w:type="dxa"/>
          <w:tblLayout w:type="fixed"/>
          <w:tblCellMar>
            <w:top w:w="0" w:type="dxa"/>
            <w:left w:w="108" w:type="dxa"/>
            <w:bottom w:w="0" w:type="dxa"/>
            <w:right w:w="108" w:type="dxa"/>
          </w:tblCellMar>
        </w:tblPrEx>
        <w:trPr>
          <w:trHeight w:val="1017"/>
        </w:trPr>
        <w:tc>
          <w:tcPr>
            <w:tcW w:w="522" w:type="dxa"/>
            <w:vAlign w:val="center"/>
          </w:tcPr>
          <w:p>
            <w:pPr>
              <w:widowControl/>
              <w:jc w:val="center"/>
              <w:textAlignment w:val="center"/>
              <w:rPr>
                <w:rFonts w:ascii="宋体" w:hAnsi="宋体" w:cs="宋体"/>
                <w:b/>
                <w:bCs/>
                <w:szCs w:val="21"/>
              </w:rPr>
            </w:pPr>
            <w:r>
              <w:rPr>
                <w:rFonts w:ascii="宋体" w:hAnsi="宋体" w:cs="宋体" w:hint="eastAsia"/>
                <w:b/>
                <w:bCs/>
                <w:color w:val="000000"/>
                <w:kern w:val="0"/>
                <w:sz w:val="22"/>
                <w:szCs w:val="22"/>
              </w:rPr>
              <w:t>2</w:t>
            </w:r>
          </w:p>
        </w:tc>
        <w:tc>
          <w:tcPr>
            <w:tcW w:w="1553" w:type="dxa"/>
            <w:vMerge/>
            <w:vAlign w:val="center"/>
          </w:tcPr>
          <w:p>
            <w:pPr>
              <w:spacing w:line="360" w:lineRule="auto"/>
              <w:jc w:val="center"/>
              <w:rPr>
                <w:rFonts w:ascii="宋体" w:hAnsi="宋体" w:cs="宋体"/>
                <w:bCs/>
                <w:szCs w:val="21"/>
              </w:rPr>
            </w:pPr>
          </w:p>
        </w:tc>
        <w:tc>
          <w:tcPr>
            <w:tcW w:w="1675" w:type="dxa"/>
            <w:vMerge/>
            <w:vAlign w:val="center"/>
          </w:tcPr>
          <w:p>
            <w:pPr>
              <w:widowControl/>
              <w:spacing w:line="360" w:lineRule="auto"/>
              <w:jc w:val="center"/>
              <w:rPr>
                <w:rFonts w:ascii="宋体" w:hAnsi="宋体" w:cs="宋体"/>
                <w:bCs/>
                <w:szCs w:val="21"/>
              </w:rPr>
            </w:pPr>
          </w:p>
        </w:tc>
        <w:tc>
          <w:tcPr>
            <w:tcW w:w="1705" w:type="dxa"/>
            <w:vAlign w:val="center"/>
          </w:tcPr>
          <w:p>
            <w:pPr>
              <w:jc w:val="center"/>
              <w:rPr>
                <w:rFonts w:ascii="宋体" w:hAnsi="宋体" w:cs="宋体"/>
                <w:bCs/>
                <w:szCs w:val="21"/>
              </w:rPr>
            </w:pPr>
            <w:r>
              <w:rPr>
                <w:rFonts w:hint="eastAsia"/>
              </w:rPr>
              <w:t>食道镜</w:t>
            </w:r>
          </w:p>
        </w:tc>
        <w:tc>
          <w:tcPr>
            <w:tcW w:w="440" w:type="dxa"/>
            <w:vAlign w:val="center"/>
          </w:tcPr>
          <w:p>
            <w:pPr>
              <w:jc w:val="center"/>
              <w:rPr>
                <w:rFonts w:ascii="宋体" w:hAnsi="宋体" w:cs="宋体"/>
                <w:bCs/>
                <w:szCs w:val="21"/>
              </w:rPr>
            </w:pPr>
            <w:r>
              <w:rPr>
                <w:rFonts w:hint="eastAsia"/>
              </w:rPr>
              <w:t>1</w:t>
            </w:r>
          </w:p>
        </w:tc>
        <w:tc>
          <w:tcPr>
            <w:tcW w:w="523" w:type="dxa"/>
            <w:vAlign w:val="center"/>
          </w:tcPr>
          <w:p>
            <w:pPr>
              <w:spacing w:line="360" w:lineRule="auto"/>
              <w:jc w:val="center"/>
              <w:rPr>
                <w:rFonts w:ascii="宋体" w:hAnsi="宋体" w:cs="宋体"/>
                <w:b/>
                <w:bCs/>
                <w:color w:val="FF0000"/>
                <w:sz w:val="24"/>
              </w:rPr>
            </w:pPr>
            <w:r>
              <w:rPr>
                <w:rFonts w:ascii="宋体" w:hAnsi="宋体"/>
              </w:rPr>
              <w:t>套</w:t>
            </w:r>
          </w:p>
        </w:tc>
        <w:tc>
          <w:tcPr>
            <w:tcW w:w="1459" w:type="dxa"/>
            <w:vAlign w:val="top"/>
          </w:tcPr>
          <w:p>
            <w:pPr>
              <w:widowControl/>
              <w:spacing w:line="360" w:lineRule="auto"/>
              <w:jc w:val="both"/>
              <w:rPr>
                <w:rFonts w:ascii="宋体" w:hAnsi="宋体" w:cs="宋体" w:hint="eastAsia"/>
                <w:b/>
                <w:bCs/>
                <w:color w:val="FF0000"/>
                <w:sz w:val="24"/>
              </w:rPr>
            </w:pPr>
          </w:p>
          <w:p>
            <w:pPr>
              <w:widowControl/>
              <w:spacing w:line="360" w:lineRule="auto"/>
              <w:ind w:firstLine="240" w:firstLineChars="100"/>
              <w:jc w:val="both"/>
              <w:rPr>
                <w:rFonts w:asciiTheme="minorEastAsia" w:eastAsiaTheme="minorEastAsia" w:hAnsiTheme="minorEastAsia" w:cstheme="minorEastAsia" w:hint="eastAsia"/>
                <w:b/>
                <w:bCs/>
                <w:color w:val="FF0000"/>
                <w:szCs w:val="21"/>
              </w:rPr>
            </w:pPr>
            <w:r>
              <w:rPr>
                <w:rFonts w:ascii="宋体" w:hAnsi="宋体" w:cs="宋体" w:hint="eastAsia"/>
                <w:b/>
                <w:bCs/>
                <w:color w:val="FF0000"/>
                <w:sz w:val="24"/>
              </w:rPr>
              <w:t>5</w:t>
            </w:r>
            <w:r>
              <w:rPr>
                <w:rFonts w:ascii="宋体" w:hAnsi="宋体" w:cs="宋体"/>
                <w:b/>
                <w:bCs/>
                <w:color w:val="FF0000"/>
                <w:sz w:val="24"/>
              </w:rPr>
              <w:t>0000.00</w:t>
            </w:r>
          </w:p>
        </w:tc>
        <w:tc>
          <w:tcPr>
            <w:tcW w:w="933" w:type="dxa"/>
            <w:vAlign w:val="center"/>
          </w:tcPr>
          <w:p>
            <w:pPr>
              <w:jc w:val="center"/>
              <w:rPr>
                <w:rFonts w:ascii="宋体" w:hAnsi="宋体" w:cs="宋体" w:hint="eastAsia"/>
                <w:b/>
                <w:color w:val="FF0000"/>
                <w:szCs w:val="21"/>
              </w:rPr>
            </w:pPr>
            <w:r>
              <w:rPr>
                <w:rFonts w:ascii="宋体" w:hAnsi="宋体" w:cs="宋体" w:hint="eastAsia"/>
                <w:b/>
                <w:color w:val="FF0000"/>
                <w:szCs w:val="21"/>
              </w:rPr>
              <w:t>拒绝进口</w:t>
            </w:r>
          </w:p>
        </w:tc>
      </w:tr>
      <w:tr>
        <w:tblPrEx>
          <w:tblW w:w="8810" w:type="dxa"/>
          <w:tblInd w:w="0" w:type="dxa"/>
          <w:tblLayout w:type="fixed"/>
          <w:tblCellMar>
            <w:top w:w="0" w:type="dxa"/>
            <w:left w:w="108" w:type="dxa"/>
            <w:bottom w:w="0" w:type="dxa"/>
            <w:right w:w="108" w:type="dxa"/>
          </w:tblCellMar>
        </w:tblPrEx>
        <w:trPr>
          <w:trHeight w:val="1180"/>
        </w:trPr>
        <w:tc>
          <w:tcPr>
            <w:tcW w:w="522" w:type="dxa"/>
            <w:vAlign w:val="center"/>
          </w:tcPr>
          <w:p>
            <w:pPr>
              <w:widowControl/>
              <w:jc w:val="center"/>
              <w:textAlignment w:val="center"/>
              <w:rPr>
                <w:rFonts w:ascii="宋体" w:hAnsi="宋体" w:cs="宋体"/>
                <w:b/>
                <w:bCs/>
                <w:szCs w:val="21"/>
              </w:rPr>
            </w:pPr>
            <w:r>
              <w:rPr>
                <w:rFonts w:ascii="宋体" w:hAnsi="宋体" w:cs="宋体" w:hint="eastAsia"/>
                <w:b/>
                <w:bCs/>
                <w:color w:val="000000"/>
                <w:kern w:val="0"/>
                <w:sz w:val="22"/>
                <w:szCs w:val="22"/>
              </w:rPr>
              <w:t>3</w:t>
            </w:r>
          </w:p>
        </w:tc>
        <w:tc>
          <w:tcPr>
            <w:tcW w:w="1553" w:type="dxa"/>
            <w:vMerge/>
            <w:vAlign w:val="center"/>
          </w:tcPr>
          <w:p>
            <w:pPr>
              <w:spacing w:line="360" w:lineRule="auto"/>
              <w:jc w:val="center"/>
              <w:rPr>
                <w:rFonts w:ascii="宋体" w:hAnsi="宋体" w:cs="宋体"/>
                <w:bCs/>
                <w:szCs w:val="21"/>
              </w:rPr>
            </w:pPr>
          </w:p>
        </w:tc>
        <w:tc>
          <w:tcPr>
            <w:tcW w:w="1675" w:type="dxa"/>
            <w:vMerge/>
            <w:vAlign w:val="center"/>
          </w:tcPr>
          <w:p>
            <w:pPr>
              <w:widowControl/>
              <w:spacing w:line="360" w:lineRule="auto"/>
              <w:jc w:val="center"/>
              <w:rPr>
                <w:rFonts w:ascii="宋体" w:hAnsi="宋体" w:cs="宋体"/>
                <w:bCs/>
                <w:szCs w:val="21"/>
              </w:rPr>
            </w:pPr>
          </w:p>
        </w:tc>
        <w:tc>
          <w:tcPr>
            <w:tcW w:w="1705" w:type="dxa"/>
            <w:vAlign w:val="center"/>
          </w:tcPr>
          <w:p>
            <w:pPr>
              <w:jc w:val="center"/>
              <w:rPr>
                <w:rFonts w:ascii="宋体" w:hAnsi="宋体" w:cs="宋体"/>
                <w:bCs/>
                <w:szCs w:val="21"/>
              </w:rPr>
            </w:pPr>
            <w:r>
              <w:rPr>
                <w:rFonts w:hint="eastAsia"/>
              </w:rPr>
              <w:t>纤维支气管镜</w:t>
            </w:r>
          </w:p>
        </w:tc>
        <w:tc>
          <w:tcPr>
            <w:tcW w:w="440" w:type="dxa"/>
            <w:vAlign w:val="center"/>
          </w:tcPr>
          <w:p>
            <w:pPr>
              <w:jc w:val="center"/>
              <w:rPr>
                <w:rFonts w:ascii="宋体" w:hAnsi="宋体" w:cs="宋体"/>
                <w:bCs/>
                <w:szCs w:val="21"/>
              </w:rPr>
            </w:pPr>
            <w:r>
              <w:rPr>
                <w:rFonts w:hint="eastAsia"/>
              </w:rPr>
              <w:t>1</w:t>
            </w:r>
          </w:p>
        </w:tc>
        <w:tc>
          <w:tcPr>
            <w:tcW w:w="523" w:type="dxa"/>
            <w:vAlign w:val="center"/>
          </w:tcPr>
          <w:p>
            <w:pPr>
              <w:jc w:val="center"/>
              <w:rPr>
                <w:rFonts w:ascii="宋体" w:hAnsi="宋体" w:cs="宋体"/>
                <w:b/>
                <w:bCs/>
                <w:color w:val="FF0000"/>
                <w:sz w:val="24"/>
              </w:rPr>
            </w:pPr>
            <w:r>
              <w:rPr>
                <w:rFonts w:ascii="宋体" w:hAnsi="宋体" w:hint="eastAsia"/>
              </w:rPr>
              <w:t>台</w:t>
            </w:r>
          </w:p>
        </w:tc>
        <w:tc>
          <w:tcPr>
            <w:tcW w:w="1459" w:type="dxa"/>
            <w:vAlign w:val="top"/>
          </w:tcPr>
          <w:p>
            <w:pPr>
              <w:widowControl/>
              <w:spacing w:line="360" w:lineRule="auto"/>
              <w:jc w:val="center"/>
              <w:rPr>
                <w:rFonts w:ascii="宋体" w:hAnsi="宋体" w:cs="宋体" w:hint="eastAsia"/>
                <w:b/>
                <w:bCs/>
                <w:color w:val="FF0000"/>
                <w:sz w:val="24"/>
              </w:rPr>
            </w:pPr>
          </w:p>
          <w:p>
            <w:pPr>
              <w:widowControl/>
              <w:spacing w:line="360" w:lineRule="auto"/>
              <w:jc w:val="center"/>
              <w:rPr>
                <w:rFonts w:asciiTheme="minorEastAsia" w:eastAsiaTheme="minorEastAsia" w:hAnsiTheme="minorEastAsia" w:cstheme="minorEastAsia" w:hint="eastAsia"/>
                <w:b/>
                <w:bCs/>
                <w:color w:val="FF0000"/>
                <w:szCs w:val="21"/>
              </w:rPr>
            </w:pPr>
            <w:r>
              <w:rPr>
                <w:rFonts w:ascii="宋体" w:hAnsi="宋体" w:cs="宋体" w:hint="eastAsia"/>
                <w:b/>
                <w:bCs/>
                <w:color w:val="FF0000"/>
                <w:sz w:val="24"/>
              </w:rPr>
              <w:t>1</w:t>
            </w:r>
            <w:r>
              <w:rPr>
                <w:rFonts w:ascii="宋体" w:hAnsi="宋体" w:cs="宋体"/>
                <w:b/>
                <w:bCs/>
                <w:color w:val="FF0000"/>
                <w:sz w:val="24"/>
              </w:rPr>
              <w:t>30000.00</w:t>
            </w:r>
          </w:p>
        </w:tc>
        <w:tc>
          <w:tcPr>
            <w:tcW w:w="933" w:type="dxa"/>
            <w:vAlign w:val="center"/>
          </w:tcPr>
          <w:p>
            <w:pPr>
              <w:jc w:val="center"/>
              <w:rPr>
                <w:rFonts w:ascii="宋体" w:hAnsi="宋体" w:cs="宋体" w:hint="eastAsia"/>
                <w:b/>
                <w:color w:val="FF0000"/>
                <w:szCs w:val="21"/>
              </w:rPr>
            </w:pPr>
            <w:r>
              <w:rPr>
                <w:rFonts w:ascii="宋体" w:hAnsi="宋体" w:cs="宋体" w:hint="eastAsia"/>
                <w:b/>
                <w:color w:val="FF0000"/>
                <w:szCs w:val="21"/>
              </w:rPr>
              <w:t>拒绝进口</w:t>
            </w:r>
          </w:p>
        </w:tc>
      </w:tr>
    </w:tbl>
    <w:p>
      <w:pPr>
        <w:spacing w:line="480" w:lineRule="auto"/>
      </w:pPr>
    </w:p>
    <w:p>
      <w:pPr>
        <w:spacing w:line="360" w:lineRule="auto"/>
        <w:rPr>
          <w:b/>
          <w:bCs/>
          <w:sz w:val="24"/>
        </w:rPr>
      </w:pPr>
      <w:r>
        <w:rPr>
          <w:rFonts w:hint="eastAsia"/>
          <w:b/>
          <w:bCs/>
          <w:sz w:val="24"/>
        </w:rPr>
        <w:t>2.2货物详细清单</w:t>
      </w:r>
    </w:p>
    <w:tbl>
      <w:tblPr>
        <w:tblStyle w:val="TableNormal"/>
        <w:tblW w:w="85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653"/>
        <w:gridCol w:w="1610"/>
        <w:gridCol w:w="1241"/>
      </w:tblGrid>
      <w:tr>
        <w:tblPrEx>
          <w:tblW w:w="85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4"/>
          <w:jc w:val="center"/>
        </w:trPr>
        <w:tc>
          <w:tcPr>
            <w:tcW w:w="5653" w:type="dxa"/>
            <w:tcBorders>
              <w:top w:val="single" w:sz="4" w:space="0" w:color="auto"/>
              <w:left w:val="single" w:sz="4" w:space="0" w:color="auto"/>
              <w:bottom w:val="single" w:sz="4" w:space="0" w:color="auto"/>
              <w:right w:val="single" w:sz="4" w:space="0" w:color="auto"/>
            </w:tcBorders>
            <w:vAlign w:val="center"/>
          </w:tcPr>
          <w:p>
            <w:pPr>
              <w:jc w:val="center"/>
            </w:pPr>
            <w:r>
              <w:rPr>
                <w:rFonts w:ascii="宋体" w:hAnsi="宋体" w:hint="eastAsia"/>
              </w:rPr>
              <w:t>名  称</w:t>
            </w:r>
          </w:p>
        </w:tc>
        <w:tc>
          <w:tcPr>
            <w:tcW w:w="1610" w:type="dxa"/>
            <w:tcBorders>
              <w:top w:val="single" w:sz="4" w:space="0" w:color="auto"/>
              <w:left w:val="nil"/>
              <w:bottom w:val="single" w:sz="4" w:space="0" w:color="auto"/>
              <w:right w:val="single" w:sz="4" w:space="0" w:color="auto"/>
            </w:tcBorders>
            <w:vAlign w:val="center"/>
          </w:tcPr>
          <w:p>
            <w:pPr>
              <w:jc w:val="center"/>
              <w:rPr>
                <w:rFonts w:ascii="宋体" w:hAnsi="宋体"/>
              </w:rPr>
            </w:pPr>
            <w:r>
              <w:rPr>
                <w:rFonts w:ascii="宋体" w:hAnsi="宋体" w:hint="eastAsia"/>
              </w:rPr>
              <w:t>单位</w:t>
            </w:r>
          </w:p>
        </w:tc>
        <w:tc>
          <w:tcPr>
            <w:tcW w:w="1241" w:type="dxa"/>
            <w:tcBorders>
              <w:top w:val="single" w:sz="4" w:space="0" w:color="auto"/>
              <w:left w:val="nil"/>
              <w:bottom w:val="single" w:sz="4" w:space="0" w:color="auto"/>
              <w:right w:val="single" w:sz="4" w:space="0" w:color="auto"/>
            </w:tcBorders>
            <w:vAlign w:val="center"/>
          </w:tcPr>
          <w:p>
            <w:pPr>
              <w:jc w:val="center"/>
            </w:pPr>
            <w:r>
              <w:rPr>
                <w:rFonts w:ascii="宋体" w:hAnsi="宋体" w:hint="eastAsia"/>
              </w:rPr>
              <w:t>数  量</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8504" w:type="dxa"/>
            <w:gridSpan w:val="3"/>
            <w:tcBorders>
              <w:top w:val="single" w:sz="4" w:space="0" w:color="auto"/>
              <w:left w:val="single" w:sz="4" w:space="0" w:color="auto"/>
              <w:bottom w:val="single" w:sz="4" w:space="0" w:color="auto"/>
              <w:right w:val="single" w:sz="4" w:space="0" w:color="auto"/>
            </w:tcBorders>
            <w:vAlign w:val="center"/>
          </w:tcPr>
          <w:p>
            <w:pPr>
              <w:widowControl/>
              <w:ind w:firstLine="3360" w:firstLineChars="1400"/>
              <w:jc w:val="left"/>
              <w:textAlignment w:val="center"/>
              <w:rPr>
                <w:b/>
              </w:rPr>
            </w:pPr>
            <w:r>
              <w:rPr>
                <w:rFonts w:hint="eastAsia"/>
                <w:b/>
              </w:rPr>
              <w:t>一</w:t>
            </w:r>
            <w:r>
              <w:rPr>
                <w:rFonts w:eastAsia="宋体" w:hint="eastAsia"/>
                <w:b/>
                <w:lang w:eastAsia="zh-CN"/>
              </w:rPr>
              <w:t>、</w:t>
            </w:r>
            <w:r>
              <w:rPr>
                <w:rFonts w:hint="eastAsia"/>
                <w:b/>
              </w:rPr>
              <w:t>电子支气管镜</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Borders>
              <w:top w:val="single" w:sz="4" w:space="0" w:color="auto"/>
              <w:left w:val="single" w:sz="4" w:space="0" w:color="auto"/>
              <w:bottom w:val="single" w:sz="4" w:space="0" w:color="auto"/>
              <w:right w:val="single" w:sz="4" w:space="0" w:color="auto"/>
            </w:tcBorders>
            <w:vAlign w:val="center"/>
          </w:tcPr>
          <w:p>
            <w:pPr>
              <w:widowControl/>
              <w:jc w:val="left"/>
              <w:textAlignment w:val="center"/>
              <w:rPr>
                <w:color w:val="auto"/>
              </w:rPr>
            </w:pPr>
            <w:r>
              <w:rPr>
                <w:color w:val="auto"/>
              </w:rPr>
              <w:t>1</w:t>
            </w:r>
            <w:r>
              <w:rPr>
                <w:rFonts w:hint="eastAsia"/>
                <w:color w:val="auto"/>
              </w:rPr>
              <w:t>.电子支气管镜</w:t>
            </w:r>
          </w:p>
        </w:tc>
        <w:tc>
          <w:tcPr>
            <w:tcW w:w="1610" w:type="dxa"/>
            <w:tcBorders>
              <w:top w:val="single" w:sz="4" w:space="0" w:color="auto"/>
              <w:left w:val="nil"/>
              <w:bottom w:val="single" w:sz="4" w:space="0" w:color="auto"/>
              <w:right w:val="single" w:sz="4" w:space="0" w:color="auto"/>
            </w:tcBorders>
          </w:tcPr>
          <w:p>
            <w:pPr>
              <w:jc w:val="center"/>
              <w:rPr>
                <w:color w:val="auto"/>
              </w:rPr>
            </w:pPr>
            <w:r>
              <w:rPr>
                <w:rFonts w:hint="eastAsia"/>
                <w:color w:val="auto"/>
              </w:rPr>
              <w:t>条</w:t>
            </w:r>
          </w:p>
        </w:tc>
        <w:tc>
          <w:tcPr>
            <w:tcW w:w="1241" w:type="dxa"/>
            <w:tcBorders>
              <w:top w:val="single" w:sz="4" w:space="0" w:color="auto"/>
              <w:left w:val="nil"/>
              <w:bottom w:val="single" w:sz="4" w:space="0" w:color="auto"/>
              <w:right w:val="single" w:sz="4" w:space="0" w:color="auto"/>
            </w:tcBorders>
          </w:tcPr>
          <w:p>
            <w:pPr>
              <w:jc w:val="center"/>
              <w:rPr>
                <w:color w:val="auto"/>
              </w:rPr>
            </w:pPr>
            <w:r>
              <w:rPr>
                <w:rFonts w:hint="eastAsia"/>
                <w:color w:val="auto"/>
              </w:rPr>
              <w:t>4</w:t>
            </w:r>
          </w:p>
        </w:tc>
      </w:tr>
      <w:tr>
        <w:tblPrEx>
          <w:tblW w:w="8504" w:type="dxa"/>
          <w:jc w:val="center"/>
          <w:tblInd w:w="0" w:type="dxa"/>
          <w:tblLayout w:type="fixed"/>
          <w:tblCellMar>
            <w:top w:w="0" w:type="dxa"/>
            <w:left w:w="108" w:type="dxa"/>
            <w:bottom w:w="0" w:type="dxa"/>
            <w:right w:w="108" w:type="dxa"/>
          </w:tblCellMar>
        </w:tblPrEx>
        <w:trPr>
          <w:trHeight w:val="554"/>
          <w:jc w:val="center"/>
        </w:trPr>
        <w:tc>
          <w:tcPr>
            <w:tcW w:w="8504" w:type="dxa"/>
            <w:gridSpan w:val="3"/>
            <w:tcBorders>
              <w:top w:val="single" w:sz="4" w:space="0" w:color="auto"/>
              <w:left w:val="single" w:sz="4" w:space="0" w:color="auto"/>
              <w:bottom w:val="single" w:sz="4" w:space="0" w:color="auto"/>
              <w:right w:val="single" w:sz="4" w:space="0" w:color="auto"/>
            </w:tcBorders>
            <w:vAlign w:val="center"/>
          </w:tcPr>
          <w:p>
            <w:pPr>
              <w:widowControl/>
              <w:ind w:firstLine="3360" w:firstLineChars="1400"/>
              <w:jc w:val="left"/>
              <w:textAlignment w:val="center"/>
              <w:rPr>
                <w:b/>
              </w:rPr>
            </w:pPr>
            <w:r>
              <w:rPr>
                <w:rFonts w:hint="eastAsia"/>
                <w:b/>
              </w:rPr>
              <w:t>二、食道镜</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1</w:t>
            </w:r>
            <w:r>
              <w:t>.</w:t>
            </w:r>
            <w:r>
              <w:rPr>
                <w:rFonts w:hint="eastAsia"/>
              </w:rPr>
              <w:t>食道镜</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支</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2</w:t>
            </w:r>
            <w:r>
              <w:t>.</w:t>
            </w:r>
            <w:r>
              <w:rPr>
                <w:rFonts w:hint="eastAsia"/>
              </w:rPr>
              <w:t>钳子</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把</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3</w:t>
            </w:r>
            <w:r>
              <w:t>.</w:t>
            </w:r>
            <w:r>
              <w:rPr>
                <w:rFonts w:hint="eastAsia"/>
              </w:rPr>
              <w:t>吸引管</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个</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4</w:t>
            </w:r>
            <w:r>
              <w:t>.</w:t>
            </w:r>
            <w:r>
              <w:rPr>
                <w:rFonts w:hint="eastAsia"/>
              </w:rPr>
              <w:t>手柄</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个</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pPr>
            <w:r>
              <w:t>5.</w:t>
            </w:r>
            <w:r>
              <w:rPr>
                <w:rFonts w:hint="eastAsia"/>
              </w:rPr>
              <w:t>导光束</w:t>
            </w:r>
          </w:p>
        </w:tc>
        <w:tc>
          <w:tcPr>
            <w:tcW w:w="1610" w:type="dxa"/>
            <w:tcBorders>
              <w:top w:val="single" w:sz="4" w:space="0" w:color="auto"/>
              <w:left w:val="single" w:sz="4" w:space="0" w:color="auto"/>
              <w:bottom w:val="single" w:sz="4" w:space="0" w:color="auto"/>
              <w:right w:val="single" w:sz="4" w:space="0" w:color="auto"/>
            </w:tcBorders>
          </w:tcPr>
          <w:p>
            <w:pPr>
              <w:jc w:val="center"/>
            </w:pPr>
            <w:r>
              <w:rPr>
                <w:rFonts w:hint="eastAsia"/>
              </w:rPr>
              <w:t>把</w:t>
            </w:r>
          </w:p>
        </w:tc>
        <w:tc>
          <w:tcPr>
            <w:tcW w:w="1241" w:type="dxa"/>
            <w:tcBorders>
              <w:top w:val="single" w:sz="4" w:space="0" w:color="auto"/>
              <w:left w:val="single" w:sz="4" w:space="0" w:color="auto"/>
              <w:bottom w:val="single" w:sz="4" w:space="0" w:color="auto"/>
              <w:right w:val="single" w:sz="4" w:space="0" w:color="auto"/>
            </w:tcBorders>
          </w:tcPr>
          <w:p>
            <w:pPr>
              <w:jc w:val="center"/>
            </w:pPr>
            <w:r>
              <w:rPr>
                <w:rFonts w:hint="eastAsia"/>
              </w:rPr>
              <w:t>2</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8504" w:type="dxa"/>
            <w:gridSpan w:val="3"/>
            <w:vAlign w:val="center"/>
          </w:tcPr>
          <w:p>
            <w:pPr>
              <w:widowControl/>
              <w:ind w:firstLine="3120" w:firstLineChars="1300"/>
              <w:jc w:val="left"/>
              <w:textAlignment w:val="center"/>
              <w:rPr>
                <w:b/>
              </w:rPr>
            </w:pPr>
            <w:r>
              <w:rPr>
                <w:rFonts w:hint="eastAsia"/>
                <w:b/>
              </w:rPr>
              <w:t>三．纤维支气管镜</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vAlign w:val="center"/>
          </w:tcPr>
          <w:p>
            <w:pPr>
              <w:widowControl/>
              <w:jc w:val="left"/>
              <w:textAlignment w:val="center"/>
            </w:pPr>
            <w:r>
              <w:rPr>
                <w:rFonts w:hint="eastAsia"/>
              </w:rPr>
              <w:t>1</w:t>
            </w:r>
            <w:r>
              <w:t>.</w:t>
            </w:r>
            <w:r>
              <w:rPr>
                <w:rFonts w:hint="eastAsia"/>
              </w:rPr>
              <w:t xml:space="preserve"> 纤维支气管镜</w:t>
            </w:r>
          </w:p>
        </w:tc>
        <w:tc>
          <w:tcPr>
            <w:tcW w:w="1610" w:type="dxa"/>
          </w:tcPr>
          <w:p>
            <w:pPr>
              <w:jc w:val="center"/>
            </w:pPr>
            <w:r>
              <w:rPr>
                <w:rFonts w:hint="eastAsia"/>
              </w:rPr>
              <w:t>台</w:t>
            </w:r>
          </w:p>
        </w:tc>
        <w:tc>
          <w:tcPr>
            <w:tcW w:w="1241" w:type="dxa"/>
            <w:vAlign w:val="center"/>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432"/>
          <w:jc w:val="center"/>
        </w:trPr>
        <w:tc>
          <w:tcPr>
            <w:tcW w:w="5653" w:type="dxa"/>
            <w:vAlign w:val="center"/>
          </w:tcPr>
          <w:p>
            <w:pPr>
              <w:widowControl/>
              <w:jc w:val="left"/>
              <w:textAlignment w:val="center"/>
            </w:pPr>
            <w:r>
              <w:rPr>
                <w:rFonts w:hint="eastAsia"/>
              </w:rPr>
              <w:t>2</w:t>
            </w:r>
            <w:r>
              <w:t>.</w:t>
            </w:r>
            <w:r>
              <w:rPr>
                <w:rFonts w:hint="eastAsia"/>
              </w:rPr>
              <w:t>外接屏幕</w:t>
            </w:r>
          </w:p>
        </w:tc>
        <w:tc>
          <w:tcPr>
            <w:tcW w:w="1610" w:type="dxa"/>
          </w:tcPr>
          <w:p>
            <w:pPr>
              <w:jc w:val="center"/>
            </w:pPr>
            <w:r>
              <w:rPr>
                <w:rFonts w:hint="eastAsia"/>
              </w:rPr>
              <w:t>台</w:t>
            </w:r>
          </w:p>
        </w:tc>
        <w:tc>
          <w:tcPr>
            <w:tcW w:w="1241" w:type="dxa"/>
            <w:vAlign w:val="center"/>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vAlign w:val="center"/>
          </w:tcPr>
          <w:p>
            <w:pPr>
              <w:widowControl/>
              <w:jc w:val="left"/>
              <w:textAlignment w:val="center"/>
            </w:pPr>
            <w:r>
              <w:rPr>
                <w:rFonts w:hint="eastAsia"/>
              </w:rPr>
              <w:t>3</w:t>
            </w:r>
            <w:r>
              <w:t>.</w:t>
            </w:r>
            <w:r>
              <w:rPr>
                <w:rFonts w:hint="eastAsia"/>
              </w:rPr>
              <w:t>消毒帽</w:t>
            </w:r>
          </w:p>
        </w:tc>
        <w:tc>
          <w:tcPr>
            <w:tcW w:w="1610" w:type="dxa"/>
          </w:tcPr>
          <w:p>
            <w:pPr>
              <w:jc w:val="center"/>
            </w:pPr>
            <w:r>
              <w:rPr>
                <w:rFonts w:hint="eastAsia"/>
              </w:rPr>
              <w:t>个</w:t>
            </w:r>
          </w:p>
        </w:tc>
        <w:tc>
          <w:tcPr>
            <w:tcW w:w="1241" w:type="dxa"/>
            <w:vAlign w:val="center"/>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Pr>
          <w:p>
            <w:pPr>
              <w:widowControl/>
              <w:jc w:val="left"/>
              <w:textAlignment w:val="center"/>
            </w:pPr>
            <w:r>
              <w:rPr>
                <w:rFonts w:hint="eastAsia"/>
              </w:rPr>
              <w:t>4</w:t>
            </w:r>
            <w:r>
              <w:t>.</w:t>
            </w:r>
            <w:r>
              <w:rPr>
                <w:rFonts w:hint="eastAsia"/>
              </w:rPr>
              <w:t>负压吸引按键</w:t>
            </w:r>
          </w:p>
        </w:tc>
        <w:tc>
          <w:tcPr>
            <w:tcW w:w="1610" w:type="dxa"/>
          </w:tcPr>
          <w:p>
            <w:pPr>
              <w:jc w:val="center"/>
            </w:pPr>
            <w:r>
              <w:rPr>
                <w:rFonts w:hint="eastAsia"/>
              </w:rPr>
              <w:t>只</w:t>
            </w:r>
          </w:p>
        </w:tc>
        <w:tc>
          <w:tcPr>
            <w:tcW w:w="1241" w:type="dxa"/>
            <w:vAlign w:val="center"/>
          </w:tcPr>
          <w:p>
            <w:pPr>
              <w:jc w:val="center"/>
            </w:pPr>
            <w:r>
              <w:rPr>
                <w:rFonts w:hint="eastAsia"/>
              </w:rPr>
              <w:t>2</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tcPr>
          <w:p>
            <w:pPr>
              <w:widowControl/>
              <w:jc w:val="left"/>
              <w:textAlignment w:val="center"/>
            </w:pPr>
            <w:r>
              <w:rPr>
                <w:rFonts w:hint="eastAsia"/>
              </w:rPr>
              <w:t>5</w:t>
            </w:r>
            <w:r>
              <w:t>.</w:t>
            </w:r>
            <w:r>
              <w:rPr>
                <w:rFonts w:hint="eastAsia"/>
              </w:rPr>
              <w:t>测漏仪</w:t>
            </w:r>
          </w:p>
        </w:tc>
        <w:tc>
          <w:tcPr>
            <w:tcW w:w="1610" w:type="dxa"/>
          </w:tcPr>
          <w:p>
            <w:pPr>
              <w:jc w:val="center"/>
            </w:pPr>
            <w:r>
              <w:rPr>
                <w:rFonts w:hint="eastAsia"/>
              </w:rPr>
              <w:t>只</w:t>
            </w:r>
          </w:p>
        </w:tc>
        <w:tc>
          <w:tcPr>
            <w:tcW w:w="1241" w:type="dxa"/>
            <w:vAlign w:val="center"/>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vAlign w:val="center"/>
          </w:tcPr>
          <w:p>
            <w:pPr>
              <w:widowControl/>
              <w:jc w:val="left"/>
              <w:textAlignment w:val="center"/>
            </w:pPr>
            <w:r>
              <w:rPr>
                <w:rFonts w:hint="eastAsia"/>
              </w:rPr>
              <w:t>6</w:t>
            </w:r>
            <w:r>
              <w:t>.</w:t>
            </w:r>
            <w:r>
              <w:rPr>
                <w:rFonts w:hint="eastAsia"/>
              </w:rPr>
              <w:t>环保专用箱</w:t>
            </w:r>
          </w:p>
        </w:tc>
        <w:tc>
          <w:tcPr>
            <w:tcW w:w="1610" w:type="dxa"/>
          </w:tcPr>
          <w:p>
            <w:pPr>
              <w:jc w:val="center"/>
            </w:pPr>
            <w:r>
              <w:rPr>
                <w:rFonts w:hint="eastAsia"/>
              </w:rPr>
              <w:t>个</w:t>
            </w:r>
          </w:p>
        </w:tc>
        <w:tc>
          <w:tcPr>
            <w:tcW w:w="1241" w:type="dxa"/>
            <w:vAlign w:val="center"/>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vAlign w:val="center"/>
          </w:tcPr>
          <w:p>
            <w:pPr>
              <w:widowControl/>
              <w:jc w:val="left"/>
              <w:textAlignment w:val="center"/>
            </w:pPr>
            <w:r>
              <w:rPr>
                <w:rFonts w:hint="eastAsia"/>
              </w:rPr>
              <w:t>7</w:t>
            </w:r>
            <w:r>
              <w:t>.</w:t>
            </w:r>
            <w:r>
              <w:rPr>
                <w:rFonts w:hint="eastAsia"/>
              </w:rPr>
              <w:t>软管冲洗管路</w:t>
            </w:r>
          </w:p>
        </w:tc>
        <w:tc>
          <w:tcPr>
            <w:tcW w:w="1610" w:type="dxa"/>
          </w:tcPr>
          <w:p>
            <w:pPr>
              <w:jc w:val="center"/>
            </w:pPr>
            <w:r>
              <w:rPr>
                <w:rFonts w:hint="eastAsia"/>
              </w:rPr>
              <w:t>支</w:t>
            </w:r>
          </w:p>
        </w:tc>
        <w:tc>
          <w:tcPr>
            <w:tcW w:w="1241" w:type="dxa"/>
            <w:vAlign w:val="center"/>
          </w:tcPr>
          <w:p>
            <w:pPr>
              <w:jc w:val="center"/>
            </w:pPr>
            <w:r>
              <w:rPr>
                <w:rFonts w:hint="eastAsia"/>
              </w:rPr>
              <w:t>1</w:t>
            </w:r>
          </w:p>
        </w:tc>
      </w:tr>
      <w:tr>
        <w:tblPrEx>
          <w:tblW w:w="8504" w:type="dxa"/>
          <w:jc w:val="center"/>
          <w:tblInd w:w="0" w:type="dxa"/>
          <w:tblLayout w:type="fixed"/>
          <w:tblCellMar>
            <w:top w:w="0" w:type="dxa"/>
            <w:left w:w="108" w:type="dxa"/>
            <w:bottom w:w="0" w:type="dxa"/>
            <w:right w:w="108" w:type="dxa"/>
          </w:tblCellMar>
        </w:tblPrEx>
        <w:trPr>
          <w:trHeight w:val="340"/>
          <w:jc w:val="center"/>
        </w:trPr>
        <w:tc>
          <w:tcPr>
            <w:tcW w:w="5653" w:type="dxa"/>
            <w:vAlign w:val="center"/>
          </w:tcPr>
          <w:p>
            <w:pPr>
              <w:widowControl/>
              <w:jc w:val="left"/>
              <w:textAlignment w:val="center"/>
            </w:pPr>
            <w:r>
              <w:rPr>
                <w:rFonts w:hint="eastAsia"/>
              </w:rPr>
              <w:t>8</w:t>
            </w:r>
            <w:r>
              <w:t>.</w:t>
            </w:r>
            <w:r>
              <w:rPr>
                <w:rFonts w:hint="eastAsia"/>
              </w:rPr>
              <w:t>给药口盖</w:t>
            </w:r>
          </w:p>
        </w:tc>
        <w:tc>
          <w:tcPr>
            <w:tcW w:w="1610" w:type="dxa"/>
          </w:tcPr>
          <w:p>
            <w:pPr>
              <w:jc w:val="center"/>
            </w:pPr>
            <w:r>
              <w:rPr>
                <w:rFonts w:hint="eastAsia"/>
              </w:rPr>
              <w:t>个</w:t>
            </w:r>
          </w:p>
        </w:tc>
        <w:tc>
          <w:tcPr>
            <w:tcW w:w="1241" w:type="dxa"/>
            <w:vAlign w:val="center"/>
          </w:tcPr>
          <w:p>
            <w:pPr>
              <w:jc w:val="center"/>
            </w:pPr>
            <w:r>
              <w:rPr>
                <w:rFonts w:hint="eastAsia"/>
              </w:rPr>
              <w:t>5</w:t>
            </w:r>
          </w:p>
        </w:tc>
      </w:tr>
    </w:tbl>
    <w:p>
      <w:pPr>
        <w:spacing w:line="360" w:lineRule="auto"/>
        <w:rPr>
          <w:rFonts w:ascii="宋体" w:hAnsi="宋体" w:cs="宋体"/>
          <w:b/>
          <w:color w:val="FF0000"/>
          <w:szCs w:val="21"/>
        </w:rPr>
      </w:pPr>
    </w:p>
    <w:p>
      <w:pPr>
        <w:spacing w:line="360" w:lineRule="auto"/>
        <w:rPr>
          <w:rFonts w:ascii="宋体" w:hAnsi="宋体" w:cs="宋体"/>
          <w:b/>
          <w:color w:val="FF0000"/>
          <w:szCs w:val="21"/>
        </w:rPr>
      </w:pPr>
      <w:r>
        <w:rPr>
          <w:rFonts w:ascii="宋体" w:hAnsi="宋体" w:cs="宋体" w:hint="eastAsia"/>
          <w:b/>
          <w:color w:val="FF0000"/>
          <w:szCs w:val="21"/>
        </w:rPr>
        <w:t>备注：</w:t>
      </w:r>
    </w:p>
    <w:p>
      <w:pPr>
        <w:spacing w:line="360" w:lineRule="auto"/>
        <w:rPr>
          <w:rFonts w:ascii="宋体" w:hAnsi="宋体" w:cs="宋体"/>
          <w:b/>
          <w:color w:val="FF0000"/>
          <w:szCs w:val="21"/>
        </w:rPr>
      </w:pPr>
      <w:r>
        <w:rPr>
          <w:rFonts w:ascii="宋体" w:hAnsi="宋体" w:cs="宋体" w:hint="eastAsia"/>
          <w:b/>
          <w:color w:val="FF0000"/>
          <w:szCs w:val="21"/>
        </w:rPr>
        <w:t xml:space="preserve">1、备注栏注明“拒绝进口”的产品不接受投标人选用进口产品参与投标；注明“接受进口”的产品允许投标人选用进口产品参与投标，但不排斥国内产品。 </w:t>
      </w:r>
    </w:p>
    <w:p>
      <w:pPr>
        <w:spacing w:line="360" w:lineRule="auto"/>
        <w:rPr>
          <w:rFonts w:ascii="宋体" w:hAnsi="宋体" w:cs="宋体"/>
          <w:b/>
          <w:color w:val="FF0000"/>
          <w:szCs w:val="21"/>
        </w:rPr>
      </w:pPr>
      <w:r>
        <w:rPr>
          <w:rFonts w:ascii="宋体" w:hAnsi="宋体" w:cs="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spacing w:line="360" w:lineRule="auto"/>
        <w:rPr>
          <w:rFonts w:ascii="宋体" w:hAnsi="宋体" w:cs="宋体"/>
          <w:b/>
          <w:color w:val="FF0000"/>
          <w:szCs w:val="21"/>
        </w:rPr>
      </w:pPr>
      <w:r>
        <w:rPr>
          <w:rFonts w:ascii="宋体" w:hAnsi="宋体" w:cs="宋体" w:hint="eastAsia"/>
          <w:b/>
          <w:color w:val="FF0000"/>
          <w:szCs w:val="21"/>
        </w:rPr>
        <w:t>3、本项目核心产品为：</w:t>
      </w:r>
      <w:r>
        <w:rPr>
          <w:rFonts w:ascii="宋体" w:hAnsi="宋体" w:cs="宋体" w:hint="eastAsia"/>
          <w:b/>
          <w:color w:val="FF0000"/>
          <w:szCs w:val="21"/>
          <w:u w:val="single"/>
        </w:rPr>
        <w:t xml:space="preserve"> </w:t>
      </w:r>
      <w:r>
        <w:rPr>
          <w:rFonts w:ascii="宋体" w:hAnsi="宋体" w:cs="宋体" w:hint="eastAsia"/>
          <w:b/>
          <w:color w:val="FF0000"/>
          <w:szCs w:val="21"/>
          <w:highlight w:val="yellow"/>
          <w:u w:val="single"/>
        </w:rPr>
        <w:t xml:space="preserve"> 电子支气管镜 </w:t>
      </w:r>
      <w:r>
        <w:rPr>
          <w:rFonts w:ascii="宋体" w:hAnsi="宋体" w:cs="宋体" w:hint="eastAsia"/>
          <w:b/>
          <w:color w:val="FF0000"/>
          <w:szCs w:val="21"/>
          <w:u w:val="single"/>
        </w:rPr>
        <w:t xml:space="preserve"> </w:t>
      </w:r>
      <w:r>
        <w:rPr>
          <w:rFonts w:ascii="宋体" w:hAnsi="宋体" w:cs="宋体" w:hint="eastAsia"/>
          <w:b/>
          <w:color w:val="FF0000"/>
          <w:szCs w:val="21"/>
        </w:rPr>
        <w:t>。</w:t>
      </w:r>
      <w:bookmarkEnd w:id="40"/>
    </w:p>
    <w:p>
      <w:pPr>
        <w:pStyle w:val="Heading2"/>
        <w:spacing w:line="360" w:lineRule="auto"/>
        <w:jc w:val="left"/>
        <w:rPr>
          <w:rFonts w:ascii="宋体" w:hAnsi="宋体" w:cs="宋体"/>
          <w:b/>
          <w:bCs/>
          <w:sz w:val="28"/>
          <w:szCs w:val="28"/>
        </w:rPr>
      </w:pPr>
      <w:bookmarkStart w:id="43" w:name="_Toc128884461"/>
      <w:r>
        <w:rPr>
          <w:rFonts w:ascii="宋体" w:hAnsi="宋体" w:cs="宋体" w:hint="eastAsia"/>
          <w:b/>
          <w:bCs/>
          <w:sz w:val="28"/>
          <w:szCs w:val="28"/>
        </w:rPr>
        <w:t>三、实质性条款</w:t>
      </w:r>
    </w:p>
    <w:tbl>
      <w:tblPr>
        <w:tblStyle w:val="TableNormal"/>
        <w:tblW w:w="81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5"/>
        <w:gridCol w:w="7483"/>
      </w:tblGrid>
      <w:tr>
        <w:tblPrEx>
          <w:tblW w:w="81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705" w:type="dxa"/>
            <w:vAlign w:val="center"/>
          </w:tcPr>
          <w:p>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序号</w:t>
            </w:r>
          </w:p>
        </w:tc>
        <w:tc>
          <w:tcPr>
            <w:tcW w:w="7483" w:type="dxa"/>
            <w:vAlign w:val="center"/>
          </w:tcPr>
          <w:p>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实质性条款具体内容</w:t>
            </w:r>
          </w:p>
        </w:tc>
      </w:tr>
      <w:tr>
        <w:tblPrEx>
          <w:tblW w:w="8188" w:type="dxa"/>
          <w:jc w:val="center"/>
          <w:tblInd w:w="0" w:type="dxa"/>
          <w:tblLayout w:type="fixed"/>
          <w:tblCellMar>
            <w:top w:w="0" w:type="dxa"/>
            <w:left w:w="108" w:type="dxa"/>
            <w:bottom w:w="0" w:type="dxa"/>
            <w:right w:w="108" w:type="dxa"/>
          </w:tblCellMar>
        </w:tblPrEx>
        <w:trPr>
          <w:jc w:val="center"/>
        </w:trPr>
        <w:tc>
          <w:tcPr>
            <w:tcW w:w="705" w:type="dxa"/>
          </w:tcPr>
          <w:p>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7483" w:type="dxa"/>
          </w:tcPr>
          <w:p>
            <w:pPr>
              <w:adjustRightInd w:val="0"/>
              <w:snapToGrid w:val="0"/>
              <w:spacing w:line="360" w:lineRule="auto"/>
              <w:rPr>
                <w:rFonts w:ascii="宋体" w:hAnsi="宋体" w:cs="宋体"/>
                <w:kern w:val="0"/>
                <w:szCs w:val="21"/>
              </w:rPr>
            </w:pPr>
            <w:r>
              <w:rPr>
                <w:rFonts w:ascii="宋体" w:hAnsi="宋体" w:cs="宋体" w:hint="eastAsia"/>
                <w:kern w:val="0"/>
                <w:szCs w:val="21"/>
              </w:rPr>
              <w:t>投标文件载明的交货期不超过招标文件规定的期限</w:t>
            </w:r>
          </w:p>
        </w:tc>
      </w:tr>
      <w:tr>
        <w:tblPrEx>
          <w:tblW w:w="8188" w:type="dxa"/>
          <w:jc w:val="center"/>
          <w:tblInd w:w="0" w:type="dxa"/>
          <w:tblLayout w:type="fixed"/>
          <w:tblCellMar>
            <w:top w:w="0" w:type="dxa"/>
            <w:left w:w="108" w:type="dxa"/>
            <w:bottom w:w="0" w:type="dxa"/>
            <w:right w:w="108" w:type="dxa"/>
          </w:tblCellMar>
        </w:tblPrEx>
        <w:trPr>
          <w:jc w:val="center"/>
        </w:trPr>
        <w:tc>
          <w:tcPr>
            <w:tcW w:w="705" w:type="dxa"/>
          </w:tcPr>
          <w:p>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7483" w:type="dxa"/>
          </w:tcPr>
          <w:p>
            <w:pPr>
              <w:adjustRightInd w:val="0"/>
              <w:snapToGrid w:val="0"/>
              <w:spacing w:line="360" w:lineRule="auto"/>
              <w:rPr>
                <w:rFonts w:ascii="宋体" w:hAnsi="宋体" w:cs="宋体"/>
                <w:kern w:val="0"/>
                <w:szCs w:val="21"/>
              </w:rPr>
            </w:pPr>
            <w:r>
              <w:rPr>
                <w:rFonts w:ascii="宋体" w:hAnsi="宋体" w:cs="宋体" w:hint="eastAsia"/>
                <w:kern w:val="0"/>
                <w:szCs w:val="21"/>
              </w:rPr>
              <w:t>投标文件载明的免费保修期不低于招标文件规定的期限</w:t>
            </w:r>
          </w:p>
        </w:tc>
      </w:tr>
      <w:tr>
        <w:tblPrEx>
          <w:tblW w:w="8188" w:type="dxa"/>
          <w:jc w:val="center"/>
          <w:tblInd w:w="0" w:type="dxa"/>
          <w:tblLayout w:type="fixed"/>
          <w:tblCellMar>
            <w:top w:w="0" w:type="dxa"/>
            <w:left w:w="108" w:type="dxa"/>
            <w:bottom w:w="0" w:type="dxa"/>
            <w:right w:w="108" w:type="dxa"/>
          </w:tblCellMar>
        </w:tblPrEx>
        <w:trPr>
          <w:jc w:val="center"/>
        </w:trPr>
        <w:tc>
          <w:tcPr>
            <w:tcW w:w="705" w:type="dxa"/>
          </w:tcPr>
          <w:p>
            <w:pPr>
              <w:adjustRightInd w:val="0"/>
              <w:snapToGrid w:val="0"/>
              <w:spacing w:line="360" w:lineRule="auto"/>
              <w:jc w:val="center"/>
              <w:rPr>
                <w:rFonts w:ascii="宋体" w:hAnsi="宋体" w:cs="宋体"/>
                <w:kern w:val="0"/>
                <w:szCs w:val="21"/>
              </w:rPr>
            </w:pPr>
            <w:r>
              <w:rPr>
                <w:rFonts w:ascii="宋体" w:hAnsi="宋体" w:cs="宋体" w:hint="eastAsia"/>
                <w:kern w:val="0"/>
                <w:szCs w:val="21"/>
              </w:rPr>
              <w:t>3</w:t>
            </w:r>
          </w:p>
        </w:tc>
        <w:tc>
          <w:tcPr>
            <w:tcW w:w="7483" w:type="dxa"/>
          </w:tcPr>
          <w:p>
            <w:pPr>
              <w:adjustRightInd w:val="0"/>
              <w:snapToGrid w:val="0"/>
              <w:spacing w:line="360" w:lineRule="auto"/>
              <w:rPr>
                <w:rFonts w:ascii="宋体" w:hAnsi="宋体" w:cs="宋体"/>
                <w:kern w:val="0"/>
                <w:szCs w:val="21"/>
              </w:rPr>
            </w:pPr>
            <w:r>
              <w:rPr>
                <w:rFonts w:ascii="宋体" w:hAnsi="宋体" w:cs="宋体" w:hint="eastAsia"/>
                <w:kern w:val="0"/>
                <w:szCs w:val="21"/>
              </w:rPr>
              <w:t>招标文件中带“</w:t>
            </w:r>
            <w:r>
              <w:rPr>
                <w:rFonts w:ascii="宋体" w:hAnsi="宋体" w:cs="宋体" w:hint="eastAsia"/>
                <w:b/>
                <w:szCs w:val="21"/>
              </w:rPr>
              <w:t>★</w:t>
            </w:r>
            <w:r>
              <w:rPr>
                <w:rFonts w:ascii="宋体" w:hAnsi="宋体" w:cs="宋体" w:hint="eastAsia"/>
                <w:kern w:val="0"/>
                <w:szCs w:val="21"/>
              </w:rPr>
              <w:t>”的技术要求、商务需求或其他要求。</w:t>
            </w:r>
          </w:p>
        </w:tc>
      </w:tr>
    </w:tbl>
    <w:p>
      <w:pPr>
        <w:pStyle w:val="Heading4"/>
        <w:tabs>
          <w:tab w:val="left" w:pos="765"/>
        </w:tabs>
        <w:spacing w:before="0" w:after="0" w:line="360" w:lineRule="auto"/>
        <w:rPr>
          <w:rFonts w:ascii="宋体" w:eastAsia="宋体" w:hAnsi="宋体" w:cs="宋体"/>
          <w:sz w:val="21"/>
          <w:szCs w:val="21"/>
        </w:rPr>
      </w:pPr>
      <w:r>
        <w:rPr>
          <w:rFonts w:ascii="宋体" w:eastAsia="宋体" w:hAnsi="宋体" w:cs="宋体" w:hint="eastAsia"/>
          <w:b w:val="0"/>
          <w:kern w:val="0"/>
          <w:sz w:val="21"/>
          <w:szCs w:val="21"/>
        </w:rPr>
        <w:t>注：上表所列内容为不可负偏离条款</w:t>
      </w:r>
      <w:bookmarkEnd w:id="43"/>
      <w:r>
        <w:rPr>
          <w:rFonts w:ascii="宋体" w:eastAsia="宋体" w:hAnsi="宋体" w:cs="宋体" w:hint="eastAsia"/>
          <w:b w:val="0"/>
          <w:kern w:val="0"/>
          <w:sz w:val="21"/>
          <w:szCs w:val="21"/>
        </w:rPr>
        <w:t>，负偏离将视为未实质性满足招标文件要求作投标无效处理。</w:t>
      </w:r>
    </w:p>
    <w:p>
      <w:pPr>
        <w:pStyle w:val="Heading2"/>
        <w:spacing w:line="360" w:lineRule="auto"/>
        <w:jc w:val="left"/>
        <w:rPr>
          <w:rFonts w:ascii="宋体" w:hAnsi="宋体" w:cs="宋体"/>
          <w:b/>
          <w:bCs/>
          <w:sz w:val="28"/>
          <w:szCs w:val="28"/>
        </w:rPr>
      </w:pPr>
      <w:r>
        <w:rPr>
          <w:rFonts w:ascii="宋体" w:hAnsi="宋体" w:cs="宋体" w:hint="eastAsia"/>
          <w:b/>
          <w:bCs/>
          <w:sz w:val="28"/>
          <w:szCs w:val="28"/>
        </w:rPr>
        <w:t>四、技术要求</w:t>
      </w:r>
    </w:p>
    <w:p>
      <w:pPr>
        <w:spacing w:line="360" w:lineRule="auto"/>
        <w:rPr>
          <w:rFonts w:ascii="宋体" w:hAnsi="宋体" w:cs="宋体"/>
          <w:b/>
        </w:rPr>
      </w:pPr>
      <w:r>
        <w:rPr>
          <w:rFonts w:ascii="宋体" w:hAnsi="宋体" w:cs="宋体" w:hint="eastAsia"/>
          <w:b/>
          <w:szCs w:val="21"/>
        </w:rPr>
        <w:t xml:space="preserve">说明： </w:t>
      </w:r>
      <w:r>
        <w:rPr>
          <w:rFonts w:ascii="宋体" w:hAnsi="宋体" w:cs="宋体" w:hint="eastAsia"/>
          <w:b/>
        </w:rPr>
        <w:t>1、评分时，如对一项招标技术要求（以划分框为准）中的内容存在两处（或以上）负偏离的，在评分时只作一项负偏离扣分。</w:t>
      </w:r>
    </w:p>
    <w:p>
      <w:pPr>
        <w:spacing w:line="360" w:lineRule="auto"/>
        <w:rPr>
          <w:rFonts w:ascii="宋体" w:hAnsi="宋体" w:cs="宋体"/>
          <w:b/>
          <w:szCs w:val="21"/>
        </w:rPr>
      </w:pPr>
      <w:r>
        <w:rPr>
          <w:rFonts w:ascii="宋体" w:hAnsi="宋体" w:cs="宋体" w:hint="eastAsia"/>
          <w:b/>
          <w:szCs w:val="21"/>
        </w:rPr>
        <w:t>2、带“★”指标项为实质性条款，如出现负偏离，将被视为未实质性满足招标文件要求作投标无效处理；带“</w:t>
      </w:r>
      <w:r>
        <w:rPr>
          <w:rFonts w:ascii="宋体" w:hAnsi="宋体" w:cs="宋体" w:hint="eastAsia"/>
        </w:rPr>
        <w:t>▲</w:t>
      </w:r>
      <w:r>
        <w:rPr>
          <w:rFonts w:ascii="宋体" w:hAnsi="宋体" w:cs="宋体" w:hint="eastAsia"/>
          <w:b/>
          <w:szCs w:val="21"/>
        </w:rPr>
        <w:t>”指标项为重要参数条款，负偏离时依相关评分准则内容作重点扣分处理。</w:t>
      </w:r>
    </w:p>
    <w:tbl>
      <w:tblPr>
        <w:tblStyle w:val="TableNormal"/>
        <w:tblW w:w="847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81"/>
        <w:gridCol w:w="1487"/>
        <w:gridCol w:w="5907"/>
      </w:tblGrid>
      <w:tr>
        <w:tblPrEx>
          <w:tblW w:w="847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70"/>
        </w:trPr>
        <w:tc>
          <w:tcPr>
            <w:tcW w:w="1081" w:type="dxa"/>
            <w:vAlign w:val="center"/>
          </w:tcPr>
          <w:p>
            <w:pPr>
              <w:widowControl/>
              <w:spacing w:line="360" w:lineRule="auto"/>
              <w:jc w:val="center"/>
              <w:rPr>
                <w:rFonts w:ascii="宋体" w:hAnsi="宋体" w:cs="宋体"/>
                <w:b/>
                <w:bCs/>
                <w:kern w:val="0"/>
                <w:sz w:val="24"/>
              </w:rPr>
            </w:pPr>
            <w:r>
              <w:rPr>
                <w:rFonts w:ascii="宋体" w:hAnsi="宋体" w:cs="宋体" w:hint="eastAsia"/>
                <w:b/>
                <w:bCs/>
                <w:kern w:val="0"/>
                <w:sz w:val="24"/>
              </w:rPr>
              <w:t>序号</w:t>
            </w:r>
          </w:p>
        </w:tc>
        <w:tc>
          <w:tcPr>
            <w:tcW w:w="1487" w:type="dxa"/>
            <w:vAlign w:val="center"/>
          </w:tcPr>
          <w:p>
            <w:pPr>
              <w:widowControl/>
              <w:spacing w:line="360" w:lineRule="auto"/>
              <w:jc w:val="center"/>
              <w:rPr>
                <w:rFonts w:ascii="宋体" w:hAnsi="宋体" w:cs="宋体"/>
                <w:b/>
                <w:bCs/>
                <w:kern w:val="0"/>
                <w:sz w:val="24"/>
              </w:rPr>
            </w:pPr>
            <w:r>
              <w:rPr>
                <w:rFonts w:ascii="宋体" w:hAnsi="宋体" w:cs="宋体" w:hint="eastAsia"/>
                <w:b/>
                <w:bCs/>
                <w:kern w:val="0"/>
                <w:sz w:val="24"/>
              </w:rPr>
              <w:t>货物名称</w:t>
            </w:r>
          </w:p>
        </w:tc>
        <w:tc>
          <w:tcPr>
            <w:tcW w:w="5907" w:type="dxa"/>
            <w:vAlign w:val="center"/>
          </w:tcPr>
          <w:p>
            <w:pPr>
              <w:widowControl/>
              <w:spacing w:line="360" w:lineRule="auto"/>
              <w:jc w:val="center"/>
              <w:rPr>
                <w:rFonts w:ascii="宋体" w:hAnsi="宋体" w:cs="宋体"/>
                <w:b/>
                <w:bCs/>
                <w:kern w:val="0"/>
                <w:sz w:val="24"/>
              </w:rPr>
            </w:pPr>
            <w:r>
              <w:rPr>
                <w:rFonts w:ascii="宋体" w:hAnsi="宋体" w:cs="宋体" w:hint="eastAsia"/>
                <w:b/>
                <w:bCs/>
                <w:kern w:val="0"/>
                <w:sz w:val="24"/>
              </w:rPr>
              <w:t>招标技术要求</w:t>
            </w:r>
          </w:p>
        </w:tc>
      </w:tr>
      <w:tr>
        <w:tblPrEx>
          <w:tblW w:w="8475" w:type="dxa"/>
          <w:tblInd w:w="121" w:type="dxa"/>
          <w:tblLayout w:type="fixed"/>
          <w:tblCellMar>
            <w:top w:w="0" w:type="dxa"/>
            <w:left w:w="108" w:type="dxa"/>
            <w:bottom w:w="0" w:type="dxa"/>
            <w:right w:w="108" w:type="dxa"/>
          </w:tblCellMar>
        </w:tblPrEx>
        <w:trPr>
          <w:trHeight w:val="367"/>
        </w:trPr>
        <w:tc>
          <w:tcPr>
            <w:tcW w:w="1081" w:type="dxa"/>
            <w:vMerge w:val="restart"/>
            <w:vAlign w:val="center"/>
          </w:tcPr>
          <w:p>
            <w:pPr>
              <w:spacing w:line="360" w:lineRule="auto"/>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1</w:t>
            </w:r>
          </w:p>
        </w:tc>
        <w:tc>
          <w:tcPr>
            <w:tcW w:w="1487" w:type="dxa"/>
            <w:vMerge w:val="restart"/>
            <w:vAlign w:val="center"/>
          </w:tcPr>
          <w:p>
            <w:pPr>
              <w:spacing w:line="360" w:lineRule="auto"/>
              <w:jc w:val="center"/>
              <w:rPr>
                <w:rFonts w:asciiTheme="minorEastAsia" w:eastAsiaTheme="minorEastAsia" w:hAnsiTheme="minorEastAsia"/>
                <w:b/>
                <w:bCs/>
                <w:kern w:val="0"/>
              </w:rPr>
            </w:pPr>
            <w:r>
              <w:rPr>
                <w:rFonts w:asciiTheme="minorEastAsia" w:eastAsiaTheme="minorEastAsia" w:hAnsiTheme="minorEastAsia" w:hint="eastAsia"/>
                <w:b/>
                <w:bCs/>
              </w:rPr>
              <w:t>电子支气管镜</w:t>
            </w:r>
          </w:p>
        </w:tc>
        <w:tc>
          <w:tcPr>
            <w:tcW w:w="5907" w:type="dxa"/>
          </w:tcPr>
          <w:p>
            <w:pPr>
              <w:jc w:val="left"/>
              <w:rPr>
                <w:rFonts w:asciiTheme="minorEastAsia" w:eastAsiaTheme="minorEastAsia" w:hAnsiTheme="minorEastAsia" w:cstheme="minorEastAsia" w:hint="eastAsia"/>
                <w:kern w:val="0"/>
                <w:sz w:val="21"/>
                <w:szCs w:val="21"/>
                <w:lang w:eastAsia="zh-CN"/>
              </w:rPr>
            </w:pPr>
            <w:r>
              <w:rPr>
                <w:rFonts w:asciiTheme="minorEastAsia" w:eastAsiaTheme="minorEastAsia" w:hAnsiTheme="minorEastAsia" w:cstheme="minorEastAsia" w:hint="eastAsia"/>
                <w:bCs/>
                <w:sz w:val="21"/>
                <w:szCs w:val="21"/>
              </w:rPr>
              <w:t>1．视野角：≥120°</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70"/>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pStyle w:val="CommentText"/>
              <w:rPr>
                <w:rFonts w:asciiTheme="minorEastAsia" w:eastAsiaTheme="minorEastAsia" w:hAnsiTheme="minorEastAsia" w:cstheme="minorEastAsia" w:hint="eastAsia"/>
                <w:sz w:val="21"/>
                <w:szCs w:val="21"/>
                <w:lang w:eastAsia="zh-CN"/>
              </w:rPr>
            </w:pPr>
            <w:r>
              <w:rPr>
                <w:rFonts w:asciiTheme="minorEastAsia" w:eastAsiaTheme="minorEastAsia" w:hAnsiTheme="minorEastAsia" w:cstheme="minorEastAsia" w:hint="eastAsia"/>
                <w:bCs/>
                <w:kern w:val="2"/>
                <w:sz w:val="21"/>
                <w:szCs w:val="21"/>
              </w:rPr>
              <w:t>2.▲景深：3-100mm。（投标产品参数应同时包含此范围最大值及最小值）</w:t>
            </w:r>
            <w:r>
              <w:rPr>
                <w:rFonts w:asciiTheme="minorEastAsia" w:eastAsiaTheme="minorEastAsia" w:hAnsiTheme="minorEastAsia" w:cstheme="minorEastAsia" w:hint="eastAsia"/>
                <w:b/>
                <w:bCs w:val="0"/>
                <w:color w:val="FF0000"/>
                <w:kern w:val="2"/>
                <w:sz w:val="21"/>
                <w:szCs w:val="21"/>
              </w:rPr>
              <w:t>（提供产品彩页或说明书或技术白皮书证明材料）</w:t>
            </w:r>
            <w:r>
              <w:rPr>
                <w:rFonts w:asciiTheme="minorEastAsia" w:eastAsiaTheme="minorEastAsia" w:hAnsiTheme="minorEastAsia" w:cstheme="minorEastAsia" w:hint="eastAsia"/>
                <w:b/>
                <w:bCs w:val="0"/>
                <w:color w:val="FF0000"/>
                <w:kern w:val="2"/>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70"/>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kern w:val="0"/>
                <w:sz w:val="21"/>
                <w:szCs w:val="21"/>
                <w:lang w:eastAsia="zh-CN"/>
              </w:rPr>
            </w:pPr>
            <w:r>
              <w:rPr>
                <w:rFonts w:asciiTheme="minorEastAsia" w:eastAsiaTheme="minorEastAsia" w:hAnsiTheme="minorEastAsia" w:cstheme="minorEastAsia" w:hint="eastAsia"/>
                <w:bCs/>
                <w:color w:val="auto"/>
                <w:sz w:val="21"/>
                <w:szCs w:val="21"/>
              </w:rPr>
              <w:t>3.插入部外径≤3.8mm，数量：3条；插入部外径≤2.8mm；数量：1条</w:t>
            </w:r>
            <w:r>
              <w:rPr>
                <w:rFonts w:asciiTheme="minorEastAsia" w:eastAsiaTheme="minorEastAsia" w:hAnsiTheme="minorEastAsia" w:cstheme="minorEastAsia" w:hint="eastAsia"/>
                <w:bCs/>
                <w:color w:val="auto"/>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70"/>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kern w:val="0"/>
                <w:sz w:val="21"/>
                <w:szCs w:val="21"/>
                <w:lang w:eastAsia="zh-CN"/>
              </w:rPr>
            </w:pPr>
            <w:r>
              <w:rPr>
                <w:rFonts w:asciiTheme="minorEastAsia" w:eastAsiaTheme="minorEastAsia" w:hAnsiTheme="minorEastAsia" w:cstheme="minorEastAsia" w:hint="eastAsia"/>
                <w:bCs/>
                <w:sz w:val="21"/>
                <w:szCs w:val="21"/>
              </w:rPr>
              <w:t>4.工作长度≥600mm</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70"/>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rPr>
                <w:rFonts w:asciiTheme="minorEastAsia" w:eastAsiaTheme="minorEastAsia" w:hAnsiTheme="minorEastAsia" w:cstheme="minorEastAsia" w:hint="eastAsia"/>
                <w:b/>
                <w:kern w:val="0"/>
                <w:sz w:val="21"/>
                <w:szCs w:val="21"/>
              </w:rPr>
            </w:pPr>
            <w:r>
              <w:rPr>
                <w:rFonts w:asciiTheme="minorEastAsia" w:eastAsiaTheme="minorEastAsia" w:hAnsiTheme="minorEastAsia" w:cstheme="minorEastAsia" w:hint="eastAsia"/>
                <w:bCs/>
                <w:sz w:val="21"/>
                <w:szCs w:val="21"/>
              </w:rPr>
              <w:t>5. ▲弯曲角度：上≥210°，下≥130°</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70"/>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6.▲钳道管道：≥2.0mm</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70"/>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kern w:val="0"/>
                <w:sz w:val="21"/>
                <w:szCs w:val="21"/>
                <w:lang w:eastAsia="zh-CN"/>
              </w:rPr>
            </w:pPr>
            <w:r>
              <w:rPr>
                <w:rFonts w:asciiTheme="minorEastAsia" w:eastAsiaTheme="minorEastAsia" w:hAnsiTheme="minorEastAsia" w:cstheme="minorEastAsia" w:hint="eastAsia"/>
                <w:bCs/>
                <w:sz w:val="21"/>
                <w:szCs w:val="21"/>
              </w:rPr>
              <w:t>7.最小可视距离先端≤3mm</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371"/>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8.▲PVE接头</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Cs/>
                <w:sz w:val="21"/>
                <w:szCs w:val="21"/>
              </w:rPr>
              <w:t>180°旋转</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321"/>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9.内镜可控制图像冻结、采集、存储</w:t>
            </w:r>
            <w:r>
              <w:rPr>
                <w:rFonts w:asciiTheme="minorEastAsia" w:eastAsiaTheme="minorEastAsia" w:hAnsiTheme="minorEastAsia" w:cstheme="minorEastAsia" w:hint="eastAsia"/>
                <w:bCs/>
                <w:sz w:val="21"/>
                <w:szCs w:val="21"/>
                <w:lang w:eastAsia="zh-CN"/>
              </w:rPr>
              <w:t>（包括但不限于）；</w:t>
            </w:r>
          </w:p>
        </w:tc>
      </w:tr>
      <w:tr>
        <w:tblPrEx>
          <w:tblW w:w="8475" w:type="dxa"/>
          <w:tblInd w:w="121" w:type="dxa"/>
          <w:tblLayout w:type="fixed"/>
          <w:tblCellMar>
            <w:top w:w="0" w:type="dxa"/>
            <w:left w:w="108" w:type="dxa"/>
            <w:bottom w:w="0" w:type="dxa"/>
            <w:right w:w="108" w:type="dxa"/>
          </w:tblCellMar>
        </w:tblPrEx>
        <w:trPr>
          <w:trHeight w:val="257"/>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10.▲导光缆、电子接口一体化设计</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257"/>
        </w:trPr>
        <w:tc>
          <w:tcPr>
            <w:tcW w:w="1081" w:type="dxa"/>
            <w:vMerge/>
            <w:vAlign w:val="center"/>
          </w:tcPr>
          <w:p>
            <w:pPr>
              <w:spacing w:line="360" w:lineRule="auto"/>
              <w:jc w:val="center"/>
              <w:rPr>
                <w:rFonts w:asciiTheme="minorEastAsia" w:eastAsiaTheme="minorEastAsia" w:hAnsiTheme="minorEastAsia" w:cs="宋体"/>
                <w:b/>
                <w:kern w:val="0"/>
              </w:rPr>
            </w:pPr>
          </w:p>
        </w:tc>
        <w:tc>
          <w:tcPr>
            <w:tcW w:w="1487" w:type="dxa"/>
            <w:vMerge/>
            <w:vAlign w:val="center"/>
          </w:tcPr>
          <w:p>
            <w:pPr>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11.</w:t>
            </w:r>
            <w:r>
              <w:rPr>
                <w:rFonts w:asciiTheme="minorEastAsia" w:eastAsiaTheme="minorEastAsia" w:hAnsiTheme="minorEastAsia" w:cstheme="minorEastAsia" w:hint="eastAsia"/>
                <w:sz w:val="21"/>
                <w:szCs w:val="21"/>
              </w:rPr>
              <w:t xml:space="preserve"> </w:t>
            </w:r>
            <w:bookmarkStart w:id="44" w:name="_Hlk110950121"/>
            <w:r>
              <w:rPr>
                <w:rFonts w:asciiTheme="minorEastAsia" w:eastAsiaTheme="minorEastAsia" w:hAnsiTheme="minorEastAsia" w:cstheme="minorEastAsia" w:hint="eastAsia"/>
                <w:bCs/>
                <w:sz w:val="21"/>
                <w:szCs w:val="21"/>
              </w:rPr>
              <w:t>电子支气管镜能与医院电子支气管镜系统主机接口相匹配。</w:t>
            </w:r>
            <w:bookmarkEnd w:id="44"/>
          </w:p>
        </w:tc>
      </w:tr>
      <w:tr>
        <w:tblPrEx>
          <w:tblW w:w="8475" w:type="dxa"/>
          <w:tblInd w:w="121" w:type="dxa"/>
          <w:tblLayout w:type="fixed"/>
          <w:tblCellMar>
            <w:top w:w="0" w:type="dxa"/>
            <w:left w:w="108" w:type="dxa"/>
            <w:bottom w:w="0" w:type="dxa"/>
            <w:right w:w="108" w:type="dxa"/>
          </w:tblCellMar>
        </w:tblPrEx>
        <w:trPr>
          <w:trHeight w:val="217"/>
        </w:trPr>
        <w:tc>
          <w:tcPr>
            <w:tcW w:w="1081" w:type="dxa"/>
            <w:vMerge w:val="restart"/>
            <w:vAlign w:val="center"/>
          </w:tcPr>
          <w:p>
            <w:pPr>
              <w:widowControl/>
              <w:spacing w:line="360" w:lineRule="auto"/>
              <w:jc w:val="center"/>
              <w:rPr>
                <w:rFonts w:asciiTheme="minorEastAsia" w:eastAsiaTheme="minorEastAsia" w:hAnsiTheme="minorEastAsia" w:cs="宋体"/>
                <w:b/>
                <w:kern w:val="0"/>
              </w:rPr>
            </w:pPr>
            <w:r>
              <w:rPr>
                <w:rFonts w:asciiTheme="minorEastAsia" w:eastAsiaTheme="minorEastAsia" w:hAnsiTheme="minorEastAsia" w:cs="宋体"/>
                <w:b/>
                <w:kern w:val="0"/>
              </w:rPr>
              <w:t>2</w:t>
            </w:r>
          </w:p>
        </w:tc>
        <w:tc>
          <w:tcPr>
            <w:tcW w:w="1487" w:type="dxa"/>
            <w:vMerge w:val="restart"/>
            <w:vAlign w:val="center"/>
          </w:tcPr>
          <w:p>
            <w:pPr>
              <w:widowControl/>
              <w:spacing w:line="360" w:lineRule="auto"/>
              <w:jc w:val="center"/>
              <w:rPr>
                <w:rFonts w:asciiTheme="minorEastAsia" w:eastAsiaTheme="minorEastAsia" w:hAnsiTheme="minorEastAsia"/>
                <w:kern w:val="0"/>
              </w:rPr>
            </w:pPr>
            <w:r>
              <w:rPr>
                <w:rFonts w:asciiTheme="minorEastAsia" w:eastAsiaTheme="minorEastAsia" w:hAnsiTheme="minorEastAsia" w:hint="eastAsia"/>
                <w:b/>
              </w:rPr>
              <w:t>食道镜</w:t>
            </w:r>
          </w:p>
        </w:tc>
        <w:tc>
          <w:tcPr>
            <w:tcW w:w="5907" w:type="dxa"/>
          </w:tcPr>
          <w:p>
            <w:pPr>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▲1</w:t>
            </w:r>
            <w:r>
              <w:rPr>
                <w:rFonts w:asciiTheme="minorEastAsia" w:eastAsiaTheme="minorEastAsia" w:hAnsiTheme="minorEastAsia" w:cstheme="minorEastAsia" w:hint="eastAsia"/>
                <w:bCs/>
                <w:sz w:val="21"/>
                <w:szCs w:val="21"/>
                <w:lang w:val="en-US" w:eastAsia="zh-CN"/>
              </w:rPr>
              <w:t>.</w:t>
            </w:r>
            <w:r>
              <w:rPr>
                <w:rFonts w:asciiTheme="minorEastAsia" w:eastAsiaTheme="minorEastAsia" w:hAnsiTheme="minorEastAsia" w:cstheme="minorEastAsia" w:hint="eastAsia"/>
                <w:bCs/>
                <w:sz w:val="21"/>
                <w:szCs w:val="21"/>
              </w:rPr>
              <w:t xml:space="preserve"> 钳头应经热处理，硬度为411～504HV0.2</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sz w:val="21"/>
                <w:szCs w:val="21"/>
              </w:rPr>
              <w:t>（投标产品参数应同时包含此范围最大值及最小值）</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vAlign w:val="center"/>
          </w:tcPr>
          <w:p>
            <w:pPr>
              <w:widowControl/>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2</w:t>
            </w:r>
            <w:r>
              <w:rPr>
                <w:rFonts w:asciiTheme="minorEastAsia" w:eastAsiaTheme="minorEastAsia" w:hAnsiTheme="minorEastAsia" w:cstheme="minorEastAsia" w:hint="eastAsia"/>
                <w:bCs/>
                <w:sz w:val="21"/>
                <w:szCs w:val="21"/>
                <w:lang w:val="en-US" w:eastAsia="zh-CN"/>
              </w:rPr>
              <w:t>.</w:t>
            </w:r>
            <w:r>
              <w:rPr>
                <w:rFonts w:asciiTheme="minorEastAsia" w:eastAsiaTheme="minorEastAsia" w:hAnsiTheme="minorEastAsia" w:cstheme="minorEastAsia" w:hint="eastAsia"/>
                <w:bCs/>
                <w:sz w:val="21"/>
                <w:szCs w:val="21"/>
              </w:rPr>
              <w:t xml:space="preserve"> 钳头二片应相互吻合，不得有错口、偏摆现象，钳齿应清晰完整，不得有缺齿、烂齿、毛齿等缺陷，闭合时无过头现象</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vAlign w:val="center"/>
          </w:tcPr>
          <w:p>
            <w:pPr>
              <w:widowControl/>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eastAsia="zh-CN"/>
              </w:rPr>
              <w:t>3.</w:t>
            </w:r>
            <w:r>
              <w:rPr>
                <w:rFonts w:asciiTheme="minorEastAsia" w:eastAsiaTheme="minorEastAsia" w:hAnsiTheme="minorEastAsia" w:cstheme="minorEastAsia" w:hint="eastAsia"/>
                <w:bCs/>
                <w:sz w:val="21"/>
                <w:szCs w:val="21"/>
              </w:rPr>
              <w:t>手术钳钳头的张开度</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35°</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vAlign w:val="center"/>
          </w:tcPr>
          <w:p>
            <w:pPr>
              <w:widowControl/>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lang w:val="en-US" w:eastAsia="zh-CN"/>
              </w:rPr>
              <w:t>4.</w:t>
            </w:r>
            <w:r>
              <w:rPr>
                <w:rFonts w:asciiTheme="minorEastAsia" w:eastAsiaTheme="minorEastAsia" w:hAnsiTheme="minorEastAsia" w:cstheme="minorEastAsia" w:hint="eastAsia"/>
                <w:bCs/>
                <w:sz w:val="21"/>
                <w:szCs w:val="21"/>
              </w:rPr>
              <w:t>钳头部夹持力</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15N</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vAlign w:val="center"/>
          </w:tcPr>
          <w:p>
            <w:pPr>
              <w:widowControl/>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eastAsia="zh-CN"/>
              </w:rPr>
              <w:t>5.</w:t>
            </w:r>
            <w:r>
              <w:rPr>
                <w:rFonts w:asciiTheme="minorEastAsia" w:eastAsiaTheme="minorEastAsia" w:hAnsiTheme="minorEastAsia" w:cstheme="minorEastAsia" w:hint="eastAsia"/>
                <w:bCs/>
                <w:sz w:val="21"/>
                <w:szCs w:val="21"/>
              </w:rPr>
              <w:t>食道镜管及器械的外表面应光滑，杆和管部应平直，其表面粗糙度Ra值为：钳头和钳杆</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0.80μm、其余部位</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1.60μm</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70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vAlign w:val="center"/>
          </w:tcPr>
          <w:p>
            <w:pPr>
              <w:widowControl/>
              <w:spacing w:line="360" w:lineRule="auto"/>
              <w:jc w:val="center"/>
              <w:rPr>
                <w:rFonts w:asciiTheme="minorEastAsia" w:eastAsiaTheme="minorEastAsia" w:hAnsiTheme="minorEastAsia"/>
                <w:kern w:val="0"/>
              </w:rPr>
            </w:pPr>
          </w:p>
        </w:tc>
        <w:tc>
          <w:tcPr>
            <w:tcW w:w="5907"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lang w:val="en-US" w:eastAsia="zh-CN"/>
              </w:rPr>
              <w:t>6.</w:t>
            </w:r>
            <w:r>
              <w:rPr>
                <w:rFonts w:asciiTheme="minorEastAsia" w:eastAsiaTheme="minorEastAsia" w:hAnsiTheme="minorEastAsia" w:cstheme="minorEastAsia" w:hint="eastAsia"/>
                <w:bCs/>
                <w:sz w:val="21"/>
                <w:szCs w:val="21"/>
              </w:rPr>
              <w:t>器械的配合性能要求：食道镜与食道手柄插拔自如，无卡滞现象</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Cs/>
                <w:sz w:val="21"/>
                <w:szCs w:val="21"/>
              </w:rPr>
              <w:t>钳子能顺利插入相应规格型号食道镜内</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restart"/>
            <w:vAlign w:val="center"/>
          </w:tcPr>
          <w:p>
            <w:pPr>
              <w:widowControl/>
              <w:spacing w:line="360" w:lineRule="auto"/>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3</w:t>
            </w:r>
          </w:p>
        </w:tc>
        <w:tc>
          <w:tcPr>
            <w:tcW w:w="1487" w:type="dxa"/>
            <w:vMerge w:val="restart"/>
          </w:tcPr>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pStyle w:val="BodyText"/>
            </w:pPr>
          </w:p>
          <w:p/>
          <w:p>
            <w:pPr>
              <w:widowControl/>
              <w:spacing w:line="360" w:lineRule="auto"/>
              <w:jc w:val="left"/>
              <w:rPr>
                <w:rFonts w:asciiTheme="minorEastAsia" w:eastAsiaTheme="minorEastAsia" w:hAnsiTheme="minorEastAsia" w:cs="宋体"/>
                <w:b/>
                <w:kern w:val="0"/>
              </w:rPr>
            </w:pPr>
            <w:r>
              <w:rPr>
                <w:rFonts w:asciiTheme="minorEastAsia" w:eastAsiaTheme="minorEastAsia" w:hAnsiTheme="minorEastAsia" w:hint="eastAsia"/>
                <w:b/>
              </w:rPr>
              <w:t>纤维支气管镜</w:t>
            </w: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1.软性电子支气管镜工作软管有效长度≥600mm</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b/>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2.▲插入部外径Ø≤5.8mm，先端部外径Ø≤5.8mm</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3.工作通道内径Ø≥2.8mm</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4.前端蛇骨弯曲角度：左右双向≥120°，向上≥180°，向下≥130°；</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5.视野角（FOV）≥120°，视野方向（DOV）直视</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6. ▲景深3mm~100mm</w:t>
            </w:r>
            <w:r>
              <w:rPr>
                <w:rFonts w:asciiTheme="minorEastAsia" w:eastAsiaTheme="minorEastAsia" w:hAnsiTheme="minorEastAsia" w:cstheme="minorEastAsia" w:hint="eastAsia"/>
                <w:b/>
                <w:bCs/>
                <w:sz w:val="21"/>
                <w:szCs w:val="21"/>
              </w:rPr>
              <w:t>（投标产品参数应同时包含此范围最大值及最小值）</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7.前置LED光源，光源寿命≥5000小时，前向内置全密封防水</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8.高功率LED光源光照度≥6000Lux，无频闪效应</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9.高清摄像头，前向内置CMOS高清摄像头,CMOS尺寸≤1.1025mm²</w:t>
            </w:r>
            <w:r>
              <w:rPr>
                <w:rFonts w:asciiTheme="minorEastAsia" w:eastAsiaTheme="minorEastAsia" w:hAnsiTheme="minorEastAsia" w:cstheme="minorEastAsia" w:hint="eastAsia"/>
                <w:bCs/>
                <w:sz w:val="21"/>
                <w:szCs w:val="21"/>
                <w:lang w:eastAsia="zh-CN"/>
              </w:rPr>
              <w:t>；</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10.高清CMOS像素≥400×400，输出≥1080P图像。</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11. 镜体旋转左右双向≥120°，进行支气管镜插入部在腔内自由旋转</w:t>
            </w:r>
          </w:p>
        </w:tc>
      </w:tr>
      <w:tr>
        <w:tblPrEx>
          <w:tblW w:w="8475" w:type="dxa"/>
          <w:tblInd w:w="121" w:type="dxa"/>
          <w:tblLayout w:type="fixed"/>
          <w:tblCellMar>
            <w:top w:w="0" w:type="dxa"/>
            <w:left w:w="108" w:type="dxa"/>
            <w:bottom w:w="0" w:type="dxa"/>
            <w:right w:w="108" w:type="dxa"/>
          </w:tblCellMar>
        </w:tblPrEx>
        <w:trPr>
          <w:trHeight w:val="365"/>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12.镜体手柄弯曲操控部手控半径R≤30mm</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13. ▲操控部手柄遥控按钮≥2个功能按键，可进行</w:t>
            </w:r>
            <w:r>
              <w:rPr>
                <w:rFonts w:asciiTheme="minorEastAsia" w:eastAsiaTheme="minorEastAsia" w:hAnsiTheme="minorEastAsia" w:cstheme="minorEastAsia" w:hint="eastAsia"/>
                <w:sz w:val="21"/>
                <w:szCs w:val="21"/>
                <w:lang w:eastAsia="zh-CN"/>
              </w:rPr>
              <w:t>包含但不限于</w:t>
            </w:r>
            <w:r>
              <w:rPr>
                <w:rFonts w:asciiTheme="minorEastAsia" w:eastAsiaTheme="minorEastAsia" w:hAnsiTheme="minorEastAsia" w:cstheme="minorEastAsia" w:hint="eastAsia"/>
                <w:sz w:val="21"/>
                <w:szCs w:val="21"/>
              </w:rPr>
              <w:t>图像摄录，图像冻结，解除冻结，图像放大等预设功能。</w:t>
            </w:r>
            <w:r>
              <w:rPr>
                <w:rFonts w:asciiTheme="minorEastAsia" w:eastAsiaTheme="minorEastAsia" w:hAnsiTheme="minorEastAsia" w:cstheme="minorEastAsia" w:hint="eastAsia"/>
                <w:b/>
                <w:bCs/>
                <w:color w:val="FF0000"/>
                <w:sz w:val="21"/>
                <w:szCs w:val="21"/>
              </w:rPr>
              <w:t>（提供产品彩页或说明书或技术白皮书证明材料）</w:t>
            </w:r>
          </w:p>
        </w:tc>
      </w:tr>
      <w:tr>
        <w:tblPrEx>
          <w:tblW w:w="8475" w:type="dxa"/>
          <w:tblInd w:w="121" w:type="dxa"/>
          <w:tblLayout w:type="fixed"/>
          <w:tblCellMar>
            <w:top w:w="0" w:type="dxa"/>
            <w:left w:w="108" w:type="dxa"/>
            <w:bottom w:w="0" w:type="dxa"/>
            <w:right w:w="108" w:type="dxa"/>
          </w:tblCellMar>
        </w:tblPrEx>
        <w:trPr>
          <w:trHeight w:val="450"/>
        </w:trPr>
        <w:tc>
          <w:tcPr>
            <w:tcW w:w="1081" w:type="dxa"/>
            <w:vMerge/>
            <w:vAlign w:val="center"/>
          </w:tcPr>
          <w:p>
            <w:pPr>
              <w:widowControl/>
              <w:spacing w:line="360" w:lineRule="auto"/>
              <w:jc w:val="center"/>
              <w:rPr>
                <w:rFonts w:asciiTheme="minorEastAsia" w:eastAsiaTheme="minorEastAsia" w:hAnsiTheme="minorEastAsia" w:cs="宋体"/>
                <w:b/>
                <w:kern w:val="0"/>
              </w:rPr>
            </w:pPr>
          </w:p>
        </w:tc>
        <w:tc>
          <w:tcPr>
            <w:tcW w:w="1487" w:type="dxa"/>
            <w:vMerge/>
          </w:tcPr>
          <w:p>
            <w:pPr>
              <w:widowControl/>
              <w:spacing w:line="360" w:lineRule="auto"/>
              <w:jc w:val="left"/>
              <w:rPr>
                <w:rFonts w:asciiTheme="minorEastAsia" w:eastAsiaTheme="minorEastAsia" w:hAnsiTheme="minorEastAsia" w:cs="宋体"/>
                <w:b/>
                <w:kern w:val="0"/>
              </w:rPr>
            </w:pPr>
          </w:p>
        </w:tc>
        <w:tc>
          <w:tcPr>
            <w:tcW w:w="5907"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14. ▲功能按键的图像缩放功能≥4种，缩小放大效果，在原默认国际标准图像（2.0倍）基础上，包含但不限于缩小至1.5倍，1.0倍，放大2.5倍，3.0倍。</w:t>
            </w:r>
            <w:r>
              <w:rPr>
                <w:rFonts w:asciiTheme="minorEastAsia" w:eastAsiaTheme="minorEastAsia" w:hAnsiTheme="minorEastAsia" w:cstheme="minorEastAsia" w:hint="eastAsia"/>
                <w:b/>
                <w:bCs/>
                <w:color w:val="FF0000"/>
                <w:sz w:val="21"/>
                <w:szCs w:val="21"/>
              </w:rPr>
              <w:t>（提供产品彩页或说明书或技术白皮书证明材料）</w:t>
            </w:r>
          </w:p>
        </w:tc>
      </w:tr>
    </w:tbl>
    <w:p>
      <w:pPr>
        <w:pStyle w:val="Heading2"/>
        <w:spacing w:line="360" w:lineRule="auto"/>
        <w:jc w:val="left"/>
        <w:rPr>
          <w:rFonts w:ascii="宋体" w:hAnsi="宋体" w:cs="宋体"/>
          <w:b/>
          <w:bCs/>
          <w:sz w:val="28"/>
          <w:szCs w:val="28"/>
        </w:rPr>
      </w:pPr>
    </w:p>
    <w:p>
      <w:pPr>
        <w:pStyle w:val="Heading2"/>
        <w:spacing w:line="360" w:lineRule="auto"/>
        <w:jc w:val="left"/>
        <w:rPr>
          <w:rFonts w:ascii="宋体" w:hAnsi="宋体" w:cs="宋体"/>
          <w:b/>
          <w:bCs/>
          <w:sz w:val="28"/>
          <w:szCs w:val="28"/>
        </w:rPr>
      </w:pPr>
      <w:r>
        <w:rPr>
          <w:rFonts w:ascii="宋体" w:hAnsi="宋体" w:cs="宋体" w:hint="eastAsia"/>
          <w:b/>
          <w:bCs/>
          <w:sz w:val="28"/>
          <w:szCs w:val="28"/>
        </w:rPr>
        <w:t>五、商务要求</w:t>
      </w:r>
    </w:p>
    <w:p>
      <w:pPr>
        <w:spacing w:line="360" w:lineRule="auto"/>
        <w:rPr>
          <w:rFonts w:ascii="宋体" w:hAnsi="宋体" w:cs="宋体"/>
          <w:b/>
        </w:rPr>
      </w:pPr>
      <w:r>
        <w:rPr>
          <w:rFonts w:ascii="宋体" w:hAnsi="宋体" w:cs="宋体" w:hint="eastAsia"/>
          <w:b/>
          <w:szCs w:val="21"/>
        </w:rPr>
        <w:t>说明：</w:t>
      </w:r>
      <w:r>
        <w:rPr>
          <w:rFonts w:ascii="宋体" w:hAnsi="宋体" w:cs="宋体" w:hint="eastAsia"/>
          <w:b/>
        </w:rPr>
        <w:t>1、评分时，如对一项招标商务要求（以划分框为准）中的内容存在两处（或以上）负偏离的，在评分时只作一项负偏离扣分。</w:t>
      </w:r>
    </w:p>
    <w:p>
      <w:pPr>
        <w:spacing w:line="360" w:lineRule="auto"/>
        <w:rPr>
          <w:rFonts w:ascii="宋体" w:hAnsi="宋体" w:cs="宋体"/>
          <w:b/>
          <w:szCs w:val="21"/>
        </w:rPr>
      </w:pPr>
      <w:r>
        <w:rPr>
          <w:rFonts w:ascii="宋体" w:hAnsi="宋体" w:cs="宋体" w:hint="eastAsia"/>
          <w:b/>
          <w:szCs w:val="21"/>
        </w:rPr>
        <w:t>2、带“★”指标项为实质性条款，如出现负偏离，将被视为未实质性满足招标文件要求作投标无效处理；带“</w:t>
      </w:r>
      <w:r>
        <w:rPr>
          <w:rFonts w:ascii="宋体" w:hAnsi="宋体" w:cs="宋体" w:hint="eastAsia"/>
        </w:rPr>
        <w:t>▲</w:t>
      </w:r>
      <w:r>
        <w:rPr>
          <w:rFonts w:ascii="宋体" w:hAnsi="宋体" w:cs="宋体" w:hint="eastAsia"/>
          <w:b/>
          <w:szCs w:val="21"/>
        </w:rPr>
        <w:t>”指标项为重要参数，负偏离时依相关评分准则内容作重点扣分处理。</w:t>
      </w:r>
    </w:p>
    <w:tbl>
      <w:tblPr>
        <w:tblStyle w:val="TableNormal"/>
        <w:tblW w:w="907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2"/>
        <w:gridCol w:w="1296"/>
        <w:gridCol w:w="6893"/>
      </w:tblGrid>
      <w:tr>
        <w:tblPrEx>
          <w:tblW w:w="907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67"/>
          <w:jc w:val="center"/>
        </w:trPr>
        <w:tc>
          <w:tcPr>
            <w:tcW w:w="882"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序号</w:t>
            </w:r>
          </w:p>
        </w:tc>
        <w:tc>
          <w:tcPr>
            <w:tcW w:w="1296" w:type="dxa"/>
            <w:tcBorders>
              <w:top w:val="single" w:sz="4" w:space="0" w:color="auto"/>
              <w:left w:val="nil"/>
              <w:bottom w:val="single" w:sz="4" w:space="0" w:color="auto"/>
              <w:right w:val="single" w:sz="4" w:space="0" w:color="auto"/>
            </w:tcBorders>
            <w:vAlign w:val="center"/>
          </w:tcPr>
          <w:p>
            <w:pPr>
              <w:jc w:val="center"/>
              <w:rPr>
                <w:rFonts w:ascii="宋体" w:hAnsi="宋体"/>
                <w:b/>
                <w:bCs/>
              </w:rPr>
            </w:pPr>
            <w:r>
              <w:rPr>
                <w:rFonts w:ascii="宋体" w:hAnsi="宋体" w:hint="eastAsia"/>
                <w:b/>
                <w:bCs/>
              </w:rPr>
              <w:t>目录</w:t>
            </w:r>
          </w:p>
        </w:tc>
        <w:tc>
          <w:tcPr>
            <w:tcW w:w="6893" w:type="dxa"/>
            <w:tcBorders>
              <w:top w:val="single" w:sz="4" w:space="0" w:color="auto"/>
              <w:left w:val="nil"/>
              <w:bottom w:val="single" w:sz="4" w:space="0" w:color="auto"/>
              <w:right w:val="single" w:sz="4" w:space="0" w:color="auto"/>
            </w:tcBorders>
            <w:vAlign w:val="center"/>
          </w:tcPr>
          <w:p>
            <w:pPr>
              <w:jc w:val="center"/>
              <w:rPr>
                <w:rFonts w:ascii="宋体" w:hAnsi="宋体"/>
                <w:b/>
                <w:bCs/>
              </w:rPr>
            </w:pPr>
            <w:r>
              <w:rPr>
                <w:rFonts w:ascii="宋体" w:hAnsi="宋体" w:hint="eastAsia"/>
                <w:b/>
                <w:bCs/>
              </w:rPr>
              <w:t>商务要求</w:t>
            </w:r>
          </w:p>
        </w:tc>
      </w:tr>
      <w:tr>
        <w:tblPrEx>
          <w:tblW w:w="9071" w:type="dxa"/>
          <w:jc w:val="center"/>
          <w:tblInd w:w="0" w:type="dxa"/>
          <w:tblLayout w:type="fixed"/>
          <w:tblCellMar>
            <w:top w:w="0" w:type="dxa"/>
            <w:left w:w="108" w:type="dxa"/>
            <w:bottom w:w="0" w:type="dxa"/>
            <w:right w:w="108" w:type="dxa"/>
          </w:tblCellMar>
        </w:tblPrEx>
        <w:trPr>
          <w:trHeight w:val="454"/>
          <w:jc w:val="center"/>
        </w:trPr>
        <w:tc>
          <w:tcPr>
            <w:tcW w:w="9071" w:type="dxa"/>
            <w:gridSpan w:val="3"/>
            <w:tcBorders>
              <w:top w:val="single" w:sz="4" w:space="0" w:color="auto"/>
              <w:left w:val="single" w:sz="4" w:space="0" w:color="auto"/>
              <w:bottom w:val="single" w:sz="4" w:space="0" w:color="auto"/>
              <w:right w:val="single" w:sz="4" w:space="0" w:color="auto"/>
            </w:tcBorders>
            <w:vAlign w:val="center"/>
          </w:tcPr>
          <w:p>
            <w:pPr>
              <w:rPr>
                <w:rFonts w:ascii="宋体" w:hAnsi="宋体"/>
                <w:b/>
                <w:bCs/>
              </w:rPr>
            </w:pPr>
            <w:r>
              <w:rPr>
                <w:rFonts w:ascii="宋体" w:hAnsi="宋体" w:hint="eastAsia"/>
                <w:b/>
                <w:bCs/>
              </w:rPr>
              <w:t>（一）免费保修期内售后服务要求</w:t>
            </w:r>
          </w:p>
        </w:tc>
      </w:tr>
      <w:tr>
        <w:tblPrEx>
          <w:tblW w:w="9071" w:type="dxa"/>
          <w:jc w:val="center"/>
          <w:tblInd w:w="0" w:type="dxa"/>
          <w:tblLayout w:type="fixed"/>
          <w:tblCellMar>
            <w:top w:w="0" w:type="dxa"/>
            <w:left w:w="108" w:type="dxa"/>
            <w:bottom w:w="0" w:type="dxa"/>
            <w:right w:w="108" w:type="dxa"/>
          </w:tblCellMar>
        </w:tblPrEx>
        <w:trPr>
          <w:trHeight w:val="770"/>
          <w:jc w:val="center"/>
        </w:trPr>
        <w:tc>
          <w:tcPr>
            <w:tcW w:w="882" w:type="dxa"/>
            <w:vMerge w:val="restart"/>
            <w:tcBorders>
              <w:top w:val="nil"/>
              <w:left w:val="single" w:sz="4" w:space="0" w:color="auto"/>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rPr>
              <w:t>1</w:t>
            </w:r>
          </w:p>
        </w:tc>
        <w:tc>
          <w:tcPr>
            <w:tcW w:w="1296" w:type="dxa"/>
            <w:vMerge w:val="restart"/>
            <w:tcBorders>
              <w:top w:val="single" w:sz="4" w:space="0" w:color="auto"/>
              <w:left w:val="nil"/>
              <w:bottom w:val="single" w:sz="4" w:space="0" w:color="auto"/>
              <w:right w:val="single" w:sz="4" w:space="0" w:color="auto"/>
            </w:tcBorders>
            <w:vAlign w:val="center"/>
          </w:tcPr>
          <w:p>
            <w:pPr>
              <w:spacing w:line="300" w:lineRule="exact"/>
              <w:jc w:val="center"/>
              <w:rPr>
                <w:rFonts w:ascii="宋体" w:hAnsi="宋体"/>
              </w:rPr>
            </w:pPr>
            <w:r>
              <w:rPr>
                <w:rFonts w:ascii="宋体" w:hAnsi="宋体" w:hint="eastAsia"/>
                <w:b/>
                <w:bCs/>
                <w:kern w:val="0"/>
              </w:rPr>
              <w:t>维修及维护服务</w:t>
            </w: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b/>
                <w:bCs/>
              </w:rPr>
            </w:pPr>
            <w:r>
              <w:rPr>
                <w:rFonts w:ascii="宋体" w:hAnsi="宋体" w:hint="eastAsia"/>
                <w:color w:val="FF0000"/>
              </w:rPr>
              <w:t>★</w:t>
            </w:r>
            <w:r>
              <w:rPr>
                <w:rFonts w:ascii="宋体" w:hAnsi="宋体" w:hint="eastAsia"/>
                <w:b/>
                <w:bCs/>
                <w:color w:val="FF0000"/>
              </w:rPr>
              <w:t>1.1各投标人承诺提供主机及配件和易耗品的免费保修期≥</w:t>
            </w:r>
            <w:r>
              <w:rPr>
                <w:rFonts w:ascii="宋体" w:hAnsi="宋体" w:cs="宋体" w:hint="eastAsia"/>
                <w:b/>
                <w:bCs/>
                <w:color w:val="FF0000"/>
                <w:kern w:val="0"/>
                <w:u w:val="single"/>
              </w:rPr>
              <w:t xml:space="preserve"> 2  </w:t>
            </w:r>
            <w:r>
              <w:rPr>
                <w:rFonts w:ascii="宋体" w:hAnsi="宋体" w:cs="宋体" w:hint="eastAsia"/>
                <w:b/>
                <w:bCs/>
                <w:color w:val="FF0000"/>
                <w:kern w:val="0"/>
              </w:rPr>
              <w:t>年，保修期以验收合格，双方代表签署“性能验收报告”之日起计算。</w:t>
            </w:r>
          </w:p>
        </w:tc>
      </w:tr>
      <w:tr>
        <w:tblPrEx>
          <w:tblW w:w="9071" w:type="dxa"/>
          <w:jc w:val="center"/>
          <w:tblInd w:w="0" w:type="dxa"/>
          <w:tblLayout w:type="fixed"/>
          <w:tblCellMar>
            <w:top w:w="0" w:type="dxa"/>
            <w:left w:w="108" w:type="dxa"/>
            <w:bottom w:w="0" w:type="dxa"/>
            <w:right w:w="108" w:type="dxa"/>
          </w:tblCellMar>
        </w:tblPrEx>
        <w:trPr>
          <w:trHeight w:val="250"/>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kern w:val="0"/>
              </w:rPr>
              <w:t>1.2由生产厂家提供售后服务，</w:t>
            </w:r>
            <w:r>
              <w:rPr>
                <w:rFonts w:ascii="宋体" w:hAnsi="宋体" w:hint="eastAsia"/>
                <w:kern w:val="0"/>
                <w:u w:val="single"/>
              </w:rPr>
              <w:t xml:space="preserve">  2  </w:t>
            </w:r>
            <w:r>
              <w:rPr>
                <w:rFonts w:ascii="宋体" w:hAnsi="宋体" w:hint="eastAsia"/>
                <w:kern w:val="0"/>
              </w:rPr>
              <w:t>小时内响应，</w:t>
            </w:r>
            <w:r>
              <w:rPr>
                <w:rFonts w:ascii="宋体" w:hAnsi="宋体" w:hint="eastAsia"/>
                <w:kern w:val="0"/>
                <w:u w:val="single"/>
              </w:rPr>
              <w:t xml:space="preserve">  24  </w:t>
            </w:r>
            <w:r>
              <w:rPr>
                <w:rFonts w:ascii="宋体" w:hAnsi="宋体" w:hint="eastAsia"/>
                <w:kern w:val="0"/>
              </w:rPr>
              <w:t>小时维修到位。消耗品和零配件供应及时，特殊情况下可提供备用机。</w:t>
            </w:r>
          </w:p>
        </w:tc>
      </w:tr>
      <w:tr>
        <w:tblPrEx>
          <w:tblW w:w="9071" w:type="dxa"/>
          <w:jc w:val="center"/>
          <w:tblInd w:w="0" w:type="dxa"/>
          <w:tblLayout w:type="fixed"/>
          <w:tblCellMar>
            <w:top w:w="0" w:type="dxa"/>
            <w:left w:w="108" w:type="dxa"/>
            <w:bottom w:w="0" w:type="dxa"/>
            <w:right w:w="108" w:type="dxa"/>
          </w:tblCellMar>
        </w:tblPrEx>
        <w:trPr>
          <w:trHeight w:val="506"/>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kern w:val="0"/>
              </w:rPr>
              <w:t>1.3保修期内，生产厂家每年最少提供</w:t>
            </w:r>
            <w:r>
              <w:rPr>
                <w:rFonts w:ascii="宋体" w:hAnsi="宋体" w:hint="eastAsia"/>
                <w:kern w:val="0"/>
                <w:u w:val="single"/>
              </w:rPr>
              <w:t xml:space="preserve"> </w:t>
            </w:r>
            <w:r>
              <w:rPr>
                <w:rFonts w:ascii="宋体" w:hAnsi="宋体"/>
                <w:kern w:val="0"/>
                <w:u w:val="single"/>
              </w:rPr>
              <w:t>4</w:t>
            </w:r>
            <w:r>
              <w:rPr>
                <w:rFonts w:ascii="宋体" w:hAnsi="宋体" w:hint="eastAsia"/>
                <w:kern w:val="0"/>
                <w:u w:val="single"/>
              </w:rPr>
              <w:t xml:space="preserve"> </w:t>
            </w:r>
            <w:r>
              <w:rPr>
                <w:rFonts w:ascii="宋体" w:hAnsi="宋体" w:hint="eastAsia"/>
                <w:kern w:val="0"/>
              </w:rPr>
              <w:t>次免费保养，执行QA，按照厂家标准进行调校，以及对数据库或软件等进行清理和备份，确认各项技术指标及性能，保养中需更换的损耗品由生产厂家免费提供。</w:t>
            </w:r>
          </w:p>
        </w:tc>
      </w:tr>
      <w:tr>
        <w:tblPrEx>
          <w:tblW w:w="9071" w:type="dxa"/>
          <w:jc w:val="center"/>
          <w:tblInd w:w="0" w:type="dxa"/>
          <w:tblLayout w:type="fixed"/>
          <w:tblCellMar>
            <w:top w:w="0" w:type="dxa"/>
            <w:left w:w="108" w:type="dxa"/>
            <w:bottom w:w="0" w:type="dxa"/>
            <w:right w:w="108" w:type="dxa"/>
          </w:tblCellMar>
        </w:tblPrEx>
        <w:trPr>
          <w:trHeight w:val="402"/>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kern w:val="0"/>
              </w:rPr>
              <w:t>1.4保修期内，设备主机及配件免费维修、免费更换、免工时费，并免费提供软件升级。</w:t>
            </w:r>
          </w:p>
        </w:tc>
      </w:tr>
      <w:tr>
        <w:tblPrEx>
          <w:tblW w:w="9071" w:type="dxa"/>
          <w:jc w:val="center"/>
          <w:tblInd w:w="0" w:type="dxa"/>
          <w:tblLayout w:type="fixed"/>
          <w:tblCellMar>
            <w:top w:w="0" w:type="dxa"/>
            <w:left w:w="108" w:type="dxa"/>
            <w:bottom w:w="0" w:type="dxa"/>
            <w:right w:w="108" w:type="dxa"/>
          </w:tblCellMar>
        </w:tblPrEx>
        <w:trPr>
          <w:trHeight w:val="306"/>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kern w:val="0"/>
              </w:rPr>
              <w:t>1.5保修期内，由投标人免费提供该设备与医院PACS、HIS的数据接口服务，次数不限。</w:t>
            </w:r>
          </w:p>
        </w:tc>
      </w:tr>
      <w:tr>
        <w:tblPrEx>
          <w:tblW w:w="9071" w:type="dxa"/>
          <w:jc w:val="center"/>
          <w:tblInd w:w="0" w:type="dxa"/>
          <w:tblLayout w:type="fixed"/>
          <w:tblCellMar>
            <w:top w:w="0" w:type="dxa"/>
            <w:left w:w="108" w:type="dxa"/>
            <w:bottom w:w="0" w:type="dxa"/>
            <w:right w:w="108" w:type="dxa"/>
          </w:tblCellMar>
        </w:tblPrEx>
        <w:trPr>
          <w:trHeight w:val="1050"/>
          <w:jc w:val="center"/>
        </w:trPr>
        <w:tc>
          <w:tcPr>
            <w:tcW w:w="882"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rPr>
              <w:t>2</w:t>
            </w:r>
          </w:p>
        </w:tc>
        <w:tc>
          <w:tcPr>
            <w:tcW w:w="1296" w:type="dxa"/>
            <w:tcBorders>
              <w:top w:val="single" w:sz="4" w:space="0" w:color="auto"/>
              <w:left w:val="nil"/>
              <w:bottom w:val="single" w:sz="4" w:space="0" w:color="auto"/>
              <w:right w:val="single" w:sz="4" w:space="0" w:color="auto"/>
            </w:tcBorders>
            <w:vAlign w:val="center"/>
          </w:tcPr>
          <w:p>
            <w:pPr>
              <w:spacing w:line="300" w:lineRule="exact"/>
              <w:jc w:val="center"/>
              <w:rPr>
                <w:rFonts w:ascii="宋体" w:hAnsi="宋体"/>
              </w:rPr>
            </w:pPr>
            <w:r>
              <w:rPr>
                <w:rFonts w:ascii="宋体" w:hAnsi="宋体" w:hint="eastAsia"/>
                <w:b/>
                <w:bCs/>
                <w:kern w:val="0"/>
              </w:rPr>
              <w:t>质量保证</w:t>
            </w: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kern w:val="0"/>
              </w:rPr>
              <w:t>2.1在保修期内，投标人保证设备的年开机率≥95%；若不能达到此开机率，将作以下处理：（1）年开机率在≥90%～＜95%之间按一赔二年延长保修期；（2）年开机率在≥85%～＜90%之间按一赔五年延长保修期；（3）开机率低于＜85%，供应商应无条件更换新机，并重新计算保修期，以及赔偿用户的直接经济损失和间接经济损失。注：年开机率=(365-停机天数)/365。</w:t>
            </w:r>
          </w:p>
        </w:tc>
      </w:tr>
      <w:tr>
        <w:tblPrEx>
          <w:tblW w:w="9071" w:type="dxa"/>
          <w:jc w:val="center"/>
          <w:tblInd w:w="0" w:type="dxa"/>
          <w:tblLayout w:type="fixed"/>
          <w:tblCellMar>
            <w:top w:w="0" w:type="dxa"/>
            <w:left w:w="108" w:type="dxa"/>
            <w:bottom w:w="0" w:type="dxa"/>
            <w:right w:w="108" w:type="dxa"/>
          </w:tblCellMar>
        </w:tblPrEx>
        <w:trPr>
          <w:trHeight w:val="454"/>
          <w:jc w:val="center"/>
        </w:trPr>
        <w:tc>
          <w:tcPr>
            <w:tcW w:w="9071"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rPr>
                <w:rFonts w:ascii="宋体" w:hAnsi="宋体"/>
                <w:b/>
                <w:bCs/>
              </w:rPr>
            </w:pPr>
            <w:r>
              <w:rPr>
                <w:rFonts w:ascii="宋体" w:hAnsi="宋体" w:hint="eastAsia"/>
                <w:b/>
                <w:bCs/>
              </w:rPr>
              <w:t>（二）免费保修期外售后服务要求</w:t>
            </w:r>
          </w:p>
        </w:tc>
      </w:tr>
      <w:tr>
        <w:tblPrEx>
          <w:tblW w:w="9071" w:type="dxa"/>
          <w:jc w:val="center"/>
          <w:tblInd w:w="0" w:type="dxa"/>
          <w:tblLayout w:type="fixed"/>
          <w:tblCellMar>
            <w:top w:w="0" w:type="dxa"/>
            <w:left w:w="108" w:type="dxa"/>
            <w:bottom w:w="0" w:type="dxa"/>
            <w:right w:w="108" w:type="dxa"/>
          </w:tblCellMar>
        </w:tblPrEx>
        <w:trPr>
          <w:trHeight w:val="340"/>
          <w:jc w:val="center"/>
        </w:trPr>
        <w:tc>
          <w:tcPr>
            <w:tcW w:w="882" w:type="dxa"/>
            <w:vMerge w:val="restart"/>
            <w:tcBorders>
              <w:top w:val="nil"/>
              <w:left w:val="single" w:sz="4" w:space="0" w:color="auto"/>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rPr>
              <w:t>1</w:t>
            </w:r>
          </w:p>
        </w:tc>
        <w:tc>
          <w:tcPr>
            <w:tcW w:w="1296" w:type="dxa"/>
            <w:vMerge w:val="restart"/>
            <w:tcBorders>
              <w:top w:val="single" w:sz="4" w:space="0" w:color="auto"/>
              <w:left w:val="nil"/>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kern w:val="0"/>
              </w:rPr>
              <w:t>维修服务和优惠价格</w:t>
            </w: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rPr>
              <w:t>1.1由生产厂家提供售后服务，</w:t>
            </w:r>
            <w:r>
              <w:rPr>
                <w:rFonts w:ascii="宋体" w:hAnsi="宋体" w:hint="eastAsia"/>
                <w:kern w:val="0"/>
                <w:u w:val="single"/>
              </w:rPr>
              <w:t xml:space="preserve">  2  </w:t>
            </w:r>
            <w:r>
              <w:rPr>
                <w:rFonts w:ascii="宋体" w:hAnsi="宋体" w:hint="eastAsia"/>
                <w:kern w:val="0"/>
              </w:rPr>
              <w:t>小时内响应，</w:t>
            </w:r>
            <w:r>
              <w:rPr>
                <w:rFonts w:ascii="宋体" w:hAnsi="宋体" w:hint="eastAsia"/>
                <w:kern w:val="0"/>
                <w:u w:val="single"/>
              </w:rPr>
              <w:t xml:space="preserve">  24  </w:t>
            </w:r>
            <w:r>
              <w:rPr>
                <w:rFonts w:ascii="宋体" w:hAnsi="宋体" w:hint="eastAsia"/>
                <w:kern w:val="0"/>
              </w:rPr>
              <w:t>小时维修到位。消耗品和零配件供应及时，特殊情况下可提供备用机。</w:t>
            </w:r>
          </w:p>
        </w:tc>
      </w:tr>
      <w:tr>
        <w:tblPrEx>
          <w:tblW w:w="9071" w:type="dxa"/>
          <w:jc w:val="center"/>
          <w:tblInd w:w="0" w:type="dxa"/>
          <w:tblLayout w:type="fixed"/>
          <w:tblCellMar>
            <w:top w:w="0" w:type="dxa"/>
            <w:left w:w="108" w:type="dxa"/>
            <w:bottom w:w="0" w:type="dxa"/>
            <w:right w:w="108" w:type="dxa"/>
          </w:tblCellMar>
        </w:tblPrEx>
        <w:trPr>
          <w:trHeight w:val="370"/>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1.2</w:t>
            </w:r>
            <w:r>
              <w:rPr>
                <w:rFonts w:ascii="宋体" w:hAnsi="宋体" w:hint="eastAsia"/>
                <w:color w:val="000000"/>
              </w:rPr>
              <w:t>终身维修，保修期满后，生产厂家对用户进行的售后服务只收更换部件的成本费，提供</w:t>
            </w:r>
            <w:r>
              <w:rPr>
                <w:rFonts w:ascii="宋体" w:hAnsi="宋体" w:hint="eastAsia"/>
                <w:kern w:val="0"/>
              </w:rPr>
              <w:t>维修零配件、消耗品</w:t>
            </w:r>
            <w:r>
              <w:rPr>
                <w:rFonts w:ascii="宋体" w:hAnsi="宋体" w:hint="eastAsia"/>
                <w:color w:val="000000"/>
              </w:rPr>
              <w:t>优惠价格。</w:t>
            </w:r>
          </w:p>
        </w:tc>
      </w:tr>
      <w:tr>
        <w:tblPrEx>
          <w:tblW w:w="9071" w:type="dxa"/>
          <w:jc w:val="center"/>
          <w:tblInd w:w="0" w:type="dxa"/>
          <w:tblLayout w:type="fixed"/>
          <w:tblCellMar>
            <w:top w:w="0" w:type="dxa"/>
            <w:left w:w="108" w:type="dxa"/>
            <w:bottom w:w="0" w:type="dxa"/>
            <w:right w:w="108" w:type="dxa"/>
          </w:tblCellMar>
        </w:tblPrEx>
        <w:trPr>
          <w:trHeight w:val="374"/>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1.3采购人可与投标人就优惠价进行谈判，但优惠价不得高于投标人在投标文件中承诺的</w:t>
            </w:r>
            <w:r>
              <w:rPr>
                <w:rFonts w:ascii="宋体" w:hAnsi="宋体" w:hint="eastAsia"/>
                <w:kern w:val="0"/>
              </w:rPr>
              <w:t>消耗品、零配件</w:t>
            </w:r>
            <w:r>
              <w:rPr>
                <w:rFonts w:ascii="宋体" w:hAnsi="宋体" w:hint="eastAsia"/>
              </w:rPr>
              <w:t>报价。</w:t>
            </w:r>
          </w:p>
        </w:tc>
      </w:tr>
      <w:tr>
        <w:tblPrEx>
          <w:tblW w:w="9071" w:type="dxa"/>
          <w:jc w:val="center"/>
          <w:tblInd w:w="0" w:type="dxa"/>
          <w:tblLayout w:type="fixed"/>
          <w:tblCellMar>
            <w:top w:w="0" w:type="dxa"/>
            <w:left w:w="108" w:type="dxa"/>
            <w:bottom w:w="0" w:type="dxa"/>
            <w:right w:w="108" w:type="dxa"/>
          </w:tblCellMar>
        </w:tblPrEx>
        <w:trPr>
          <w:trHeight w:val="258"/>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1.4生产厂家维修的货物经采购人验收合格，且厂家提供维修专用发票后，采购人支付维修费用。</w:t>
            </w:r>
          </w:p>
        </w:tc>
      </w:tr>
      <w:tr>
        <w:tblPrEx>
          <w:tblW w:w="9071" w:type="dxa"/>
          <w:jc w:val="center"/>
          <w:tblInd w:w="0" w:type="dxa"/>
          <w:tblLayout w:type="fixed"/>
          <w:tblCellMar>
            <w:top w:w="0" w:type="dxa"/>
            <w:left w:w="108" w:type="dxa"/>
            <w:bottom w:w="0" w:type="dxa"/>
            <w:right w:w="108" w:type="dxa"/>
          </w:tblCellMar>
        </w:tblPrEx>
        <w:trPr>
          <w:trHeight w:val="898"/>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6893"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1.5投标人及生产厂家不得以任何理由不按时进行维修，不得要求采购人购买所谓“保修服务”（即：不论设备有无故障，先买保修服务），不得在设备中嵌设任何不利于采购人使用与维修设备的障碍。</w:t>
            </w:r>
          </w:p>
        </w:tc>
      </w:tr>
      <w:tr>
        <w:tblPrEx>
          <w:tblW w:w="9071" w:type="dxa"/>
          <w:jc w:val="center"/>
          <w:tblInd w:w="0" w:type="dxa"/>
          <w:tblLayout w:type="fixed"/>
          <w:tblCellMar>
            <w:top w:w="0" w:type="dxa"/>
            <w:left w:w="108" w:type="dxa"/>
            <w:bottom w:w="0" w:type="dxa"/>
            <w:right w:w="108" w:type="dxa"/>
          </w:tblCellMar>
        </w:tblPrEx>
        <w:trPr>
          <w:trHeight w:val="454"/>
          <w:jc w:val="center"/>
        </w:trPr>
        <w:tc>
          <w:tcPr>
            <w:tcW w:w="9071" w:type="dxa"/>
            <w:gridSpan w:val="3"/>
            <w:tcBorders>
              <w:top w:val="single" w:sz="4" w:space="0" w:color="auto"/>
              <w:left w:val="single" w:sz="4" w:space="0" w:color="auto"/>
              <w:bottom w:val="single" w:sz="4" w:space="0" w:color="auto"/>
              <w:right w:val="single" w:sz="4" w:space="0" w:color="auto"/>
            </w:tcBorders>
            <w:vAlign w:val="center"/>
          </w:tcPr>
          <w:p>
            <w:pPr>
              <w:rPr>
                <w:rFonts w:ascii="宋体" w:hAnsi="宋体"/>
                <w:b/>
                <w:bCs/>
              </w:rPr>
            </w:pPr>
            <w:r>
              <w:rPr>
                <w:rFonts w:ascii="宋体" w:hAnsi="宋体" w:hint="eastAsia"/>
                <w:b/>
                <w:bCs/>
              </w:rPr>
              <w:t>（三）其他商务要求</w:t>
            </w:r>
          </w:p>
        </w:tc>
      </w:tr>
      <w:tr>
        <w:tblPrEx>
          <w:tblW w:w="9071" w:type="dxa"/>
          <w:jc w:val="center"/>
          <w:tblInd w:w="0" w:type="dxa"/>
          <w:tblLayout w:type="fixed"/>
          <w:tblCellMar>
            <w:top w:w="0" w:type="dxa"/>
            <w:left w:w="108" w:type="dxa"/>
            <w:bottom w:w="0" w:type="dxa"/>
            <w:right w:w="108" w:type="dxa"/>
          </w:tblCellMar>
        </w:tblPrEx>
        <w:trPr>
          <w:trHeight w:val="117"/>
          <w:jc w:val="center"/>
        </w:trPr>
        <w:tc>
          <w:tcPr>
            <w:tcW w:w="882" w:type="dxa"/>
            <w:vMerge w:val="restart"/>
            <w:tcBorders>
              <w:top w:val="nil"/>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1</w:t>
            </w:r>
          </w:p>
        </w:tc>
        <w:tc>
          <w:tcPr>
            <w:tcW w:w="1296" w:type="dxa"/>
            <w:vMerge w:val="restart"/>
            <w:tcBorders>
              <w:top w:val="single" w:sz="4" w:space="0" w:color="auto"/>
              <w:left w:val="nil"/>
              <w:bottom w:val="single" w:sz="4" w:space="0" w:color="auto"/>
              <w:right w:val="single" w:sz="4" w:space="0" w:color="auto"/>
            </w:tcBorders>
            <w:vAlign w:val="center"/>
          </w:tcPr>
          <w:p>
            <w:pPr>
              <w:jc w:val="center"/>
              <w:rPr>
                <w:rFonts w:ascii="宋体" w:hAnsi="宋体"/>
              </w:rPr>
            </w:pPr>
            <w:r>
              <w:rPr>
                <w:rFonts w:ascii="宋体" w:hAnsi="宋体" w:hint="eastAsia"/>
                <w:b/>
                <w:bCs/>
              </w:rPr>
              <w:t>交货要求</w:t>
            </w: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b/>
                <w:bCs/>
              </w:rPr>
            </w:pPr>
            <w:r>
              <w:rPr>
                <w:rFonts w:ascii="宋体" w:hAnsi="宋体" w:hint="eastAsia"/>
                <w:b/>
                <w:bCs/>
                <w:color w:val="FF0000"/>
              </w:rPr>
              <w:t>★1.1</w:t>
            </w:r>
            <w:r>
              <w:rPr>
                <w:rFonts w:ascii="宋体" w:hAnsi="宋体" w:hint="eastAsia"/>
                <w:b/>
                <w:bCs/>
                <w:color w:val="FF0000"/>
                <w:kern w:val="0"/>
              </w:rPr>
              <w:t>投标人在签订合同之日起</w:t>
            </w:r>
            <w:r>
              <w:rPr>
                <w:rFonts w:ascii="宋体" w:hAnsi="宋体" w:hint="eastAsia"/>
                <w:b/>
                <w:bCs/>
                <w:color w:val="FF0000"/>
                <w:kern w:val="0"/>
                <w:u w:val="single"/>
              </w:rPr>
              <w:t xml:space="preserve">  </w:t>
            </w:r>
            <w:r>
              <w:rPr>
                <w:rFonts w:ascii="宋体" w:hAnsi="宋体"/>
                <w:b/>
                <w:bCs/>
                <w:color w:val="FF0000"/>
                <w:kern w:val="0"/>
                <w:u w:val="single"/>
              </w:rPr>
              <w:t>18</w:t>
            </w:r>
            <w:r>
              <w:rPr>
                <w:rFonts w:ascii="宋体" w:hAnsi="宋体" w:hint="eastAsia"/>
                <w:b/>
                <w:bCs/>
                <w:color w:val="FF0000"/>
                <w:kern w:val="0"/>
                <w:u w:val="single"/>
              </w:rPr>
              <w:t xml:space="preserve">0  </w:t>
            </w:r>
            <w:r>
              <w:rPr>
                <w:rFonts w:ascii="宋体" w:hAnsi="宋体" w:hint="eastAsia"/>
                <w:b/>
                <w:bCs/>
                <w:color w:val="FF0000"/>
                <w:kern w:val="0"/>
              </w:rPr>
              <w:t>天（日历日）内交货。</w:t>
            </w:r>
          </w:p>
        </w:tc>
      </w:tr>
      <w:tr>
        <w:tblPrEx>
          <w:tblW w:w="9071" w:type="dxa"/>
          <w:jc w:val="center"/>
          <w:tblInd w:w="0" w:type="dxa"/>
          <w:tblLayout w:type="fixed"/>
          <w:tblCellMar>
            <w:top w:w="0" w:type="dxa"/>
            <w:left w:w="108" w:type="dxa"/>
            <w:bottom w:w="0" w:type="dxa"/>
            <w:right w:w="108" w:type="dxa"/>
          </w:tblCellMar>
        </w:tblPrEx>
        <w:trPr>
          <w:trHeight w:val="1241"/>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rPr>
              <w:t>1.2投标人</w:t>
            </w:r>
            <w:r>
              <w:rPr>
                <w:rFonts w:ascii="宋体" w:hAnsi="宋体" w:hint="eastAsia"/>
                <w:kern w:val="0"/>
              </w:rPr>
              <w:t>应提供货物的技术文件，包括但不限于设备配置清单、产品说明书、图纸、操作手册、维护手册（含维修密码及接口数据）、质量证明文件（含生产厂家出具的出厂合格证）、服务指南等，所有外文资料须提供中文译本。文件应随货物一并交付至采购人指定地点。</w:t>
            </w:r>
          </w:p>
        </w:tc>
      </w:tr>
      <w:tr>
        <w:tblPrEx>
          <w:tblW w:w="9071" w:type="dxa"/>
          <w:jc w:val="center"/>
          <w:tblInd w:w="0" w:type="dxa"/>
          <w:tblLayout w:type="fixed"/>
          <w:tblCellMar>
            <w:top w:w="0" w:type="dxa"/>
            <w:left w:w="108" w:type="dxa"/>
            <w:bottom w:w="0" w:type="dxa"/>
            <w:right w:w="108" w:type="dxa"/>
          </w:tblCellMar>
        </w:tblPrEx>
        <w:trPr>
          <w:trHeight w:val="856"/>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spacing w:val="-3"/>
              </w:rPr>
              <w:t>1.3提供的货物必须为全新、经检验合格的产品。产品如需要计量检定的应提供相关计量检定部门出具的合法检定报告。其中，进口设备必须提供相关进口资料。</w:t>
            </w:r>
          </w:p>
        </w:tc>
      </w:tr>
      <w:tr>
        <w:tblPrEx>
          <w:tblW w:w="9071" w:type="dxa"/>
          <w:jc w:val="center"/>
          <w:tblInd w:w="0" w:type="dxa"/>
          <w:tblLayout w:type="fixed"/>
          <w:tblCellMar>
            <w:top w:w="0" w:type="dxa"/>
            <w:left w:w="108" w:type="dxa"/>
            <w:bottom w:w="0" w:type="dxa"/>
            <w:right w:w="108" w:type="dxa"/>
          </w:tblCellMar>
        </w:tblPrEx>
        <w:trPr>
          <w:trHeight w:val="626"/>
          <w:jc w:val="center"/>
        </w:trPr>
        <w:tc>
          <w:tcPr>
            <w:tcW w:w="882" w:type="dxa"/>
            <w:vMerge w:val="restart"/>
            <w:tcBorders>
              <w:top w:val="nil"/>
              <w:left w:val="single" w:sz="4" w:space="0" w:color="auto"/>
              <w:right w:val="single" w:sz="4" w:space="0" w:color="auto"/>
            </w:tcBorders>
            <w:vAlign w:val="center"/>
          </w:tcPr>
          <w:p>
            <w:pPr>
              <w:jc w:val="center"/>
              <w:rPr>
                <w:rFonts w:ascii="宋体" w:hAnsi="宋体"/>
                <w:b/>
                <w:bCs/>
              </w:rPr>
            </w:pPr>
            <w:r>
              <w:rPr>
                <w:rFonts w:ascii="宋体" w:hAnsi="宋体" w:hint="eastAsia"/>
                <w:b/>
                <w:bCs/>
              </w:rPr>
              <w:t>2</w:t>
            </w:r>
          </w:p>
        </w:tc>
        <w:tc>
          <w:tcPr>
            <w:tcW w:w="1296" w:type="dxa"/>
            <w:vMerge w:val="restart"/>
            <w:tcBorders>
              <w:top w:val="nil"/>
              <w:left w:val="nil"/>
              <w:right w:val="single" w:sz="4" w:space="0" w:color="auto"/>
            </w:tcBorders>
            <w:vAlign w:val="center"/>
          </w:tcPr>
          <w:p>
            <w:pPr>
              <w:jc w:val="center"/>
              <w:rPr>
                <w:rFonts w:ascii="宋体" w:hAnsi="宋体"/>
              </w:rPr>
            </w:pPr>
            <w:r>
              <w:rPr>
                <w:rFonts w:ascii="宋体" w:hAnsi="宋体" w:hint="eastAsia"/>
                <w:b/>
                <w:bCs/>
                <w:kern w:val="0"/>
              </w:rPr>
              <w:t>运输、安装和验收</w:t>
            </w: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rPr>
              <w:t>2.1投标人</w:t>
            </w:r>
            <w:r>
              <w:rPr>
                <w:rFonts w:ascii="宋体" w:hAnsi="宋体" w:hint="eastAsia"/>
                <w:kern w:val="0"/>
              </w:rPr>
              <w:t>负责将货物安全无损运抵采购人指定地点，并承担设备的包装、运输、保险、装卸、安装调试、培训、商检及计量检测、关税、增值税和进口代理等费用。</w:t>
            </w:r>
          </w:p>
        </w:tc>
      </w:tr>
      <w:tr>
        <w:tblPrEx>
          <w:tblW w:w="9071" w:type="dxa"/>
          <w:jc w:val="center"/>
          <w:tblInd w:w="0" w:type="dxa"/>
          <w:tblLayout w:type="fixed"/>
          <w:tblCellMar>
            <w:top w:w="0" w:type="dxa"/>
            <w:left w:w="108" w:type="dxa"/>
            <w:bottom w:w="0" w:type="dxa"/>
            <w:right w:w="108" w:type="dxa"/>
          </w:tblCellMar>
        </w:tblPrEx>
        <w:trPr>
          <w:trHeight w:val="560"/>
          <w:jc w:val="center"/>
        </w:trPr>
        <w:tc>
          <w:tcPr>
            <w:tcW w:w="882" w:type="dxa"/>
            <w:vMerge/>
            <w:tcBorders>
              <w:left w:val="single" w:sz="4" w:space="0" w:color="auto"/>
              <w:right w:val="single" w:sz="4" w:space="0" w:color="auto"/>
            </w:tcBorders>
            <w:vAlign w:val="center"/>
          </w:tcPr>
          <w:p>
            <w:pPr>
              <w:widowControl/>
              <w:jc w:val="left"/>
              <w:rPr>
                <w:rFonts w:ascii="宋体" w:hAnsi="宋体"/>
                <w:b/>
                <w:bCs/>
              </w:rPr>
            </w:pPr>
          </w:p>
        </w:tc>
        <w:tc>
          <w:tcPr>
            <w:tcW w:w="1296" w:type="dxa"/>
            <w:vMerge/>
            <w:tcBorders>
              <w:left w:val="nil"/>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rPr>
              <w:t>2.2</w:t>
            </w:r>
            <w:r>
              <w:rPr>
                <w:rFonts w:ascii="宋体" w:hAnsi="宋体" w:hint="eastAsia"/>
                <w:kern w:val="0"/>
              </w:rPr>
              <w:t>货物安装前厂家需派专业工程师到现场确认场地及安装环境是否符合该设备安装要求，在用户单位、中标人双方在场情况下开箱检验。在安装过程中若造成机器损坏，应由中标人负责修复，安装后保证产品质量。</w:t>
            </w:r>
          </w:p>
        </w:tc>
      </w:tr>
      <w:tr>
        <w:tblPrEx>
          <w:tblW w:w="9071" w:type="dxa"/>
          <w:jc w:val="center"/>
          <w:tblInd w:w="0" w:type="dxa"/>
          <w:tblLayout w:type="fixed"/>
          <w:tblCellMar>
            <w:top w:w="0" w:type="dxa"/>
            <w:left w:w="108" w:type="dxa"/>
            <w:bottom w:w="0" w:type="dxa"/>
            <w:right w:w="108" w:type="dxa"/>
          </w:tblCellMar>
        </w:tblPrEx>
        <w:trPr>
          <w:trHeight w:val="434"/>
          <w:jc w:val="center"/>
        </w:trPr>
        <w:tc>
          <w:tcPr>
            <w:tcW w:w="882" w:type="dxa"/>
            <w:vMerge/>
            <w:tcBorders>
              <w:left w:val="single" w:sz="4" w:space="0" w:color="auto"/>
              <w:right w:val="single" w:sz="4" w:space="0" w:color="auto"/>
            </w:tcBorders>
            <w:vAlign w:val="center"/>
          </w:tcPr>
          <w:p>
            <w:pPr>
              <w:widowControl/>
              <w:jc w:val="left"/>
              <w:rPr>
                <w:rFonts w:ascii="宋体" w:hAnsi="宋体"/>
                <w:b/>
                <w:bCs/>
              </w:rPr>
            </w:pPr>
          </w:p>
        </w:tc>
        <w:tc>
          <w:tcPr>
            <w:tcW w:w="1296" w:type="dxa"/>
            <w:vMerge/>
            <w:tcBorders>
              <w:left w:val="nil"/>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kern w:val="0"/>
              </w:rPr>
              <w:t>2.3采购人有权检验或测试货物，以确认货物是否符合合同规格的要求，并且不承担额外的费用。如果发现所交货物与投标文件中所承诺的不符或存在质量、技术缺陷等，采购人可以拒绝接收该货物，投标人应在</w:t>
            </w:r>
            <w:r>
              <w:rPr>
                <w:rFonts w:ascii="宋体" w:hAnsi="宋体" w:hint="eastAsia"/>
                <w:kern w:val="0"/>
                <w:u w:val="single"/>
              </w:rPr>
              <w:t xml:space="preserve">  30  </w:t>
            </w:r>
            <w:r>
              <w:rPr>
                <w:rFonts w:ascii="宋体" w:hAnsi="宋体" w:hint="eastAsia"/>
                <w:kern w:val="0"/>
              </w:rPr>
              <w:t>天（日历日）内采取补足、更换或退货等措施，以满足规格的要求，由此发生的一切损失和费用由投标人承担。</w:t>
            </w:r>
          </w:p>
        </w:tc>
      </w:tr>
      <w:tr>
        <w:tblPrEx>
          <w:tblW w:w="9071" w:type="dxa"/>
          <w:jc w:val="center"/>
          <w:tblInd w:w="0" w:type="dxa"/>
          <w:tblLayout w:type="fixed"/>
          <w:tblCellMar>
            <w:top w:w="0" w:type="dxa"/>
            <w:left w:w="108" w:type="dxa"/>
            <w:bottom w:w="0" w:type="dxa"/>
            <w:right w:w="108" w:type="dxa"/>
          </w:tblCellMar>
        </w:tblPrEx>
        <w:trPr>
          <w:trHeight w:val="538"/>
          <w:jc w:val="center"/>
        </w:trPr>
        <w:tc>
          <w:tcPr>
            <w:tcW w:w="882" w:type="dxa"/>
            <w:vMerge/>
            <w:tcBorders>
              <w:left w:val="single" w:sz="4" w:space="0" w:color="auto"/>
              <w:right w:val="single" w:sz="4" w:space="0" w:color="auto"/>
            </w:tcBorders>
            <w:vAlign w:val="center"/>
          </w:tcPr>
          <w:p>
            <w:pPr>
              <w:widowControl/>
              <w:jc w:val="left"/>
              <w:rPr>
                <w:rFonts w:ascii="宋体" w:hAnsi="宋体"/>
                <w:b/>
                <w:bCs/>
              </w:rPr>
            </w:pPr>
          </w:p>
        </w:tc>
        <w:tc>
          <w:tcPr>
            <w:tcW w:w="1296" w:type="dxa"/>
            <w:vMerge/>
            <w:tcBorders>
              <w:left w:val="nil"/>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spacing w:val="-3"/>
              </w:rPr>
              <w:t>2.4供货时须确保产品外观清洁，标记编号以及盘面显示等字体清晰、明确，能够准确无误地表示产品的型号、规格、制造商等，并保证所提供的产品的可追溯性。</w:t>
            </w:r>
          </w:p>
        </w:tc>
      </w:tr>
      <w:tr>
        <w:tblPrEx>
          <w:tblW w:w="9071" w:type="dxa"/>
          <w:jc w:val="center"/>
          <w:tblInd w:w="0" w:type="dxa"/>
          <w:tblLayout w:type="fixed"/>
          <w:tblCellMar>
            <w:top w:w="0" w:type="dxa"/>
            <w:left w:w="108" w:type="dxa"/>
            <w:bottom w:w="0" w:type="dxa"/>
            <w:right w:w="108" w:type="dxa"/>
          </w:tblCellMar>
        </w:tblPrEx>
        <w:trPr>
          <w:trHeight w:val="466"/>
          <w:jc w:val="center"/>
        </w:trPr>
        <w:tc>
          <w:tcPr>
            <w:tcW w:w="882" w:type="dxa"/>
            <w:vMerge/>
            <w:tcBorders>
              <w:left w:val="single" w:sz="4" w:space="0" w:color="auto"/>
              <w:right w:val="single" w:sz="4" w:space="0" w:color="auto"/>
            </w:tcBorders>
            <w:vAlign w:val="center"/>
          </w:tcPr>
          <w:p>
            <w:pPr>
              <w:widowControl/>
              <w:jc w:val="left"/>
              <w:rPr>
                <w:rFonts w:ascii="宋体" w:hAnsi="宋体"/>
                <w:b/>
                <w:bCs/>
              </w:rPr>
            </w:pPr>
          </w:p>
        </w:tc>
        <w:tc>
          <w:tcPr>
            <w:tcW w:w="1296" w:type="dxa"/>
            <w:vMerge/>
            <w:tcBorders>
              <w:left w:val="nil"/>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spacing w:val="-3"/>
              </w:rPr>
              <w:t>2.5投标人负责货物的现场安装和调试，提供货物安装、调试和维修所需的专用工具和辅助材料。投标人应在货物运至指定地点后一周内开始安装调试，并在</w:t>
            </w:r>
            <w:r>
              <w:rPr>
                <w:rFonts w:ascii="宋体" w:hAnsi="宋体" w:hint="eastAsia"/>
                <w:kern w:val="0"/>
                <w:sz w:val="24"/>
                <w:u w:val="single"/>
              </w:rPr>
              <w:t xml:space="preserve">  </w:t>
            </w:r>
            <w:r>
              <w:rPr>
                <w:rFonts w:ascii="宋体" w:hAnsi="宋体" w:hint="eastAsia"/>
                <w:kern w:val="0"/>
                <w:u w:val="single"/>
              </w:rPr>
              <w:t>15</w:t>
            </w:r>
            <w:r>
              <w:rPr>
                <w:rFonts w:ascii="宋体" w:hAnsi="宋体" w:hint="eastAsia"/>
                <w:kern w:val="0"/>
                <w:sz w:val="24"/>
                <w:u w:val="single"/>
              </w:rPr>
              <w:t> </w:t>
            </w:r>
            <w:r>
              <w:rPr>
                <w:rFonts w:ascii="宋体" w:hAnsi="宋体" w:hint="eastAsia"/>
                <w:kern w:val="0"/>
                <w:u w:val="single"/>
              </w:rPr>
              <w:t> </w:t>
            </w:r>
            <w:r>
              <w:rPr>
                <w:rFonts w:ascii="宋体" w:hAnsi="宋体" w:hint="eastAsia"/>
                <w:spacing w:val="-3"/>
              </w:rPr>
              <w:t>天（日历日）内完成安装调试工作。</w:t>
            </w:r>
          </w:p>
        </w:tc>
      </w:tr>
      <w:tr>
        <w:tblPrEx>
          <w:tblW w:w="9071" w:type="dxa"/>
          <w:jc w:val="center"/>
          <w:tblInd w:w="0" w:type="dxa"/>
          <w:tblLayout w:type="fixed"/>
          <w:tblCellMar>
            <w:top w:w="0" w:type="dxa"/>
            <w:left w:w="108" w:type="dxa"/>
            <w:bottom w:w="0" w:type="dxa"/>
            <w:right w:w="108" w:type="dxa"/>
          </w:tblCellMar>
        </w:tblPrEx>
        <w:trPr>
          <w:trHeight w:val="710"/>
          <w:jc w:val="center"/>
        </w:trPr>
        <w:tc>
          <w:tcPr>
            <w:tcW w:w="882" w:type="dxa"/>
            <w:vMerge/>
            <w:tcBorders>
              <w:left w:val="single" w:sz="4" w:space="0" w:color="auto"/>
              <w:right w:val="single" w:sz="4" w:space="0" w:color="auto"/>
            </w:tcBorders>
            <w:vAlign w:val="center"/>
          </w:tcPr>
          <w:p>
            <w:pPr>
              <w:widowControl/>
              <w:jc w:val="left"/>
              <w:rPr>
                <w:rFonts w:ascii="宋体" w:hAnsi="宋体"/>
                <w:b/>
                <w:bCs/>
              </w:rPr>
            </w:pPr>
          </w:p>
        </w:tc>
        <w:tc>
          <w:tcPr>
            <w:tcW w:w="1296" w:type="dxa"/>
            <w:vMerge/>
            <w:tcBorders>
              <w:left w:val="nil"/>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spacing w:val="-3"/>
              </w:rPr>
              <w:t>2.6由投标人代表、厂家代表和采购人组成验收小组对产品进行验收。验收标准按照产品技术参数要求和合同约定执行。经检验设备正常运作后签署性能验收报告，产品保修期自性能验收合格之日起算。</w:t>
            </w:r>
          </w:p>
        </w:tc>
      </w:tr>
      <w:tr>
        <w:tblPrEx>
          <w:tblW w:w="9071" w:type="dxa"/>
          <w:jc w:val="center"/>
          <w:tblInd w:w="0" w:type="dxa"/>
          <w:tblLayout w:type="fixed"/>
          <w:tblCellMar>
            <w:top w:w="0" w:type="dxa"/>
            <w:left w:w="108" w:type="dxa"/>
            <w:bottom w:w="0" w:type="dxa"/>
            <w:right w:w="108" w:type="dxa"/>
          </w:tblCellMar>
        </w:tblPrEx>
        <w:trPr>
          <w:trHeight w:val="710"/>
          <w:jc w:val="center"/>
        </w:trPr>
        <w:tc>
          <w:tcPr>
            <w:tcW w:w="882" w:type="dxa"/>
            <w:vMerge/>
            <w:tcBorders>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left w:val="nil"/>
              <w:bottom w:val="single" w:sz="4" w:space="0" w:color="auto"/>
              <w:right w:val="single" w:sz="4" w:space="0" w:color="auto"/>
            </w:tcBorders>
            <w:vAlign w:val="center"/>
          </w:tcPr>
          <w:p>
            <w:pPr>
              <w:widowControl/>
              <w:jc w:val="left"/>
              <w:rPr>
                <w:rFonts w:ascii="宋体" w:hAnsi="宋体"/>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color w:val="FF0000"/>
              </w:rPr>
              <w:t>★</w:t>
            </w:r>
            <w:r>
              <w:rPr>
                <w:rFonts w:ascii="宋体" w:hAnsi="宋体" w:hint="eastAsia"/>
                <w:b/>
                <w:bCs/>
                <w:color w:val="FF0000"/>
                <w:spacing w:val="-3"/>
              </w:rPr>
              <w:t>2.7设备安装，若须进行场地装修改造，涉及的所有费用，由中标人负责承担。</w:t>
            </w:r>
          </w:p>
        </w:tc>
      </w:tr>
      <w:tr>
        <w:tblPrEx>
          <w:tblW w:w="9071" w:type="dxa"/>
          <w:jc w:val="center"/>
          <w:tblInd w:w="0" w:type="dxa"/>
          <w:tblLayout w:type="fixed"/>
          <w:tblCellMar>
            <w:top w:w="0" w:type="dxa"/>
            <w:left w:w="108" w:type="dxa"/>
            <w:bottom w:w="0" w:type="dxa"/>
            <w:right w:w="108" w:type="dxa"/>
          </w:tblCellMar>
        </w:tblPrEx>
        <w:trPr>
          <w:trHeight w:val="498"/>
          <w:jc w:val="center"/>
        </w:trPr>
        <w:tc>
          <w:tcPr>
            <w:tcW w:w="882"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3</w:t>
            </w:r>
          </w:p>
        </w:tc>
        <w:tc>
          <w:tcPr>
            <w:tcW w:w="1296" w:type="dxa"/>
            <w:tcBorders>
              <w:top w:val="single" w:sz="4" w:space="0" w:color="auto"/>
              <w:left w:val="nil"/>
              <w:bottom w:val="single" w:sz="4" w:space="0" w:color="auto"/>
              <w:right w:val="single" w:sz="4" w:space="0" w:color="auto"/>
            </w:tcBorders>
            <w:vAlign w:val="center"/>
          </w:tcPr>
          <w:p>
            <w:pPr>
              <w:jc w:val="center"/>
              <w:rPr>
                <w:rFonts w:ascii="宋体" w:hAnsi="宋体"/>
                <w:b/>
                <w:bCs/>
              </w:rPr>
            </w:pPr>
            <w:r>
              <w:rPr>
                <w:rFonts w:ascii="宋体" w:hAnsi="宋体" w:hint="eastAsia"/>
                <w:b/>
                <w:bCs/>
                <w:kern w:val="0"/>
              </w:rPr>
              <w:t>培训</w:t>
            </w: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b/>
                <w:bCs/>
              </w:rPr>
            </w:pPr>
            <w:r>
              <w:rPr>
                <w:rFonts w:ascii="宋体" w:hAnsi="宋体" w:hint="eastAsia"/>
                <w:kern w:val="0"/>
              </w:rPr>
              <w:t>3.1中标人应派专业技术人员免费对采购单位制定人员进行定期培训及指导，直至其完全掌握设备的基本故障处理技术。</w:t>
            </w:r>
          </w:p>
        </w:tc>
      </w:tr>
      <w:tr>
        <w:tblPrEx>
          <w:tblW w:w="9071" w:type="dxa"/>
          <w:jc w:val="center"/>
          <w:tblInd w:w="0" w:type="dxa"/>
          <w:tblLayout w:type="fixed"/>
          <w:tblCellMar>
            <w:top w:w="0" w:type="dxa"/>
            <w:left w:w="108" w:type="dxa"/>
            <w:bottom w:w="0" w:type="dxa"/>
            <w:right w:w="108" w:type="dxa"/>
          </w:tblCellMar>
        </w:tblPrEx>
        <w:trPr>
          <w:trHeight w:val="386"/>
          <w:jc w:val="center"/>
        </w:trPr>
        <w:tc>
          <w:tcPr>
            <w:tcW w:w="882" w:type="dxa"/>
            <w:vMerge w:val="restart"/>
            <w:tcBorders>
              <w:top w:val="nil"/>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4</w:t>
            </w:r>
          </w:p>
        </w:tc>
        <w:tc>
          <w:tcPr>
            <w:tcW w:w="1296" w:type="dxa"/>
            <w:vMerge w:val="restart"/>
            <w:tcBorders>
              <w:top w:val="nil"/>
              <w:left w:val="nil"/>
              <w:bottom w:val="single" w:sz="4" w:space="0" w:color="auto"/>
              <w:right w:val="single" w:sz="4" w:space="0" w:color="auto"/>
            </w:tcBorders>
            <w:vAlign w:val="center"/>
          </w:tcPr>
          <w:p>
            <w:pPr>
              <w:jc w:val="center"/>
              <w:rPr>
                <w:rFonts w:ascii="宋体" w:hAnsi="宋体"/>
                <w:b/>
                <w:bCs/>
                <w:kern w:val="0"/>
              </w:rPr>
            </w:pPr>
            <w:r>
              <w:rPr>
                <w:rFonts w:ascii="宋体" w:hAnsi="宋体" w:hint="eastAsia"/>
                <w:b/>
                <w:bCs/>
                <w:kern w:val="0"/>
              </w:rPr>
              <w:t>知识产权</w:t>
            </w: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kern w:val="0"/>
              </w:rPr>
            </w:pPr>
            <w:r>
              <w:rPr>
                <w:rFonts w:ascii="宋体" w:hAnsi="宋体" w:hint="eastAsia"/>
                <w:kern w:val="0"/>
              </w:rPr>
              <w:t>4.1投标人应保证采购人在使用该货物或其任何一部分时，免受第三方提出的侵犯其专利权、商标权、著作权或其他知识产权的起诉。投标人保证所提供软件的合法性，所发生的任何知识产权纠纷与采购人无关。</w:t>
            </w:r>
          </w:p>
        </w:tc>
      </w:tr>
      <w:tr>
        <w:tblPrEx>
          <w:tblW w:w="9071" w:type="dxa"/>
          <w:jc w:val="center"/>
          <w:tblInd w:w="0" w:type="dxa"/>
          <w:tblLayout w:type="fixed"/>
          <w:tblCellMar>
            <w:top w:w="0" w:type="dxa"/>
            <w:left w:w="108" w:type="dxa"/>
            <w:bottom w:w="0" w:type="dxa"/>
            <w:right w:w="108" w:type="dxa"/>
          </w:tblCellMar>
        </w:tblPrEx>
        <w:trPr>
          <w:trHeight w:val="306"/>
          <w:jc w:val="center"/>
        </w:trPr>
        <w:tc>
          <w:tcPr>
            <w:tcW w:w="882"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1296" w:type="dxa"/>
            <w:vMerge/>
            <w:tcBorders>
              <w:top w:val="nil"/>
              <w:left w:val="nil"/>
              <w:bottom w:val="single" w:sz="4" w:space="0" w:color="auto"/>
              <w:right w:val="single" w:sz="4" w:space="0" w:color="auto"/>
            </w:tcBorders>
            <w:vAlign w:val="center"/>
          </w:tcPr>
          <w:p>
            <w:pPr>
              <w:widowControl/>
              <w:jc w:val="left"/>
              <w:rPr>
                <w:rFonts w:ascii="宋体" w:hAnsi="宋体"/>
                <w:b/>
                <w:bCs/>
                <w:kern w:val="0"/>
              </w:rPr>
            </w:pPr>
          </w:p>
        </w:tc>
        <w:tc>
          <w:tcPr>
            <w:tcW w:w="6893" w:type="dxa"/>
            <w:tcBorders>
              <w:top w:val="single" w:sz="4" w:space="0" w:color="auto"/>
              <w:left w:val="nil"/>
              <w:bottom w:val="single" w:sz="4" w:space="0" w:color="auto"/>
              <w:right w:val="single" w:sz="4" w:space="0" w:color="auto"/>
            </w:tcBorders>
          </w:tcPr>
          <w:p>
            <w:pPr>
              <w:autoSpaceDE w:val="0"/>
              <w:spacing w:line="320" w:lineRule="atLeast"/>
              <w:rPr>
                <w:rFonts w:ascii="宋体" w:hAnsi="宋体"/>
                <w:kern w:val="0"/>
              </w:rPr>
            </w:pPr>
            <w:r>
              <w:rPr>
                <w:rFonts w:ascii="宋体" w:hAnsi="宋体" w:hint="eastAsia"/>
                <w:kern w:val="0"/>
              </w:rPr>
              <w:t>4.2采购人购买产品后，有权对该产品与其他设备进行配套、整合或适当改进，而免受侵犯专利权的起诉。</w:t>
            </w:r>
          </w:p>
        </w:tc>
      </w:tr>
      <w:tr>
        <w:tblPrEx>
          <w:tblW w:w="9071" w:type="dxa"/>
          <w:jc w:val="center"/>
          <w:tblInd w:w="0" w:type="dxa"/>
          <w:tblLayout w:type="fixed"/>
          <w:tblCellMar>
            <w:top w:w="0" w:type="dxa"/>
            <w:left w:w="108" w:type="dxa"/>
            <w:bottom w:w="0" w:type="dxa"/>
            <w:right w:w="108" w:type="dxa"/>
          </w:tblCellMar>
        </w:tblPrEx>
        <w:trPr>
          <w:trHeight w:val="144"/>
          <w:jc w:val="center"/>
        </w:trPr>
        <w:tc>
          <w:tcPr>
            <w:tcW w:w="882" w:type="dxa"/>
            <w:vMerge w:val="restart"/>
            <w:tcBorders>
              <w:left w:val="single" w:sz="4" w:space="0" w:color="auto"/>
              <w:right w:val="single" w:sz="4" w:space="0" w:color="auto"/>
            </w:tcBorders>
            <w:vAlign w:val="center"/>
          </w:tcPr>
          <w:p>
            <w:pPr>
              <w:jc w:val="center"/>
              <w:rPr>
                <w:rFonts w:ascii="宋体" w:hAnsi="宋体"/>
                <w:b/>
                <w:bCs/>
              </w:rPr>
            </w:pPr>
            <w:r>
              <w:rPr>
                <w:rFonts w:ascii="宋体" w:hAnsi="宋体" w:hint="eastAsia"/>
                <w:b/>
                <w:bCs/>
              </w:rPr>
              <w:t>5</w:t>
            </w:r>
          </w:p>
        </w:tc>
        <w:tc>
          <w:tcPr>
            <w:tcW w:w="1296" w:type="dxa"/>
            <w:vMerge w:val="restart"/>
            <w:tcBorders>
              <w:left w:val="nil"/>
              <w:right w:val="single" w:sz="4" w:space="0" w:color="auto"/>
            </w:tcBorders>
            <w:vAlign w:val="center"/>
          </w:tcPr>
          <w:p>
            <w:pPr>
              <w:jc w:val="center"/>
              <w:rPr>
                <w:rFonts w:ascii="宋体" w:hAnsi="宋体"/>
                <w:b/>
                <w:bCs/>
                <w:kern w:val="0"/>
              </w:rPr>
            </w:pPr>
            <w:r>
              <w:rPr>
                <w:rFonts w:ascii="宋体" w:hAnsi="宋体" w:hint="eastAsia"/>
                <w:b/>
                <w:bCs/>
                <w:kern w:val="0"/>
              </w:rPr>
              <w:t>违约责任</w:t>
            </w:r>
          </w:p>
        </w:tc>
        <w:tc>
          <w:tcPr>
            <w:tcW w:w="6893"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5.1、如投标人未按照投标文件中承诺的时间交货或提供服务，投标人应承担延期交货和延期服务的违约责任，并赔偿采购人因此造成的实际经济损失。实际经济损失超出履约保证金（合同总金额5%）金额，采购人有权依法终止合同。</w:t>
            </w:r>
          </w:p>
        </w:tc>
      </w:tr>
      <w:tr>
        <w:tblPrEx>
          <w:tblW w:w="9071" w:type="dxa"/>
          <w:jc w:val="center"/>
          <w:tblInd w:w="0" w:type="dxa"/>
          <w:tblLayout w:type="fixed"/>
          <w:tblCellMar>
            <w:top w:w="0" w:type="dxa"/>
            <w:left w:w="108" w:type="dxa"/>
            <w:bottom w:w="0" w:type="dxa"/>
            <w:right w:w="108" w:type="dxa"/>
          </w:tblCellMar>
        </w:tblPrEx>
        <w:trPr>
          <w:trHeight w:val="144"/>
          <w:jc w:val="center"/>
        </w:trPr>
        <w:tc>
          <w:tcPr>
            <w:tcW w:w="882" w:type="dxa"/>
            <w:vMerge/>
            <w:tcBorders>
              <w:left w:val="single" w:sz="4" w:space="0" w:color="auto"/>
              <w:right w:val="single" w:sz="4" w:space="0" w:color="auto"/>
            </w:tcBorders>
            <w:vAlign w:val="center"/>
          </w:tcPr>
          <w:p>
            <w:pPr>
              <w:jc w:val="center"/>
              <w:rPr>
                <w:rFonts w:ascii="宋体" w:hAnsi="宋体"/>
                <w:b/>
                <w:bCs/>
              </w:rPr>
            </w:pPr>
          </w:p>
        </w:tc>
        <w:tc>
          <w:tcPr>
            <w:tcW w:w="1296" w:type="dxa"/>
            <w:vMerge/>
            <w:tcBorders>
              <w:left w:val="nil"/>
              <w:right w:val="single" w:sz="4" w:space="0" w:color="auto"/>
            </w:tcBorders>
            <w:vAlign w:val="center"/>
          </w:tcPr>
          <w:p>
            <w:pPr>
              <w:jc w:val="center"/>
              <w:rPr>
                <w:rFonts w:ascii="宋体" w:hAnsi="宋体"/>
                <w:b/>
                <w:bCs/>
                <w:kern w:val="0"/>
              </w:rPr>
            </w:pPr>
          </w:p>
        </w:tc>
        <w:tc>
          <w:tcPr>
            <w:tcW w:w="6893"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5.2、中标人所交设备的品种、型号、规格、质量、功能、技术参数等方面不能实质性满足招标文件要约的，采购人有权拒绝收货，中标人向采购人偿付项目采购金额</w:t>
            </w:r>
            <w:r>
              <w:rPr>
                <w:rFonts w:ascii="宋体" w:hAnsi="宋体" w:cs="宋体" w:hint="eastAsia"/>
                <w:b/>
                <w:kern w:val="0"/>
                <w:szCs w:val="21"/>
              </w:rPr>
              <w:t>10%</w:t>
            </w:r>
            <w:r>
              <w:rPr>
                <w:rFonts w:ascii="宋体" w:hAnsi="宋体" w:cs="宋体" w:hint="eastAsia"/>
                <w:kern w:val="0"/>
                <w:szCs w:val="21"/>
              </w:rPr>
              <w:t>的违约金；造成严重后果的，根据《深圳经济特区政府采购条例》第五十七条第（二）款规定，由主管部门对中标人进行处罚。</w:t>
            </w:r>
          </w:p>
        </w:tc>
      </w:tr>
      <w:tr>
        <w:tblPrEx>
          <w:tblW w:w="9071" w:type="dxa"/>
          <w:jc w:val="center"/>
          <w:tblInd w:w="0" w:type="dxa"/>
          <w:tblLayout w:type="fixed"/>
          <w:tblCellMar>
            <w:top w:w="0" w:type="dxa"/>
            <w:left w:w="108" w:type="dxa"/>
            <w:bottom w:w="0" w:type="dxa"/>
            <w:right w:w="108" w:type="dxa"/>
          </w:tblCellMar>
        </w:tblPrEx>
        <w:trPr>
          <w:trHeight w:val="144"/>
          <w:jc w:val="center"/>
        </w:trPr>
        <w:tc>
          <w:tcPr>
            <w:tcW w:w="882" w:type="dxa"/>
            <w:vMerge/>
            <w:tcBorders>
              <w:left w:val="single" w:sz="4" w:space="0" w:color="auto"/>
              <w:right w:val="single" w:sz="4" w:space="0" w:color="auto"/>
            </w:tcBorders>
            <w:vAlign w:val="center"/>
          </w:tcPr>
          <w:p>
            <w:pPr>
              <w:jc w:val="center"/>
              <w:rPr>
                <w:rFonts w:ascii="宋体" w:hAnsi="宋体"/>
                <w:b/>
                <w:bCs/>
              </w:rPr>
            </w:pPr>
          </w:p>
        </w:tc>
        <w:tc>
          <w:tcPr>
            <w:tcW w:w="1296" w:type="dxa"/>
            <w:vMerge/>
            <w:tcBorders>
              <w:left w:val="nil"/>
              <w:right w:val="single" w:sz="4" w:space="0" w:color="auto"/>
            </w:tcBorders>
            <w:vAlign w:val="center"/>
          </w:tcPr>
          <w:p>
            <w:pPr>
              <w:jc w:val="center"/>
              <w:rPr>
                <w:rFonts w:ascii="宋体" w:hAnsi="宋体"/>
                <w:b/>
                <w:bCs/>
                <w:kern w:val="0"/>
              </w:rPr>
            </w:pPr>
          </w:p>
        </w:tc>
        <w:tc>
          <w:tcPr>
            <w:tcW w:w="6893"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5.3、投标人不能交付设备的，投标人向采购人偿付项目采购金额</w:t>
            </w:r>
            <w:r>
              <w:rPr>
                <w:rFonts w:ascii="宋体" w:hAnsi="宋体" w:cs="宋体" w:hint="eastAsia"/>
                <w:b/>
                <w:kern w:val="0"/>
                <w:szCs w:val="21"/>
              </w:rPr>
              <w:t>10%</w:t>
            </w:r>
            <w:r>
              <w:rPr>
                <w:rFonts w:ascii="宋体" w:hAnsi="宋体" w:cs="宋体" w:hint="eastAsia"/>
                <w:kern w:val="0"/>
                <w:szCs w:val="21"/>
              </w:rPr>
              <w:t xml:space="preserve">违约金，并且甲方有权依法解除合同；造成严重后果的，根据《深圳经济特区政府采购条例》第五十七条第（二）款规定，由主管部门对中标人进行处罚。 </w:t>
            </w:r>
          </w:p>
        </w:tc>
      </w:tr>
      <w:tr>
        <w:tblPrEx>
          <w:tblW w:w="9071" w:type="dxa"/>
          <w:jc w:val="center"/>
          <w:tblInd w:w="0" w:type="dxa"/>
          <w:tblLayout w:type="fixed"/>
          <w:tblCellMar>
            <w:top w:w="0" w:type="dxa"/>
            <w:left w:w="108" w:type="dxa"/>
            <w:bottom w:w="0" w:type="dxa"/>
            <w:right w:w="108" w:type="dxa"/>
          </w:tblCellMar>
        </w:tblPrEx>
        <w:trPr>
          <w:trHeight w:val="144"/>
          <w:jc w:val="center"/>
        </w:trPr>
        <w:tc>
          <w:tcPr>
            <w:tcW w:w="882" w:type="dxa"/>
            <w:vMerge/>
            <w:tcBorders>
              <w:left w:val="single" w:sz="4" w:space="0" w:color="auto"/>
              <w:right w:val="single" w:sz="4" w:space="0" w:color="auto"/>
            </w:tcBorders>
            <w:vAlign w:val="center"/>
          </w:tcPr>
          <w:p>
            <w:pPr>
              <w:jc w:val="center"/>
              <w:rPr>
                <w:rFonts w:ascii="宋体" w:hAnsi="宋体"/>
                <w:b/>
                <w:bCs/>
              </w:rPr>
            </w:pPr>
          </w:p>
        </w:tc>
        <w:tc>
          <w:tcPr>
            <w:tcW w:w="1296" w:type="dxa"/>
            <w:vMerge/>
            <w:tcBorders>
              <w:left w:val="nil"/>
              <w:right w:val="single" w:sz="4" w:space="0" w:color="auto"/>
            </w:tcBorders>
            <w:vAlign w:val="center"/>
          </w:tcPr>
          <w:p>
            <w:pPr>
              <w:jc w:val="center"/>
              <w:rPr>
                <w:rFonts w:ascii="宋体" w:hAnsi="宋体"/>
                <w:b/>
                <w:bCs/>
                <w:kern w:val="0"/>
              </w:rPr>
            </w:pPr>
          </w:p>
        </w:tc>
        <w:tc>
          <w:tcPr>
            <w:tcW w:w="6893"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5.4、投标人逾期未交设备的，投标人向采购人每日偿付设备款10‰的违约金。投标人超过交货期限</w:t>
            </w:r>
            <w:r>
              <w:rPr>
                <w:rFonts w:ascii="宋体" w:hAnsi="宋体" w:cs="宋体" w:hint="eastAsia"/>
                <w:kern w:val="0"/>
                <w:szCs w:val="21"/>
                <w:u w:val="single"/>
              </w:rPr>
              <w:t>30</w:t>
            </w:r>
            <w:r>
              <w:rPr>
                <w:rFonts w:ascii="宋体" w:hAnsi="宋体" w:cs="宋体" w:hint="eastAsia"/>
                <w:kern w:val="0"/>
                <w:szCs w:val="21"/>
              </w:rPr>
              <w:t>日仍未交货，采购人有权依法解除合同。</w:t>
            </w:r>
          </w:p>
        </w:tc>
      </w:tr>
      <w:tr>
        <w:tblPrEx>
          <w:tblW w:w="9071" w:type="dxa"/>
          <w:jc w:val="center"/>
          <w:tblInd w:w="0" w:type="dxa"/>
          <w:tblLayout w:type="fixed"/>
          <w:tblCellMar>
            <w:top w:w="0" w:type="dxa"/>
            <w:left w:w="108" w:type="dxa"/>
            <w:bottom w:w="0" w:type="dxa"/>
            <w:right w:w="108" w:type="dxa"/>
          </w:tblCellMar>
        </w:tblPrEx>
        <w:trPr>
          <w:trHeight w:val="144"/>
          <w:jc w:val="center"/>
        </w:trPr>
        <w:tc>
          <w:tcPr>
            <w:tcW w:w="882" w:type="dxa"/>
            <w:vMerge/>
            <w:tcBorders>
              <w:left w:val="single" w:sz="4" w:space="0" w:color="auto"/>
              <w:right w:val="single" w:sz="4" w:space="0" w:color="auto"/>
            </w:tcBorders>
            <w:vAlign w:val="center"/>
          </w:tcPr>
          <w:p>
            <w:pPr>
              <w:jc w:val="center"/>
              <w:rPr>
                <w:rFonts w:ascii="宋体" w:hAnsi="宋体"/>
                <w:b/>
                <w:bCs/>
              </w:rPr>
            </w:pPr>
          </w:p>
        </w:tc>
        <w:tc>
          <w:tcPr>
            <w:tcW w:w="1296" w:type="dxa"/>
            <w:vMerge/>
            <w:tcBorders>
              <w:left w:val="nil"/>
              <w:right w:val="single" w:sz="4" w:space="0" w:color="auto"/>
            </w:tcBorders>
            <w:vAlign w:val="center"/>
          </w:tcPr>
          <w:p>
            <w:pPr>
              <w:jc w:val="center"/>
              <w:rPr>
                <w:rFonts w:ascii="宋体" w:hAnsi="宋体"/>
                <w:b/>
                <w:bCs/>
                <w:kern w:val="0"/>
              </w:rPr>
            </w:pPr>
          </w:p>
        </w:tc>
        <w:tc>
          <w:tcPr>
            <w:tcW w:w="6893"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5.5、违约金先从中标人履约保证金（合同总金额5%）中扣除，若有不足部分则由中标人补齐</w:t>
            </w:r>
          </w:p>
        </w:tc>
      </w:tr>
      <w:tr>
        <w:tblPrEx>
          <w:tblW w:w="9071" w:type="dxa"/>
          <w:jc w:val="center"/>
          <w:tblInd w:w="0" w:type="dxa"/>
          <w:tblLayout w:type="fixed"/>
          <w:tblCellMar>
            <w:top w:w="0" w:type="dxa"/>
            <w:left w:w="108" w:type="dxa"/>
            <w:bottom w:w="0" w:type="dxa"/>
            <w:right w:w="108" w:type="dxa"/>
          </w:tblCellMar>
        </w:tblPrEx>
        <w:trPr>
          <w:trHeight w:val="614"/>
          <w:jc w:val="center"/>
        </w:trPr>
        <w:tc>
          <w:tcPr>
            <w:tcW w:w="882" w:type="dxa"/>
            <w:tcBorders>
              <w:left w:val="single" w:sz="4" w:space="0" w:color="auto"/>
              <w:right w:val="single" w:sz="4" w:space="0" w:color="auto"/>
            </w:tcBorders>
            <w:vAlign w:val="center"/>
          </w:tcPr>
          <w:p>
            <w:pPr>
              <w:jc w:val="center"/>
              <w:rPr>
                <w:rFonts w:ascii="宋体" w:hAnsi="宋体"/>
                <w:b/>
                <w:bCs/>
              </w:rPr>
            </w:pPr>
            <w:r>
              <w:rPr>
                <w:rFonts w:ascii="宋体" w:hAnsi="宋体" w:hint="eastAsia"/>
                <w:b/>
                <w:bCs/>
              </w:rPr>
              <w:t>6</w:t>
            </w:r>
          </w:p>
        </w:tc>
        <w:tc>
          <w:tcPr>
            <w:tcW w:w="1296" w:type="dxa"/>
            <w:tcBorders>
              <w:left w:val="nil"/>
              <w:right w:val="single" w:sz="4" w:space="0" w:color="auto"/>
            </w:tcBorders>
            <w:vAlign w:val="center"/>
          </w:tcPr>
          <w:p>
            <w:pPr>
              <w:jc w:val="center"/>
              <w:rPr>
                <w:rFonts w:ascii="宋体" w:hAnsi="宋体"/>
                <w:b/>
                <w:bCs/>
                <w:kern w:val="0"/>
              </w:rPr>
            </w:pPr>
            <w:r>
              <w:rPr>
                <w:rFonts w:ascii="宋体" w:hAnsi="宋体" w:hint="eastAsia"/>
                <w:b/>
                <w:bCs/>
                <w:kern w:val="0"/>
              </w:rPr>
              <w:t>其他</w:t>
            </w:r>
          </w:p>
        </w:tc>
        <w:tc>
          <w:tcPr>
            <w:tcW w:w="6893" w:type="dxa"/>
            <w:tcBorders>
              <w:top w:val="single" w:sz="4" w:space="0" w:color="auto"/>
              <w:left w:val="nil"/>
              <w:bottom w:val="single" w:sz="4" w:space="0" w:color="auto"/>
              <w:right w:val="single" w:sz="4" w:space="0" w:color="auto"/>
            </w:tcBorders>
            <w:vAlign w:val="center"/>
          </w:tcPr>
          <w:p>
            <w:pPr>
              <w:rPr>
                <w:rFonts w:ascii="宋体" w:hAnsi="宋体"/>
                <w:color w:val="FF0000"/>
                <w:kern w:val="0"/>
              </w:rPr>
            </w:pPr>
            <w:r>
              <w:rPr>
                <w:rFonts w:ascii="宋体" w:hAnsi="宋体" w:cs="宋体" w:hint="eastAsia"/>
                <w:kern w:val="0"/>
                <w:szCs w:val="21"/>
              </w:rPr>
              <w:t>6.1投标人应按其投标文件中的承诺，保障售后服务工作。</w:t>
            </w:r>
          </w:p>
        </w:tc>
      </w:tr>
      <w:tr>
        <w:tblPrEx>
          <w:tblW w:w="9071" w:type="dxa"/>
          <w:jc w:val="center"/>
          <w:tblInd w:w="0" w:type="dxa"/>
          <w:tblLayout w:type="fixed"/>
          <w:tblCellMar>
            <w:top w:w="0" w:type="dxa"/>
            <w:left w:w="108" w:type="dxa"/>
            <w:bottom w:w="0" w:type="dxa"/>
            <w:right w:w="108" w:type="dxa"/>
          </w:tblCellMar>
        </w:tblPrEx>
        <w:trPr>
          <w:trHeight w:val="614"/>
          <w:jc w:val="center"/>
        </w:trPr>
        <w:tc>
          <w:tcPr>
            <w:tcW w:w="882" w:type="dxa"/>
            <w:tcBorders>
              <w:left w:val="single" w:sz="4" w:space="0" w:color="auto"/>
              <w:right w:val="single" w:sz="4" w:space="0" w:color="auto"/>
            </w:tcBorders>
            <w:vAlign w:val="center"/>
          </w:tcPr>
          <w:p>
            <w:pPr>
              <w:jc w:val="center"/>
              <w:rPr>
                <w:rFonts w:ascii="宋体" w:hAnsi="宋体"/>
                <w:b/>
                <w:bCs/>
              </w:rPr>
            </w:pPr>
            <w:r>
              <w:rPr>
                <w:rFonts w:ascii="宋体" w:hAnsi="宋体" w:hint="eastAsia"/>
                <w:b/>
                <w:bCs/>
              </w:rPr>
              <w:t>7</w:t>
            </w:r>
          </w:p>
        </w:tc>
        <w:tc>
          <w:tcPr>
            <w:tcW w:w="1296" w:type="dxa"/>
            <w:tcBorders>
              <w:left w:val="nil"/>
              <w:right w:val="single" w:sz="4" w:space="0" w:color="auto"/>
            </w:tcBorders>
            <w:vAlign w:val="center"/>
          </w:tcPr>
          <w:p>
            <w:pPr>
              <w:jc w:val="center"/>
              <w:rPr>
                <w:rFonts w:ascii="宋体" w:hAnsi="宋体"/>
                <w:b/>
                <w:bCs/>
                <w:kern w:val="0"/>
              </w:rPr>
            </w:pPr>
            <w:r>
              <w:rPr>
                <w:rFonts w:ascii="宋体" w:hAnsi="宋体" w:hint="eastAsia"/>
                <w:color w:val="FF0000"/>
              </w:rPr>
              <w:t>★</w:t>
            </w:r>
            <w:r>
              <w:rPr>
                <w:rFonts w:ascii="宋体" w:hAnsi="宋体" w:hint="eastAsia"/>
                <w:b/>
                <w:bCs/>
                <w:kern w:val="0"/>
              </w:rPr>
              <w:t>付款方式</w:t>
            </w:r>
          </w:p>
        </w:tc>
        <w:tc>
          <w:tcPr>
            <w:tcW w:w="6893" w:type="dxa"/>
            <w:tcBorders>
              <w:top w:val="single" w:sz="4" w:space="0" w:color="auto"/>
              <w:left w:val="nil"/>
              <w:bottom w:val="single" w:sz="4" w:space="0" w:color="auto"/>
              <w:right w:val="single" w:sz="4" w:space="0" w:color="auto"/>
            </w:tcBorders>
            <w:vAlign w:val="center"/>
          </w:tcPr>
          <w:p>
            <w:pPr>
              <w:autoSpaceDE w:val="0"/>
              <w:rPr>
                <w:rFonts w:ascii="宋体" w:hAnsi="宋体" w:cs="宋体"/>
                <w:kern w:val="0"/>
                <w:szCs w:val="21"/>
              </w:rPr>
            </w:pPr>
            <w:r>
              <w:rPr>
                <w:rFonts w:ascii="宋体" w:hAnsi="宋体" w:cs="宋体" w:hint="eastAsia"/>
                <w:b/>
                <w:bCs/>
                <w:color w:val="FF0000"/>
                <w:kern w:val="0"/>
                <w:szCs w:val="21"/>
              </w:rPr>
              <w:t>7.1本合同分两期付款。1.设备到货后甲方向</w:t>
            </w:r>
            <w:r>
              <w:rPr>
                <w:rFonts w:ascii="宋体" w:hAnsi="宋体" w:cs="宋体" w:hint="eastAsia"/>
                <w:b/>
                <w:bCs/>
                <w:color w:val="FF0000"/>
                <w:kern w:val="0"/>
                <w:szCs w:val="21"/>
                <w:lang w:eastAsia="zh-CN"/>
              </w:rPr>
              <w:t>乙方</w:t>
            </w:r>
            <w:r>
              <w:rPr>
                <w:rFonts w:ascii="宋体" w:hAnsi="宋体" w:cs="宋体" w:hint="eastAsia"/>
                <w:b/>
                <w:bCs/>
                <w:color w:val="FF0000"/>
                <w:kern w:val="0"/>
                <w:szCs w:val="21"/>
              </w:rPr>
              <w:t>支付合同总价款70%。2.设备安装验收后提交合同总价款5%履约</w:t>
            </w:r>
            <w:r>
              <w:rPr>
                <w:rFonts w:ascii="宋体" w:hAnsi="宋体" w:cs="宋体" w:hint="eastAsia"/>
                <w:b/>
                <w:bCs/>
                <w:color w:val="FF0000"/>
                <w:kern w:val="0"/>
                <w:szCs w:val="21"/>
                <w:lang w:eastAsia="zh-CN"/>
              </w:rPr>
              <w:t>保证金（应当以支票、汇票、本票或保函等非现金形式提交（具体形式以双方协商为准））</w:t>
            </w:r>
            <w:r>
              <w:rPr>
                <w:rFonts w:ascii="宋体" w:hAnsi="宋体" w:cs="宋体" w:hint="eastAsia"/>
                <w:b/>
                <w:bCs/>
                <w:color w:val="FF0000"/>
                <w:kern w:val="0"/>
                <w:szCs w:val="21"/>
              </w:rPr>
              <w:t>，甲方向乙方支付合同总价款30%。3.在设备验收合格后，甲方归还5%履约保函给乙方。因财政资金拨款未到位而导致甲方未在约定期限内支付合同费用的，乙方不得要求甲方承担逾期付款的违约责任。每次付款前，乙方应需先提供相应额度的正规发票给甲方，以便办理支付手续。具体付款方式按深圳市龙华区财政局有关规定执行。</w:t>
            </w:r>
          </w:p>
        </w:tc>
      </w:tr>
    </w:tbl>
    <w:p>
      <w:pPr>
        <w:pStyle w:val="Heading2"/>
        <w:spacing w:line="360" w:lineRule="auto"/>
        <w:jc w:val="left"/>
        <w:rPr>
          <w:rFonts w:ascii="宋体" w:hAnsi="宋体" w:cs="宋体"/>
          <w:b/>
          <w:bCs/>
          <w:sz w:val="28"/>
          <w:szCs w:val="28"/>
        </w:rPr>
      </w:pPr>
    </w:p>
    <w:p>
      <w:pPr>
        <w:pStyle w:val="Heading2"/>
        <w:spacing w:line="360" w:lineRule="auto"/>
        <w:jc w:val="left"/>
        <w:rPr>
          <w:rFonts w:ascii="宋体" w:hAnsi="宋体" w:cs="宋体"/>
          <w:b/>
          <w:bCs/>
          <w:sz w:val="28"/>
          <w:szCs w:val="28"/>
        </w:rPr>
      </w:pPr>
      <w:r>
        <w:rPr>
          <w:rFonts w:ascii="宋体" w:hAnsi="宋体" w:cs="宋体" w:hint="eastAsia"/>
          <w:b/>
          <w:bCs/>
          <w:sz w:val="28"/>
          <w:szCs w:val="28"/>
        </w:rPr>
        <w:t>六、其他重要条款</w:t>
      </w:r>
    </w:p>
    <w:p>
      <w:pPr>
        <w:spacing w:line="360" w:lineRule="auto"/>
        <w:rPr>
          <w:rFonts w:ascii="宋体" w:hAnsi="宋体" w:cs="宋体"/>
          <w:bCs/>
          <w:szCs w:val="21"/>
        </w:rPr>
      </w:pPr>
      <w:r>
        <w:rPr>
          <w:rFonts w:ascii="宋体" w:hAnsi="宋体" w:cs="宋体"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NormalIndent"/>
        <w:spacing w:line="360" w:lineRule="auto"/>
        <w:ind w:firstLine="0"/>
        <w:rPr>
          <w:rFonts w:ascii="宋体" w:hAnsi="宋体" w:cs="宋体"/>
          <w:szCs w:val="21"/>
        </w:rPr>
      </w:pPr>
      <w:r>
        <w:rPr>
          <w:rFonts w:ascii="宋体" w:hAnsi="宋体" w:cs="宋体" w:hint="eastAsia"/>
          <w:bCs/>
          <w:szCs w:val="21"/>
        </w:rPr>
        <w:t>2、投标人应充分了解项目的位置、情况、道路及任何其它足以影响投标报价的情况，任何因忽视或误解项目情况而导致的索赔或服务期限延长申请将不获批准。</w:t>
      </w:r>
    </w:p>
    <w:p>
      <w:pPr>
        <w:spacing w:line="360" w:lineRule="auto"/>
        <w:rPr>
          <w:rFonts w:ascii="宋体" w:hAnsi="宋体" w:cs="宋体"/>
          <w:bCs/>
          <w:szCs w:val="21"/>
        </w:rPr>
      </w:pPr>
      <w:r>
        <w:rPr>
          <w:rFonts w:ascii="宋体" w:hAnsi="宋体" w:cs="宋体" w:hint="eastAsia"/>
          <w:bCs/>
          <w:szCs w:val="21"/>
        </w:rPr>
        <w:t>3、投标人不得期望通过索赔等方式获取补偿，否则，除可能遭到拒绝外，还可能将被作为不良行为记录在案，并可能影响其以后参加政府采购的项目投标。各投标人在投标报价时，应充分考虑投标报价的风险。</w:t>
      </w:r>
    </w:p>
    <w:p>
      <w:pPr>
        <w:spacing w:line="360" w:lineRule="auto"/>
        <w:rPr>
          <w:rFonts w:ascii="宋体" w:hAnsi="宋体" w:cs="宋体"/>
          <w:bCs/>
          <w:szCs w:val="21"/>
        </w:rPr>
      </w:pPr>
      <w:r>
        <w:rPr>
          <w:rFonts w:ascii="宋体" w:hAnsi="宋体" w:cs="宋体" w:hint="eastAsia"/>
          <w:bCs/>
          <w:szCs w:val="21"/>
        </w:rPr>
        <w:t>4、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spacing w:line="360" w:lineRule="auto"/>
        <w:rPr>
          <w:rFonts w:ascii="宋体" w:hAnsi="宋体" w:cs="宋体"/>
          <w:bCs/>
          <w:szCs w:val="21"/>
        </w:rPr>
      </w:pPr>
      <w:r>
        <w:rPr>
          <w:rFonts w:ascii="宋体" w:hAnsi="宋体" w:cs="宋体" w:hint="eastAsia"/>
          <w:bCs/>
          <w:szCs w:val="21"/>
        </w:rPr>
        <w:t>5、除政府采购合同继续履行将损害国家利益和社会公共利益外，双方当事人不得擅自变更、中止或者终止合同。</w:t>
      </w:r>
    </w:p>
    <w:p>
      <w:pPr>
        <w:spacing w:line="360" w:lineRule="auto"/>
        <w:rPr>
          <w:rFonts w:ascii="宋体" w:hAnsi="宋体" w:cs="宋体"/>
        </w:rPr>
      </w:pPr>
      <w:r>
        <w:rPr>
          <w:rFonts w:ascii="宋体" w:hAnsi="宋体" w:cs="宋体" w:hint="eastAsia"/>
          <w:bCs/>
          <w:szCs w:val="21"/>
        </w:rPr>
        <w:t>6、“信用中国”、“中国政府采购网”、“深圳信用网”以及“深圳市政府采购监管网”为供应商信用信息的查询渠道，相关信息以开标当日的查询结果为准。</w:t>
      </w:r>
    </w:p>
    <w:p>
      <w:pPr>
        <w:spacing w:line="360" w:lineRule="auto"/>
        <w:rPr>
          <w:rFonts w:ascii="宋体" w:hAnsi="宋体" w:cs="宋体"/>
        </w:rPr>
      </w:pPr>
      <w:r>
        <w:rPr>
          <w:rFonts w:ascii="宋体" w:hAnsi="宋体" w:cs="宋体" w:hint="eastAsia"/>
        </w:rPr>
        <w:br w:type="page"/>
      </w:r>
    </w:p>
    <w:p>
      <w:pPr>
        <w:pStyle w:val="Heading2"/>
        <w:spacing w:line="360" w:lineRule="auto"/>
        <w:rPr>
          <w:rFonts w:ascii="宋体" w:hAnsi="宋体" w:cs="宋体"/>
          <w:b/>
          <w:bCs/>
          <w:kern w:val="2"/>
        </w:rPr>
      </w:pPr>
      <w:r>
        <w:rPr>
          <w:rFonts w:ascii="宋体" w:hAnsi="宋体" w:cs="宋体" w:hint="eastAsia"/>
          <w:b/>
          <w:bCs/>
          <w:kern w:val="2"/>
        </w:rPr>
        <w:t>第四章  投标文件组成要求及格式</w:t>
      </w:r>
    </w:p>
    <w:p>
      <w:pPr>
        <w:spacing w:line="360" w:lineRule="auto"/>
        <w:rPr>
          <w:rStyle w:val="3Char"/>
          <w:rFonts w:ascii="宋体" w:eastAsia="宋体" w:hAnsi="宋体" w:cs="宋体"/>
          <w:sz w:val="24"/>
        </w:rPr>
      </w:pPr>
      <w:r>
        <w:rPr>
          <w:rStyle w:val="3Char"/>
          <w:rFonts w:ascii="宋体" w:eastAsia="宋体" w:hAnsi="宋体" w:cs="宋体" w:hint="eastAsia"/>
          <w:sz w:val="24"/>
        </w:rPr>
        <w:t>特别提醒：</w:t>
      </w:r>
    </w:p>
    <w:p>
      <w:pPr>
        <w:spacing w:line="360" w:lineRule="auto"/>
        <w:rPr>
          <w:rFonts w:ascii="宋体" w:hAnsi="宋体" w:cs="宋体"/>
          <w:sz w:val="24"/>
        </w:rPr>
      </w:pPr>
      <w:r>
        <w:rPr>
          <w:rFonts w:ascii="宋体" w:hAnsi="宋体" w:cs="宋体"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spacing w:line="360" w:lineRule="auto"/>
        <w:rPr>
          <w:rFonts w:ascii="宋体" w:hAnsi="宋体" w:cs="宋体"/>
          <w:sz w:val="24"/>
        </w:rPr>
      </w:pPr>
      <w:r>
        <w:rPr>
          <w:rFonts w:ascii="宋体" w:hAnsi="宋体" w:cs="宋体" w:hint="eastAsia"/>
          <w:sz w:val="24"/>
        </w:rPr>
        <w:t>投标文件正文（信息公开部分）必须编制于“投标书目录”，投标文件附件（非信息公开部分）必须编制于“投标书附件”，如下图所示。</w:t>
      </w:r>
    </w:p>
    <w:p>
      <w:pPr>
        <w:spacing w:line="360" w:lineRule="auto"/>
        <w:rPr>
          <w:rFonts w:ascii="宋体" w:hAnsi="宋体" w:cs="宋体"/>
          <w:sz w:val="24"/>
        </w:rPr>
      </w:pPr>
      <w:r>
        <w:rPr>
          <w:rFonts w:ascii="宋体" w:hAnsi="宋体" w:cs="宋体" w:hint="eastAsia"/>
          <w:sz w:val="24"/>
        </w:rPr>
        <w:drawing>
          <wp:inline distT="0" distB="0" distL="114300" distR="114300">
            <wp:extent cx="5276850" cy="4109085"/>
            <wp:effectExtent l="0" t="0" r="0" b="5715"/>
            <wp:docPr id="1" name="图片 1" descr="c66f322b8feee32c1a3f0d48f365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6f322b8feee32c1a3f0d48f365c82"/>
                    <pic:cNvPicPr>
                      <a:picLocks noChangeAspect="1"/>
                    </pic:cNvPicPr>
                  </pic:nvPicPr>
                  <pic:blipFill>
                    <a:blip xmlns:r="http://schemas.openxmlformats.org/officeDocument/2006/relationships" r:embed="rId4"/>
                    <a:stretch>
                      <a:fillRect/>
                    </a:stretch>
                  </pic:blipFill>
                  <pic:spPr>
                    <a:xfrm>
                      <a:off x="0" y="0"/>
                      <a:ext cx="5276850" cy="4109085"/>
                    </a:xfrm>
                    <a:prstGeom prst="rect">
                      <a:avLst/>
                    </a:prstGeom>
                  </pic:spPr>
                </pic:pic>
              </a:graphicData>
            </a:graphic>
          </wp:inline>
        </w:drawing>
      </w:r>
    </w:p>
    <w:p>
      <w:pPr>
        <w:widowControl/>
        <w:spacing w:line="360" w:lineRule="auto"/>
        <w:jc w:val="left"/>
        <w:rPr>
          <w:rFonts w:ascii="宋体" w:hAnsi="宋体" w:cs="宋体"/>
          <w:kern w:val="0"/>
          <w:sz w:val="24"/>
        </w:rPr>
      </w:pPr>
    </w:p>
    <w:p>
      <w:pPr>
        <w:spacing w:line="360" w:lineRule="auto"/>
        <w:jc w:val="center"/>
        <w:rPr>
          <w:rFonts w:ascii="宋体" w:hAnsi="宋体" w:cs="宋体"/>
          <w:sz w:val="24"/>
        </w:rPr>
      </w:pPr>
    </w:p>
    <w:p>
      <w:pPr>
        <w:spacing w:line="360" w:lineRule="auto"/>
        <w:rPr>
          <w:rFonts w:ascii="宋体" w:hAnsi="宋体" w:cs="宋体"/>
          <w:b/>
          <w:sz w:val="24"/>
        </w:rPr>
      </w:pPr>
      <w:r>
        <w:rPr>
          <w:rFonts w:ascii="宋体" w:hAnsi="宋体" w:cs="宋体" w:hint="eastAsia"/>
          <w:sz w:val="24"/>
        </w:rPr>
        <w:t>我司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spacing w:line="360" w:lineRule="auto"/>
        <w:rPr>
          <w:rStyle w:val="3Char"/>
          <w:rFonts w:ascii="宋体" w:eastAsia="宋体" w:hAnsi="宋体" w:cs="宋体"/>
          <w:sz w:val="28"/>
          <w:szCs w:val="28"/>
        </w:rPr>
      </w:pPr>
      <w:r>
        <w:rPr>
          <w:rStyle w:val="3Char"/>
          <w:rFonts w:ascii="宋体" w:eastAsia="宋体" w:hAnsi="宋体" w:cs="宋体" w:hint="eastAsia"/>
          <w:sz w:val="28"/>
          <w:szCs w:val="28"/>
        </w:rPr>
        <w:br w:type="page"/>
      </w:r>
    </w:p>
    <w:p>
      <w:pPr>
        <w:spacing w:line="360" w:lineRule="auto"/>
        <w:outlineLvl w:val="0"/>
        <w:rPr>
          <w:rStyle w:val="3Char"/>
          <w:rFonts w:ascii="宋体" w:eastAsia="宋体" w:hAnsi="宋体" w:cs="宋体"/>
          <w:sz w:val="28"/>
          <w:szCs w:val="28"/>
        </w:rPr>
      </w:pPr>
      <w:r>
        <w:rPr>
          <w:rStyle w:val="3Char"/>
          <w:rFonts w:ascii="宋体" w:eastAsia="宋体" w:hAnsi="宋体" w:cs="宋体" w:hint="eastAsia"/>
          <w:sz w:val="28"/>
          <w:szCs w:val="28"/>
        </w:rPr>
        <w:t>投标文件组成</w:t>
      </w:r>
      <w:r>
        <w:rPr>
          <w:rStyle w:val="3Char"/>
          <w:rFonts w:ascii="宋体" w:eastAsia="宋体" w:hAnsi="宋体" w:cs="宋体" w:hint="eastAsia"/>
          <w:color w:val="FF0000"/>
          <w:sz w:val="28"/>
          <w:szCs w:val="28"/>
        </w:rPr>
        <w:t>【与投标文件节点对应】</w:t>
      </w:r>
      <w:r>
        <w:rPr>
          <w:rStyle w:val="3Char"/>
          <w:rFonts w:ascii="宋体" w:eastAsia="宋体" w:hAnsi="宋体" w:cs="宋体" w:hint="eastAsia"/>
          <w:sz w:val="28"/>
          <w:szCs w:val="28"/>
        </w:rPr>
        <w:t>：</w:t>
      </w:r>
    </w:p>
    <w:p>
      <w:pPr>
        <w:spacing w:line="360" w:lineRule="auto"/>
        <w:outlineLvl w:val="0"/>
        <w:rPr>
          <w:rFonts w:ascii="宋体" w:hAnsi="宋体" w:cs="宋体"/>
          <w:szCs w:val="21"/>
        </w:rPr>
      </w:pPr>
      <w:bookmarkStart w:id="45" w:name="_Hlk72257253"/>
      <w:r>
        <w:rPr>
          <w:rFonts w:ascii="宋体" w:hAnsi="宋体" w:cs="宋体" w:hint="eastAsia"/>
          <w:szCs w:val="21"/>
        </w:rPr>
        <w:t>1.投标文件正文</w:t>
      </w:r>
      <w:r>
        <w:rPr>
          <w:rFonts w:ascii="宋体" w:hAnsi="宋体" w:cs="宋体" w:hint="eastAsia"/>
          <w:b/>
          <w:color w:val="FF0000"/>
          <w:szCs w:val="21"/>
        </w:rPr>
        <w:t>（信息公开部分）</w:t>
      </w:r>
      <w:r>
        <w:rPr>
          <w:rFonts w:ascii="宋体" w:hAnsi="宋体" w:cs="宋体" w:hint="eastAsia"/>
          <w:szCs w:val="21"/>
        </w:rPr>
        <w:t>，主要包括以下内容：</w:t>
      </w:r>
    </w:p>
    <w:p>
      <w:pPr>
        <w:spacing w:line="360" w:lineRule="auto"/>
        <w:rPr>
          <w:rFonts w:ascii="宋体" w:hAnsi="宋体" w:cs="宋体"/>
          <w:szCs w:val="21"/>
        </w:rPr>
      </w:pPr>
      <w:r>
        <w:rPr>
          <w:rFonts w:ascii="宋体" w:hAnsi="宋体" w:cs="宋体" w:hint="eastAsia"/>
          <w:szCs w:val="21"/>
        </w:rPr>
        <w:t>（1）</w:t>
      </w:r>
      <w:bookmarkStart w:id="46" w:name="_Hlk72070784"/>
      <w:r>
        <w:rPr>
          <w:rFonts w:ascii="宋体" w:hAnsi="宋体" w:cs="宋体" w:hint="eastAsia"/>
          <w:szCs w:val="21"/>
        </w:rPr>
        <w:t>投标函</w:t>
      </w:r>
      <w:bookmarkEnd w:id="46"/>
    </w:p>
    <w:p>
      <w:pPr>
        <w:spacing w:line="360" w:lineRule="auto"/>
        <w:rPr>
          <w:rFonts w:ascii="宋体" w:hAnsi="宋体" w:cs="宋体"/>
          <w:szCs w:val="21"/>
        </w:rPr>
      </w:pPr>
      <w:r>
        <w:rPr>
          <w:rFonts w:ascii="宋体" w:hAnsi="宋体" w:cs="宋体" w:hint="eastAsia"/>
          <w:szCs w:val="21"/>
        </w:rPr>
        <w:t>（2）</w:t>
      </w:r>
      <w:bookmarkStart w:id="47" w:name="_Hlk72062521"/>
      <w:r>
        <w:rPr>
          <w:rFonts w:ascii="宋体" w:hAnsi="宋体" w:cs="宋体" w:hint="eastAsia"/>
          <w:szCs w:val="21"/>
        </w:rPr>
        <w:t>政府采购投标及履约承诺函</w:t>
      </w:r>
      <w:bookmarkEnd w:id="47"/>
    </w:p>
    <w:p>
      <w:pPr>
        <w:spacing w:line="360" w:lineRule="auto"/>
        <w:rPr>
          <w:rFonts w:ascii="宋体" w:hAnsi="宋体" w:cs="宋体"/>
          <w:szCs w:val="21"/>
        </w:rPr>
      </w:pPr>
      <w:r>
        <w:rPr>
          <w:rFonts w:ascii="宋体" w:hAnsi="宋体" w:cs="宋体" w:hint="eastAsia"/>
          <w:szCs w:val="21"/>
        </w:rPr>
        <w:t>（3）投标人情况及资格证明文件</w:t>
      </w:r>
    </w:p>
    <w:p>
      <w:pPr>
        <w:spacing w:line="360" w:lineRule="auto"/>
        <w:rPr>
          <w:rFonts w:ascii="宋体" w:hAnsi="宋体" w:cs="宋体"/>
          <w:szCs w:val="21"/>
        </w:rPr>
      </w:pPr>
      <w:bookmarkStart w:id="48" w:name="_Hlk72257201"/>
      <w:r>
        <w:rPr>
          <w:rFonts w:ascii="宋体" w:hAnsi="宋体" w:cs="宋体" w:hint="eastAsia"/>
          <w:szCs w:val="21"/>
        </w:rPr>
        <w:t>（4）项目详细报价</w:t>
      </w:r>
      <w:bookmarkEnd w:id="48"/>
    </w:p>
    <w:p>
      <w:pPr>
        <w:spacing w:line="360" w:lineRule="auto"/>
        <w:outlineLvl w:val="0"/>
        <w:rPr>
          <w:rFonts w:ascii="宋体" w:hAnsi="宋体" w:cs="宋体"/>
          <w:szCs w:val="21"/>
        </w:rPr>
      </w:pPr>
      <w:r>
        <w:rPr>
          <w:rFonts w:ascii="宋体" w:hAnsi="宋体" w:cs="宋体" w:hint="eastAsia"/>
          <w:szCs w:val="21"/>
        </w:rPr>
        <w:t>2.投标文件附件</w:t>
      </w:r>
      <w:r>
        <w:rPr>
          <w:rFonts w:ascii="宋体" w:hAnsi="宋体" w:cs="宋体" w:hint="eastAsia"/>
          <w:b/>
          <w:color w:val="FF0000"/>
          <w:szCs w:val="21"/>
        </w:rPr>
        <w:t>（信息不公开部分）</w:t>
      </w:r>
      <w:r>
        <w:rPr>
          <w:rFonts w:ascii="宋体" w:hAnsi="宋体" w:cs="宋体" w:hint="eastAsia"/>
          <w:szCs w:val="21"/>
        </w:rPr>
        <w:t>：主要包括以下内容：</w:t>
      </w:r>
    </w:p>
    <w:p>
      <w:pPr>
        <w:spacing w:line="360" w:lineRule="auto"/>
        <w:rPr>
          <w:rFonts w:ascii="宋体" w:hAnsi="宋体" w:cs="宋体"/>
          <w:szCs w:val="21"/>
        </w:rPr>
      </w:pPr>
      <w:bookmarkEnd w:id="45"/>
      <w:r>
        <w:rPr>
          <w:rFonts w:ascii="宋体" w:hAnsi="宋体" w:cs="宋体" w:hint="eastAsia"/>
          <w:szCs w:val="21"/>
        </w:rPr>
        <w:t>（1）法定代表人（负责人）证明书</w:t>
      </w:r>
    </w:p>
    <w:p>
      <w:pPr>
        <w:spacing w:line="360" w:lineRule="auto"/>
        <w:rPr>
          <w:rFonts w:ascii="宋体" w:hAnsi="宋体" w:cs="宋体"/>
          <w:szCs w:val="21"/>
        </w:rPr>
      </w:pPr>
      <w:r>
        <w:rPr>
          <w:rFonts w:ascii="宋体" w:hAnsi="宋体" w:cs="宋体" w:hint="eastAsia"/>
          <w:szCs w:val="21"/>
        </w:rPr>
        <w:t>（2）投标文件签署授权委托书</w:t>
      </w:r>
    </w:p>
    <w:p>
      <w:pPr>
        <w:spacing w:line="360" w:lineRule="auto"/>
        <w:rPr>
          <w:rFonts w:ascii="宋体" w:hAnsi="宋体" w:cs="宋体"/>
          <w:szCs w:val="21"/>
        </w:rPr>
      </w:pPr>
      <w:r>
        <w:rPr>
          <w:rFonts w:ascii="宋体" w:hAnsi="宋体" w:cs="宋体" w:hint="eastAsia"/>
          <w:szCs w:val="21"/>
        </w:rPr>
        <w:t>（3）政府采购违法行为风险知悉确认书</w:t>
      </w:r>
    </w:p>
    <w:p>
      <w:pPr>
        <w:spacing w:line="360" w:lineRule="auto"/>
        <w:rPr>
          <w:rFonts w:ascii="宋体" w:hAnsi="宋体" w:cs="宋体"/>
          <w:szCs w:val="21"/>
        </w:rPr>
      </w:pPr>
      <w:r>
        <w:rPr>
          <w:rFonts w:ascii="宋体" w:hAnsi="宋体" w:cs="宋体" w:hint="eastAsia"/>
          <w:szCs w:val="21"/>
        </w:rPr>
        <w:t>（4）实质性条款响应情况表</w:t>
      </w:r>
    </w:p>
    <w:p>
      <w:pPr>
        <w:spacing w:line="360" w:lineRule="auto"/>
        <w:rPr>
          <w:rFonts w:ascii="宋体" w:hAnsi="宋体" w:cs="宋体"/>
          <w:szCs w:val="21"/>
        </w:rPr>
      </w:pPr>
      <w:r>
        <w:rPr>
          <w:rFonts w:ascii="宋体" w:hAnsi="宋体" w:cs="宋体" w:hint="eastAsia"/>
          <w:szCs w:val="21"/>
        </w:rPr>
        <w:t>（5）符合性证明文件</w:t>
      </w:r>
    </w:p>
    <w:p>
      <w:pPr>
        <w:spacing w:line="360" w:lineRule="auto"/>
        <w:rPr>
          <w:rFonts w:ascii="宋体" w:hAnsi="宋体" w:cs="宋体"/>
          <w:szCs w:val="21"/>
        </w:rPr>
      </w:pPr>
      <w:r>
        <w:rPr>
          <w:rFonts w:ascii="宋体" w:hAnsi="宋体" w:cs="宋体" w:hint="eastAsia"/>
          <w:szCs w:val="21"/>
        </w:rPr>
        <w:t>（6）项目需求理解与分析</w:t>
      </w:r>
    </w:p>
    <w:p>
      <w:pPr>
        <w:spacing w:line="360" w:lineRule="auto"/>
        <w:rPr>
          <w:rFonts w:ascii="宋体" w:hAnsi="宋体" w:cs="宋体"/>
          <w:szCs w:val="21"/>
        </w:rPr>
      </w:pPr>
      <w:r>
        <w:rPr>
          <w:rFonts w:ascii="宋体" w:hAnsi="宋体" w:cs="宋体" w:hint="eastAsia"/>
          <w:szCs w:val="21"/>
        </w:rPr>
        <w:t>（7）技术要求偏离表</w:t>
      </w:r>
    </w:p>
    <w:p>
      <w:pPr>
        <w:spacing w:line="360" w:lineRule="auto"/>
        <w:rPr>
          <w:rFonts w:ascii="宋体" w:hAnsi="宋体" w:cs="宋体"/>
          <w:szCs w:val="21"/>
        </w:rPr>
      </w:pPr>
      <w:r>
        <w:rPr>
          <w:rFonts w:ascii="宋体" w:hAnsi="宋体" w:cs="宋体" w:hint="eastAsia"/>
          <w:szCs w:val="21"/>
        </w:rPr>
        <w:t>（8）商务要求偏离表</w:t>
      </w:r>
    </w:p>
    <w:p>
      <w:pPr>
        <w:spacing w:line="360" w:lineRule="auto"/>
        <w:rPr>
          <w:rFonts w:ascii="宋体" w:hAnsi="宋体" w:cs="宋体"/>
          <w:szCs w:val="21"/>
        </w:rPr>
      </w:pPr>
      <w:r>
        <w:rPr>
          <w:rFonts w:ascii="宋体" w:hAnsi="宋体" w:cs="宋体" w:hint="eastAsia"/>
          <w:szCs w:val="21"/>
        </w:rPr>
        <w:t>（9）投标人认为需要加以说明的其他内容</w:t>
      </w:r>
    </w:p>
    <w:p>
      <w:pPr>
        <w:spacing w:line="360" w:lineRule="auto"/>
        <w:rPr>
          <w:rFonts w:ascii="宋体" w:hAnsi="宋体" w:cs="宋体"/>
          <w:szCs w:val="21"/>
        </w:rPr>
      </w:pPr>
    </w:p>
    <w:p>
      <w:pPr>
        <w:spacing w:line="360" w:lineRule="auto"/>
        <w:rPr>
          <w:rFonts w:ascii="宋体" w:hAnsi="宋体" w:cs="宋体"/>
          <w:b/>
          <w:szCs w:val="21"/>
        </w:rPr>
      </w:pPr>
      <w:bookmarkStart w:id="49" w:name="_Hlk72257771"/>
      <w:r>
        <w:rPr>
          <w:rFonts w:ascii="宋体" w:hAnsi="宋体" w:cs="宋体" w:hint="eastAsia"/>
          <w:b/>
          <w:szCs w:val="21"/>
        </w:rPr>
        <w:t>备注：</w:t>
      </w:r>
    </w:p>
    <w:p>
      <w:pPr>
        <w:spacing w:line="360" w:lineRule="auto"/>
        <w:rPr>
          <w:rFonts w:ascii="宋体" w:hAnsi="宋体" w:cs="宋体"/>
          <w:b/>
          <w:szCs w:val="21"/>
        </w:rPr>
      </w:pPr>
      <w:r>
        <w:rPr>
          <w:rFonts w:ascii="宋体" w:hAnsi="宋体" w:cs="宋体" w:hint="eastAsia"/>
          <w:b/>
          <w:szCs w:val="21"/>
        </w:rPr>
        <w:t>1.本项目为网上电子投标项目，投标文件不需法人或授权委托人另行签字，无需加盖单位公章，招标文件专用条款另有规定的除外。</w:t>
      </w:r>
    </w:p>
    <w:p>
      <w:pPr>
        <w:spacing w:line="360" w:lineRule="auto"/>
        <w:rPr>
          <w:rFonts w:ascii="宋体" w:hAnsi="宋体" w:cs="宋体"/>
          <w:color w:val="FF0000"/>
          <w:szCs w:val="21"/>
        </w:rPr>
      </w:pPr>
      <w:bookmarkStart w:id="50" w:name="_Hlk72263559"/>
      <w:r>
        <w:rPr>
          <w:rFonts w:ascii="宋体" w:hAnsi="宋体" w:cs="宋体" w:hint="eastAsia"/>
          <w:b/>
          <w:szCs w:val="21"/>
        </w:rPr>
        <w:t>2.关于填写“开标一览表”的说明：“开标一览表”中除“投标总价”外，其他信息不作评审依据。</w:t>
      </w:r>
      <w:bookmarkEnd w:id="49"/>
      <w:bookmarkEnd w:id="50"/>
    </w:p>
    <w:p>
      <w:pPr>
        <w:spacing w:line="360" w:lineRule="auto"/>
        <w:rPr>
          <w:rFonts w:ascii="宋体" w:hAnsi="宋体" w:cs="宋体"/>
          <w:color w:val="FF0000"/>
          <w:sz w:val="24"/>
        </w:rPr>
      </w:pPr>
    </w:p>
    <w:p>
      <w:pPr>
        <w:spacing w:line="360" w:lineRule="auto"/>
        <w:rPr>
          <w:rFonts w:ascii="宋体" w:hAnsi="宋体" w:cs="宋体"/>
          <w:color w:val="FF0000"/>
          <w:sz w:val="24"/>
        </w:rPr>
      </w:pPr>
    </w:p>
    <w:p>
      <w:pPr>
        <w:spacing w:line="360" w:lineRule="auto"/>
        <w:rPr>
          <w:rFonts w:ascii="宋体" w:hAnsi="宋体" w:cs="宋体"/>
          <w:b/>
          <w:color w:val="FF0000"/>
          <w:sz w:val="28"/>
          <w:szCs w:val="28"/>
        </w:rPr>
      </w:pPr>
      <w:r>
        <w:rPr>
          <w:rFonts w:ascii="宋体" w:hAnsi="宋体" w:cs="宋体" w:hint="eastAsia"/>
          <w:b/>
          <w:color w:val="FF0000"/>
          <w:sz w:val="28"/>
          <w:szCs w:val="28"/>
        </w:rPr>
        <w:br w:type="page"/>
      </w:r>
    </w:p>
    <w:p>
      <w:pPr>
        <w:spacing w:line="360" w:lineRule="auto"/>
        <w:outlineLvl w:val="1"/>
        <w:rPr>
          <w:rFonts w:ascii="宋体" w:hAnsi="宋体" w:cs="宋体"/>
          <w:b/>
          <w:color w:val="FF0000"/>
          <w:sz w:val="28"/>
          <w:szCs w:val="28"/>
        </w:rPr>
      </w:pPr>
      <w:r>
        <w:rPr>
          <w:rFonts w:ascii="宋体" w:hAnsi="宋体" w:cs="宋体" w:hint="eastAsia"/>
          <w:b/>
          <w:color w:val="FF0000"/>
          <w:sz w:val="28"/>
          <w:szCs w:val="28"/>
        </w:rPr>
        <w:t>投标文件正文（信息公开部分）</w:t>
      </w:r>
    </w:p>
    <w:p>
      <w:pPr>
        <w:pStyle w:val="Heading3"/>
        <w:spacing w:before="0" w:after="0" w:line="360" w:lineRule="auto"/>
        <w:jc w:val="center"/>
        <w:rPr>
          <w:rFonts w:cs="宋体"/>
          <w:b w:val="0"/>
          <w:sz w:val="24"/>
        </w:rPr>
      </w:pPr>
      <w:r>
        <w:rPr>
          <w:rFonts w:cs="宋体" w:hint="eastAsia"/>
          <w:b w:val="0"/>
          <w:sz w:val="24"/>
        </w:rPr>
        <w:t>一、投标函</w:t>
      </w:r>
    </w:p>
    <w:p>
      <w:pPr>
        <w:spacing w:line="360" w:lineRule="auto"/>
        <w:rPr>
          <w:rFonts w:ascii="宋体" w:hAnsi="宋体" w:cs="宋体"/>
          <w:szCs w:val="21"/>
        </w:rPr>
      </w:pPr>
      <w:bookmarkStart w:id="51" w:name="_Hlk72257506"/>
      <w:r>
        <w:rPr>
          <w:rFonts w:ascii="宋体" w:hAnsi="宋体" w:cs="宋体" w:hint="eastAsia"/>
          <w:szCs w:val="21"/>
        </w:rPr>
        <w:t>致：</w:t>
      </w:r>
      <w:r>
        <w:rPr>
          <w:rFonts w:ascii="宋体" w:hAnsi="宋体" w:cs="宋体" w:hint="eastAsia"/>
          <w:color w:val="FF0000"/>
          <w:szCs w:val="21"/>
          <w:u w:val="single"/>
        </w:rPr>
        <w:t>深圳公共资源交易中心</w:t>
      </w:r>
      <w:r>
        <w:rPr>
          <w:rFonts w:ascii="宋体" w:hAnsi="宋体" w:cs="宋体" w:hint="eastAsia"/>
          <w:szCs w:val="21"/>
          <w:u w:val="single"/>
        </w:rPr>
        <w:t xml:space="preserve">  </w:t>
      </w:r>
    </w:p>
    <w:p>
      <w:pPr>
        <w:spacing w:line="360" w:lineRule="auto"/>
        <w:rPr>
          <w:rFonts w:ascii="宋体" w:hAnsi="宋体" w:cs="宋体"/>
          <w:szCs w:val="21"/>
        </w:rPr>
      </w:pPr>
      <w:bookmarkStart w:id="52" w:name="_Hlk73818812"/>
      <w:r>
        <w:rPr>
          <w:rFonts w:ascii="宋体" w:hAnsi="宋体" w:cs="宋体" w:hint="eastAsia"/>
          <w:szCs w:val="21"/>
        </w:rPr>
        <w:t>1、根据已收到贵单位的项目编号为</w:t>
      </w:r>
      <w:r>
        <w:rPr>
          <w:rFonts w:ascii="宋体" w:hAnsi="宋体" w:cs="宋体" w:hint="eastAsia"/>
          <w:szCs w:val="21"/>
          <w:u w:val="single"/>
        </w:rPr>
        <w:t xml:space="preserve">        </w:t>
      </w:r>
      <w:r>
        <w:rPr>
          <w:rFonts w:ascii="宋体" w:hAnsi="宋体" w:cs="宋体" w:hint="eastAsia"/>
          <w:szCs w:val="21"/>
        </w:rPr>
        <w:t>的</w:t>
      </w:r>
      <w:r>
        <w:rPr>
          <w:rFonts w:ascii="宋体" w:hAnsi="宋体" w:cs="宋体" w:hint="eastAsia"/>
          <w:szCs w:val="21"/>
          <w:u w:val="single"/>
        </w:rPr>
        <w:t xml:space="preserve">               </w:t>
      </w:r>
      <w:r>
        <w:rPr>
          <w:rFonts w:ascii="宋体" w:hAnsi="宋体" w:cs="宋体" w:hint="eastAsia"/>
          <w:szCs w:val="21"/>
        </w:rPr>
        <w:t>项目的招标文件，遵照《深圳经济特区政府采购条例》和《深圳网上政府采购管理暂行办法》等有关规定，我单位经研究上述招标文件的专用条款及通用条款后，</w:t>
      </w:r>
      <w:bookmarkStart w:id="53" w:name="_Hlk72263588"/>
      <w:r>
        <w:rPr>
          <w:rFonts w:ascii="宋体" w:hAnsi="宋体" w:cs="宋体" w:hint="eastAsia"/>
          <w:szCs w:val="21"/>
        </w:rPr>
        <w:t>愿意按照招标文件要求承包上述项目并修补其任何缺陷。</w:t>
      </w:r>
      <w:bookmarkEnd w:id="53"/>
    </w:p>
    <w:p>
      <w:pPr>
        <w:spacing w:line="360" w:lineRule="auto"/>
        <w:rPr>
          <w:rFonts w:ascii="宋体" w:hAnsi="宋体" w:cs="宋体"/>
          <w:szCs w:val="21"/>
        </w:rPr>
      </w:pPr>
      <w:r>
        <w:rPr>
          <w:rFonts w:ascii="宋体" w:hAnsi="宋体" w:cs="宋体" w:hint="eastAsia"/>
          <w:szCs w:val="21"/>
        </w:rPr>
        <w:t>2、</w:t>
      </w:r>
      <w:bookmarkStart w:id="54" w:name="_Hlk73819847"/>
      <w:r>
        <w:rPr>
          <w:rFonts w:ascii="宋体" w:hAnsi="宋体" w:cs="宋体" w:hint="eastAsia"/>
          <w:szCs w:val="21"/>
        </w:rPr>
        <w:t>投标价格见投标书编制软件中《开标一览表》中填写的投标总价。</w:t>
      </w:r>
      <w:bookmarkEnd w:id="54"/>
    </w:p>
    <w:p>
      <w:pPr>
        <w:spacing w:line="360" w:lineRule="auto"/>
        <w:rPr>
          <w:rFonts w:ascii="宋体" w:hAnsi="宋体" w:cs="宋体"/>
          <w:szCs w:val="21"/>
        </w:rPr>
      </w:pPr>
      <w:r>
        <w:rPr>
          <w:rFonts w:ascii="宋体" w:hAnsi="宋体" w:cs="宋体" w:hint="eastAsia"/>
          <w:szCs w:val="21"/>
        </w:rPr>
        <w:t>3、如果我单位中标，我单位将按照招标文件的要求足额提交履约担保。</w:t>
      </w:r>
    </w:p>
    <w:p>
      <w:pPr>
        <w:spacing w:line="360" w:lineRule="auto"/>
        <w:rPr>
          <w:rFonts w:ascii="宋体" w:hAnsi="宋体" w:cs="宋体"/>
          <w:szCs w:val="21"/>
        </w:rPr>
      </w:pPr>
      <w:r>
        <w:rPr>
          <w:rFonts w:ascii="宋体" w:hAnsi="宋体" w:cs="宋体" w:hint="eastAsia"/>
          <w:szCs w:val="21"/>
        </w:rPr>
        <w:t>4、我单位同意所递交的投标文件在“对通用条款的补充内容”中明确的投标有效期内有效，在此期间内我单位的投标有可能中标，我方将受此约束。</w:t>
      </w:r>
    </w:p>
    <w:p>
      <w:pPr>
        <w:spacing w:line="360" w:lineRule="auto"/>
        <w:rPr>
          <w:rFonts w:ascii="宋体" w:hAnsi="宋体" w:cs="宋体"/>
          <w:szCs w:val="21"/>
        </w:rPr>
      </w:pPr>
      <w:r>
        <w:rPr>
          <w:rFonts w:ascii="宋体" w:hAnsi="宋体" w:cs="宋体" w:hint="eastAsia"/>
          <w:szCs w:val="21"/>
        </w:rPr>
        <w:t>5、除非另外达成协议并生效，贵单位的中标通知书和本投标文件将构成合同的重要内容。</w:t>
      </w:r>
    </w:p>
    <w:p>
      <w:pPr>
        <w:spacing w:line="360" w:lineRule="auto"/>
        <w:rPr>
          <w:rFonts w:ascii="宋体" w:hAnsi="宋体" w:cs="宋体"/>
          <w:szCs w:val="21"/>
        </w:rPr>
      </w:pPr>
      <w:r>
        <w:rPr>
          <w:rFonts w:ascii="宋体" w:hAnsi="宋体" w:cs="宋体" w:hint="eastAsia"/>
          <w:szCs w:val="21"/>
        </w:rPr>
        <w:t>6、我单位理解贵单位将不受必须接受所收到的最低报价或其它任何投标文件的约束。</w:t>
      </w:r>
      <w:bookmarkEnd w:id="52"/>
    </w:p>
    <w:p>
      <w:pPr>
        <w:spacing w:line="360" w:lineRule="auto"/>
        <w:rPr>
          <w:rFonts w:ascii="宋体" w:hAnsi="宋体" w:cs="宋体"/>
          <w:szCs w:val="21"/>
          <w:u w:val="single"/>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 xml:space="preserve">    单位地址：</w:t>
      </w:r>
      <w:r>
        <w:rPr>
          <w:rFonts w:ascii="宋体" w:hAnsi="宋体" w:cs="宋体" w:hint="eastAsia"/>
          <w:szCs w:val="21"/>
          <w:u w:val="single"/>
        </w:rPr>
        <w:t xml:space="preserve">               </w:t>
      </w:r>
    </w:p>
    <w:p>
      <w:pPr>
        <w:spacing w:line="360" w:lineRule="auto"/>
        <w:rPr>
          <w:rFonts w:ascii="宋体" w:hAnsi="宋体" w:cs="宋体"/>
          <w:szCs w:val="21"/>
          <w:u w:val="single"/>
        </w:rPr>
      </w:pPr>
      <w:r>
        <w:rPr>
          <w:rFonts w:ascii="宋体" w:hAnsi="宋体" w:cs="宋体" w:hint="eastAsia"/>
          <w:szCs w:val="21"/>
        </w:rPr>
        <w:t>法定代表人（负责人）或其委托代理人：</w:t>
      </w:r>
      <w:r>
        <w:rPr>
          <w:rFonts w:ascii="宋体" w:hAnsi="宋体" w:cs="宋体" w:hint="eastAsia"/>
          <w:szCs w:val="21"/>
          <w:u w:val="single"/>
        </w:rPr>
        <w:t xml:space="preserve">                   </w:t>
      </w:r>
    </w:p>
    <w:p>
      <w:pPr>
        <w:spacing w:line="360" w:lineRule="auto"/>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 xml:space="preserve">  电话：</w:t>
      </w:r>
      <w:r>
        <w:rPr>
          <w:rFonts w:ascii="宋体" w:hAnsi="宋体" w:cs="宋体" w:hint="eastAsia"/>
          <w:szCs w:val="21"/>
          <w:u w:val="single"/>
        </w:rPr>
        <w:t xml:space="preserve">          </w:t>
      </w:r>
      <w:r>
        <w:rPr>
          <w:rFonts w:ascii="宋体" w:hAnsi="宋体" w:cs="宋体" w:hint="eastAsia"/>
          <w:szCs w:val="21"/>
        </w:rPr>
        <w:t xml:space="preserve">  传真：</w:t>
      </w:r>
      <w:r>
        <w:rPr>
          <w:rFonts w:ascii="宋体" w:hAnsi="宋体" w:cs="宋体" w:hint="eastAsia"/>
          <w:szCs w:val="21"/>
          <w:u w:val="single"/>
        </w:rPr>
        <w:t xml:space="preserve">            </w:t>
      </w:r>
    </w:p>
    <w:p>
      <w:pPr>
        <w:spacing w:line="360" w:lineRule="auto"/>
        <w:rPr>
          <w:rFonts w:ascii="宋体" w:hAnsi="宋体" w:cs="宋体"/>
          <w:szCs w:val="21"/>
        </w:rPr>
      </w:pPr>
      <w:r>
        <w:rPr>
          <w:rFonts w:ascii="宋体" w:hAnsi="宋体" w:cs="宋体" w:hint="eastAsia"/>
          <w:szCs w:val="21"/>
        </w:rPr>
        <w:t>开户银行名称：</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ab/>
      </w:r>
      <w:r>
        <w:rPr>
          <w:rFonts w:ascii="宋体" w:hAnsi="宋体" w:cs="宋体" w:hint="eastAsia"/>
          <w:szCs w:val="21"/>
        </w:rPr>
        <w:t>开户银行账号：</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p>
    <w:p>
      <w:pPr>
        <w:spacing w:line="360" w:lineRule="auto"/>
        <w:rPr>
          <w:rFonts w:ascii="宋体" w:hAnsi="宋体" w:cs="宋体"/>
          <w:szCs w:val="21"/>
        </w:rPr>
      </w:pPr>
      <w:r>
        <w:rPr>
          <w:rFonts w:ascii="宋体" w:hAnsi="宋体" w:cs="宋体" w:hint="eastAsia"/>
          <w:szCs w:val="21"/>
        </w:rPr>
        <w:t>开户银行地址：</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ab/>
      </w:r>
      <w:r>
        <w:rPr>
          <w:rFonts w:ascii="宋体" w:hAnsi="宋体" w:cs="宋体" w:hint="eastAsia"/>
          <w:szCs w:val="21"/>
        </w:rPr>
        <w:t>开户银行电话：</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p>
    <w:p>
      <w:pPr>
        <w:spacing w:line="360" w:lineRule="auto"/>
        <w:rPr>
          <w:rFonts w:ascii="宋体" w:hAnsi="宋体" w:cs="宋体"/>
          <w:sz w:val="24"/>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 w:val="24"/>
        </w:rPr>
        <w:t xml:space="preserve">                                </w:t>
      </w:r>
    </w:p>
    <w:p>
      <w:pPr>
        <w:spacing w:line="360" w:lineRule="auto"/>
        <w:rPr>
          <w:rFonts w:ascii="宋体" w:hAnsi="宋体" w:cs="宋体"/>
        </w:rPr>
      </w:pPr>
    </w:p>
    <w:p>
      <w:pPr>
        <w:rPr>
          <w:rFonts w:ascii="宋体" w:hAnsi="宋体" w:cs="宋体"/>
          <w:sz w:val="24"/>
        </w:rPr>
      </w:pPr>
      <w:bookmarkEnd w:id="51"/>
      <w:r>
        <w:rPr>
          <w:rFonts w:ascii="宋体" w:hAnsi="宋体" w:cs="宋体" w:hint="eastAsia"/>
          <w:sz w:val="24"/>
        </w:rPr>
        <w:br w:type="page"/>
      </w:r>
    </w:p>
    <w:p>
      <w:pPr>
        <w:pStyle w:val="Heading3"/>
        <w:spacing w:before="0" w:after="0" w:line="360" w:lineRule="auto"/>
        <w:jc w:val="center"/>
        <w:rPr>
          <w:rFonts w:cs="宋体"/>
          <w:b w:val="0"/>
          <w:sz w:val="24"/>
        </w:rPr>
      </w:pPr>
      <w:r>
        <w:rPr>
          <w:rFonts w:cs="宋体" w:hint="eastAsia"/>
          <w:b w:val="0"/>
          <w:sz w:val="24"/>
        </w:rPr>
        <w:t>二、政府采购投标及履约承诺函</w:t>
      </w:r>
    </w:p>
    <w:p>
      <w:pPr>
        <w:spacing w:line="360" w:lineRule="auto"/>
        <w:rPr>
          <w:rFonts w:ascii="宋体" w:hAnsi="宋体" w:cs="宋体"/>
          <w:color w:val="FF0000"/>
          <w:szCs w:val="21"/>
        </w:rPr>
      </w:pPr>
      <w:bookmarkStart w:id="55" w:name="_Hlk72257530"/>
      <w:r>
        <w:rPr>
          <w:rFonts w:ascii="宋体" w:hAnsi="宋体" w:cs="宋体" w:hint="eastAsia"/>
          <w:color w:val="FF0000"/>
          <w:szCs w:val="21"/>
        </w:rPr>
        <w:t>致：</w:t>
      </w:r>
      <w:r>
        <w:rPr>
          <w:rFonts w:ascii="宋体" w:hAnsi="宋体" w:cs="宋体" w:hint="eastAsia"/>
          <w:color w:val="FF0000"/>
          <w:szCs w:val="21"/>
          <w:u w:val="single"/>
        </w:rPr>
        <w:t>深圳公共资源交易中心</w:t>
      </w:r>
    </w:p>
    <w:p>
      <w:pPr>
        <w:spacing w:line="360" w:lineRule="auto"/>
        <w:rPr>
          <w:rFonts w:ascii="宋体" w:hAnsi="宋体" w:cs="宋体"/>
          <w:szCs w:val="21"/>
        </w:rPr>
      </w:pPr>
      <w:r>
        <w:rPr>
          <w:rFonts w:ascii="宋体" w:hAnsi="宋体" w:cs="宋体" w:hint="eastAsia"/>
          <w:szCs w:val="21"/>
        </w:rPr>
        <w:t>我单位承诺：</w:t>
      </w:r>
    </w:p>
    <w:p>
      <w:pPr>
        <w:spacing w:line="360" w:lineRule="auto"/>
        <w:rPr>
          <w:rFonts w:ascii="宋体" w:hAnsi="宋体" w:cs="宋体"/>
          <w:szCs w:val="21"/>
        </w:rPr>
      </w:pPr>
      <w:r>
        <w:rPr>
          <w:rFonts w:ascii="宋体" w:hAnsi="宋体" w:cs="宋体" w:hint="eastAsia"/>
          <w:szCs w:val="21"/>
        </w:rPr>
        <w:t>1.我单位本招标项目所提供的货物或服务未侵犯知识产权。</w:t>
      </w:r>
    </w:p>
    <w:p>
      <w:pPr>
        <w:spacing w:line="360" w:lineRule="auto"/>
        <w:rPr>
          <w:rFonts w:ascii="宋体" w:hAnsi="宋体" w:cs="宋体"/>
          <w:szCs w:val="21"/>
        </w:rPr>
      </w:pPr>
      <w:r>
        <w:rPr>
          <w:rFonts w:ascii="宋体" w:hAnsi="宋体" w:cs="宋体" w:hint="eastAsia"/>
          <w:szCs w:val="21"/>
        </w:rPr>
        <w:t>2.我单位参与本项目投标前三年内，在经营活动中没有重大违法记录。</w:t>
      </w:r>
    </w:p>
    <w:p>
      <w:pPr>
        <w:spacing w:line="360" w:lineRule="auto"/>
        <w:rPr>
          <w:rFonts w:ascii="宋体" w:hAnsi="宋体" w:cs="宋体"/>
          <w:szCs w:val="21"/>
        </w:rPr>
      </w:pPr>
      <w:r>
        <w:rPr>
          <w:rFonts w:ascii="宋体" w:hAnsi="宋体" w:cs="宋体" w:hint="eastAsia"/>
          <w:szCs w:val="21"/>
        </w:rPr>
        <w:t>3.我单位参与本项目</w:t>
      </w:r>
      <w:r>
        <w:rPr>
          <w:rFonts w:ascii="宋体" w:hAnsi="宋体" w:cs="宋体" w:hint="eastAsia"/>
        </w:rPr>
        <w:t>政府采购活动时不存在被有关部门禁止参与政府采购活动且在有效期内的情况。</w:t>
      </w:r>
    </w:p>
    <w:p>
      <w:pPr>
        <w:spacing w:line="360" w:lineRule="auto"/>
        <w:rPr>
          <w:rFonts w:ascii="宋体" w:hAnsi="宋体" w:cs="宋体"/>
          <w:szCs w:val="21"/>
        </w:rPr>
      </w:pPr>
      <w:r>
        <w:rPr>
          <w:rFonts w:ascii="宋体" w:hAnsi="宋体" w:cs="宋体" w:hint="eastAsia"/>
          <w:szCs w:val="21"/>
        </w:rPr>
        <w:t>4.我单位具备《中华人民共和国政府采购法》第二十二条第一款规定的六项条件。</w:t>
      </w:r>
    </w:p>
    <w:p>
      <w:pPr>
        <w:spacing w:line="360" w:lineRule="auto"/>
        <w:rPr>
          <w:rFonts w:ascii="宋体" w:hAnsi="宋体" w:cs="宋体"/>
          <w:szCs w:val="21"/>
        </w:rPr>
      </w:pPr>
      <w:r>
        <w:rPr>
          <w:rFonts w:ascii="宋体" w:hAnsi="宋体" w:cs="宋体" w:hint="eastAsia"/>
          <w:szCs w:val="21"/>
        </w:rPr>
        <w:t>5.我单位</w:t>
      </w:r>
      <w:r>
        <w:rPr>
          <w:rFonts w:ascii="宋体" w:hAnsi="宋体" w:cs="宋体" w:hint="eastAsia"/>
        </w:rPr>
        <w:t>未被列入失信被执行人、重大税收违法案件当事人名单、政府采购严重违法失信行为记录名单。</w:t>
      </w:r>
    </w:p>
    <w:p>
      <w:pPr>
        <w:spacing w:line="360" w:lineRule="auto"/>
        <w:rPr>
          <w:rFonts w:ascii="宋体" w:hAnsi="宋体" w:cs="宋体"/>
          <w:szCs w:val="21"/>
        </w:rPr>
      </w:pPr>
      <w:r>
        <w:rPr>
          <w:rFonts w:ascii="宋体" w:hAnsi="宋体" w:cs="宋体" w:hint="eastAsia"/>
          <w:szCs w:val="21"/>
        </w:rPr>
        <w:t>6.</w:t>
      </w:r>
      <w:bookmarkStart w:id="56" w:name="_Hlk72587269"/>
      <w:bookmarkStart w:id="57" w:name="_Hlk72587299"/>
      <w:r>
        <w:rPr>
          <w:rFonts w:ascii="宋体" w:hAnsi="宋体" w:cs="宋体" w:hint="eastAsia"/>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56"/>
      <w:r>
        <w:rPr>
          <w:rFonts w:ascii="宋体" w:hAnsi="宋体" w:cs="宋体" w:hint="eastAsia"/>
          <w:szCs w:val="21"/>
        </w:rPr>
        <w:t>。</w:t>
      </w:r>
    </w:p>
    <w:p>
      <w:pPr>
        <w:spacing w:line="360" w:lineRule="auto"/>
        <w:rPr>
          <w:rFonts w:ascii="宋体" w:hAnsi="宋体" w:cs="宋体"/>
          <w:szCs w:val="21"/>
        </w:rPr>
      </w:pPr>
      <w:bookmarkEnd w:id="57"/>
      <w:r>
        <w:rPr>
          <w:rFonts w:ascii="宋体" w:hAnsi="宋体" w:cs="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spacing w:line="360" w:lineRule="auto"/>
        <w:rPr>
          <w:rFonts w:ascii="宋体" w:hAnsi="宋体" w:cs="宋体"/>
          <w:szCs w:val="21"/>
        </w:rPr>
      </w:pPr>
      <w:r>
        <w:rPr>
          <w:rFonts w:ascii="宋体" w:hAnsi="宋体" w:cs="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360" w:lineRule="auto"/>
        <w:rPr>
          <w:rFonts w:ascii="宋体" w:hAnsi="宋体" w:cs="宋体"/>
          <w:szCs w:val="21"/>
        </w:rPr>
      </w:pPr>
      <w:r>
        <w:rPr>
          <w:rFonts w:ascii="宋体" w:hAnsi="宋体" w:cs="宋体" w:hint="eastAsia"/>
          <w:szCs w:val="21"/>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360" w:lineRule="auto"/>
        <w:rPr>
          <w:rFonts w:ascii="宋体" w:hAnsi="宋体" w:cs="宋体"/>
          <w:szCs w:val="21"/>
        </w:rPr>
      </w:pPr>
      <w:r>
        <w:rPr>
          <w:rFonts w:ascii="宋体" w:hAnsi="宋体" w:cs="宋体" w:hint="eastAsia"/>
          <w:szCs w:val="21"/>
        </w:rPr>
        <w:t>9.我单位承诺中标后项目不转包，未经采购人同意不进行分包。</w:t>
      </w:r>
    </w:p>
    <w:p>
      <w:pPr>
        <w:spacing w:line="360" w:lineRule="auto"/>
        <w:rPr>
          <w:rFonts w:ascii="宋体" w:hAnsi="宋体" w:cs="宋体"/>
        </w:rPr>
      </w:pPr>
      <w:r>
        <w:rPr>
          <w:rFonts w:ascii="宋体" w:hAnsi="宋体" w:cs="宋体" w:hint="eastAsia"/>
          <w:szCs w:val="21"/>
        </w:rPr>
        <w:t>10.</w:t>
      </w:r>
      <w:r>
        <w:rPr>
          <w:rFonts w:ascii="宋体" w:hAnsi="宋体" w:cs="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spacing w:line="360" w:lineRule="auto"/>
        <w:rPr>
          <w:rFonts w:ascii="宋体" w:hAnsi="宋体" w:cs="宋体"/>
        </w:rPr>
      </w:pPr>
      <w:r>
        <w:rPr>
          <w:rFonts w:ascii="宋体" w:hAnsi="宋体" w:cs="宋体" w:hint="eastAsia"/>
        </w:rPr>
        <w:t>11.我单位保证，若所投货物涉及《财政部生态环境部关于印发节能产品政府采购品目清单的通知》（财库〔2019〕19号）列明的政府采购强制产品，则所投该产品符合节能产品的认证要求。</w:t>
      </w:r>
    </w:p>
    <w:p>
      <w:pPr>
        <w:spacing w:line="360" w:lineRule="auto"/>
        <w:rPr>
          <w:rFonts w:ascii="宋体" w:hAnsi="宋体" w:cs="宋体"/>
          <w:highlight w:val="yellow"/>
        </w:rPr>
      </w:pPr>
      <w:r>
        <w:rPr>
          <w:rFonts w:ascii="宋体" w:hAnsi="宋体" w:cs="宋体" w:hint="eastAsia"/>
          <w:highlight w:val="yellow"/>
        </w:rPr>
        <w:t>12.我单位承诺，符合《中华人民共和国政府采购法实施条例》第十八条第一款规定，不存在我单位与其他供应商的负责人为同一人或者存在直接控股、管理关系的情况。</w:t>
      </w:r>
    </w:p>
    <w:p>
      <w:pPr>
        <w:spacing w:line="360" w:lineRule="auto"/>
        <w:rPr>
          <w:rFonts w:ascii="宋体" w:hAnsi="宋体" w:cs="宋体"/>
          <w:highlight w:val="yellow"/>
        </w:rPr>
      </w:pPr>
      <w:r>
        <w:rPr>
          <w:rFonts w:ascii="宋体" w:hAnsi="宋体" w:cs="宋体" w:hint="eastAsia"/>
          <w:highlight w:val="yellow"/>
        </w:rPr>
        <w:t>13.所投标（响应）的货物、工程或服务，不存在侵犯知识产权的情况；已知悉并同意中标（成交）结果信息公示（公开）的内容。</w:t>
      </w:r>
    </w:p>
    <w:p>
      <w:pPr>
        <w:spacing w:line="360" w:lineRule="auto"/>
        <w:rPr>
          <w:rFonts w:ascii="宋体" w:hAnsi="宋体" w:cs="宋体"/>
          <w:szCs w:val="21"/>
        </w:rPr>
      </w:pPr>
      <w:r>
        <w:rPr>
          <w:rFonts w:ascii="宋体" w:hAnsi="宋体" w:cs="宋体" w:hint="eastAsia"/>
          <w:szCs w:val="21"/>
        </w:rPr>
        <w:t>以上承诺，如有违反，愿依照国家相关法律法规处理，并承担由此给采购人带来的损失。</w:t>
      </w:r>
    </w:p>
    <w:p>
      <w:pPr>
        <w:spacing w:line="360" w:lineRule="auto"/>
        <w:rPr>
          <w:rFonts w:ascii="宋体" w:hAnsi="宋体" w:cs="宋体"/>
          <w:szCs w:val="21"/>
        </w:rPr>
      </w:pPr>
      <w:r>
        <w:rPr>
          <w:rFonts w:ascii="宋体" w:hAnsi="宋体" w:cs="宋体" w:hint="eastAsia"/>
          <w:szCs w:val="21"/>
        </w:rPr>
        <w:t xml:space="preserve">                                    </w:t>
      </w:r>
    </w:p>
    <w:p>
      <w:pPr>
        <w:spacing w:line="360" w:lineRule="auto"/>
        <w:jc w:val="center"/>
        <w:rPr>
          <w:rFonts w:ascii="宋体" w:hAnsi="宋体" w:cs="宋体"/>
          <w:color w:val="FF0000"/>
        </w:rPr>
      </w:pPr>
      <w:r>
        <w:rPr>
          <w:rFonts w:ascii="宋体" w:hAnsi="宋体" w:cs="宋体" w:hint="eastAsia"/>
          <w:color w:val="FF0000"/>
          <w:szCs w:val="21"/>
        </w:rPr>
        <w:t xml:space="preserve">                 投标人：</w:t>
      </w:r>
      <w:r>
        <w:rPr>
          <w:rFonts w:ascii="宋体" w:hAnsi="宋体" w:cs="宋体" w:hint="eastAsia"/>
          <w:color w:val="FF0000"/>
          <w:szCs w:val="21"/>
          <w:u w:val="single"/>
        </w:rPr>
        <w:t xml:space="preserve">              </w:t>
      </w:r>
    </w:p>
    <w:p>
      <w:pPr>
        <w:spacing w:line="360" w:lineRule="auto"/>
        <w:rPr>
          <w:rFonts w:ascii="宋体" w:hAnsi="宋体" w:cs="宋体"/>
          <w:color w:val="FF0000"/>
          <w:szCs w:val="21"/>
        </w:rPr>
      </w:pPr>
      <w:r>
        <w:rPr>
          <w:rFonts w:ascii="宋体" w:hAnsi="宋体" w:cs="宋体" w:hint="eastAsia"/>
          <w:color w:val="FF0000"/>
          <w:szCs w:val="21"/>
        </w:rPr>
        <w:t xml:space="preserve">                                              日期：</w:t>
      </w:r>
      <w:r>
        <w:rPr>
          <w:rFonts w:ascii="宋体" w:hAnsi="宋体" w:cs="宋体" w:hint="eastAsia"/>
          <w:color w:val="FF0000"/>
          <w:szCs w:val="21"/>
          <w:u w:val="single"/>
        </w:rPr>
        <w:t xml:space="preserve">    </w:t>
      </w:r>
      <w:r>
        <w:rPr>
          <w:rFonts w:ascii="宋体" w:hAnsi="宋体" w:cs="宋体" w:hint="eastAsia"/>
          <w:color w:val="FF0000"/>
          <w:szCs w:val="21"/>
        </w:rPr>
        <w:t>年</w:t>
      </w:r>
      <w:r>
        <w:rPr>
          <w:rFonts w:ascii="宋体" w:hAnsi="宋体" w:cs="宋体" w:hint="eastAsia"/>
          <w:color w:val="FF0000"/>
          <w:szCs w:val="21"/>
          <w:u w:val="single"/>
        </w:rPr>
        <w:t xml:space="preserve">   </w:t>
      </w:r>
      <w:r>
        <w:rPr>
          <w:rFonts w:ascii="宋体" w:hAnsi="宋体" w:cs="宋体" w:hint="eastAsia"/>
          <w:color w:val="FF0000"/>
          <w:szCs w:val="21"/>
        </w:rPr>
        <w:t>月</w:t>
      </w:r>
      <w:r>
        <w:rPr>
          <w:rFonts w:ascii="宋体" w:hAnsi="宋体" w:cs="宋体" w:hint="eastAsia"/>
          <w:color w:val="FF0000"/>
          <w:szCs w:val="21"/>
          <w:u w:val="single"/>
        </w:rPr>
        <w:t xml:space="preserve">   </w:t>
      </w:r>
      <w:r>
        <w:rPr>
          <w:rFonts w:ascii="宋体" w:hAnsi="宋体" w:cs="宋体" w:hint="eastAsia"/>
          <w:color w:val="FF0000"/>
          <w:szCs w:val="21"/>
        </w:rPr>
        <w:t>日</w:t>
      </w:r>
    </w:p>
    <w:p>
      <w:pPr>
        <w:spacing w:line="360" w:lineRule="auto"/>
        <w:rPr>
          <w:rFonts w:ascii="宋体" w:hAnsi="宋体" w:cs="宋体"/>
          <w:szCs w:val="21"/>
        </w:rPr>
      </w:pPr>
      <w:bookmarkEnd w:id="55"/>
    </w:p>
    <w:p>
      <w:pPr>
        <w:spacing w:line="360" w:lineRule="auto"/>
        <w:rPr>
          <w:rFonts w:ascii="宋体" w:hAnsi="宋体" w:cs="宋体"/>
          <w:b/>
          <w:szCs w:val="21"/>
        </w:rPr>
      </w:pPr>
    </w:p>
    <w:p>
      <w:pPr>
        <w:spacing w:line="360" w:lineRule="auto"/>
        <w:jc w:val="center"/>
        <w:rPr>
          <w:rFonts w:ascii="宋体" w:hAnsi="宋体" w:cs="宋体"/>
          <w:b/>
          <w:bCs/>
          <w:sz w:val="24"/>
        </w:rPr>
      </w:pPr>
    </w:p>
    <w:p>
      <w:pPr>
        <w:rPr>
          <w:rFonts w:ascii="宋体" w:hAnsi="宋体" w:cs="宋体"/>
          <w:sz w:val="24"/>
        </w:rPr>
      </w:pPr>
      <w:r>
        <w:rPr>
          <w:rFonts w:ascii="宋体" w:hAnsi="宋体" w:cs="宋体" w:hint="eastAsia"/>
          <w:sz w:val="24"/>
        </w:rPr>
        <w:br w:type="page"/>
      </w:r>
    </w:p>
    <w:p>
      <w:pPr>
        <w:pStyle w:val="Heading3"/>
        <w:spacing w:before="0" w:after="0" w:line="360" w:lineRule="auto"/>
        <w:jc w:val="center"/>
        <w:rPr>
          <w:rFonts w:cs="宋体"/>
          <w:b w:val="0"/>
          <w:sz w:val="24"/>
          <w:szCs w:val="24"/>
        </w:rPr>
      </w:pPr>
      <w:r>
        <w:rPr>
          <w:rFonts w:cs="宋体" w:hint="eastAsia"/>
          <w:b w:val="0"/>
          <w:sz w:val="24"/>
          <w:szCs w:val="24"/>
        </w:rPr>
        <w:t>三、投标人情况及资格证明文件</w:t>
      </w:r>
    </w:p>
    <w:p>
      <w:pPr>
        <w:spacing w:line="360" w:lineRule="auto"/>
        <w:rPr>
          <w:rFonts w:ascii="宋体" w:hAnsi="宋体" w:cs="宋体"/>
          <w:b/>
          <w:bCs/>
          <w:sz w:val="24"/>
        </w:rPr>
      </w:pPr>
    </w:p>
    <w:p>
      <w:pPr>
        <w:spacing w:line="360" w:lineRule="auto"/>
        <w:outlineLvl w:val="3"/>
        <w:rPr>
          <w:rFonts w:ascii="宋体" w:hAnsi="宋体" w:cs="宋体"/>
          <w:bCs/>
          <w:kern w:val="0"/>
          <w:sz w:val="24"/>
          <w:szCs w:val="32"/>
        </w:rPr>
      </w:pPr>
      <w:bookmarkStart w:id="58" w:name="_Hlk72257590"/>
      <w:r>
        <w:rPr>
          <w:rFonts w:ascii="宋体" w:hAnsi="宋体" w:cs="宋体" w:hint="eastAsia"/>
          <w:bCs/>
          <w:kern w:val="0"/>
          <w:sz w:val="24"/>
          <w:szCs w:val="32"/>
        </w:rPr>
        <w:t>（一）投标人资格证明文件</w:t>
      </w:r>
    </w:p>
    <w:p>
      <w:pPr>
        <w:spacing w:line="360" w:lineRule="auto"/>
        <w:rPr>
          <w:rFonts w:ascii="宋体" w:hAnsi="宋体" w:cs="宋体"/>
          <w:b/>
          <w:bCs/>
          <w:color w:val="FF0000"/>
        </w:rPr>
      </w:pPr>
      <w:r>
        <w:rPr>
          <w:rFonts w:ascii="宋体" w:hAnsi="宋体" w:cs="宋体" w:hint="eastAsia"/>
          <w:b/>
          <w:bCs/>
          <w:color w:val="FF0000"/>
        </w:rPr>
        <w:t>（特别提示：投标人须按本招标文件第一册第一章招标公告 “申请人的资格要求”（即投标人资格要求）提供相关的资格证明资料，未提供或提供不完整、不符合要求的，将作投标无效处理。）</w:t>
      </w:r>
    </w:p>
    <w:p>
      <w:pPr>
        <w:spacing w:line="360" w:lineRule="auto"/>
        <w:rPr>
          <w:rFonts w:ascii="宋体" w:hAnsi="宋体" w:cs="宋体"/>
          <w:b/>
          <w:bCs/>
          <w:sz w:val="24"/>
        </w:rPr>
      </w:pPr>
    </w:p>
    <w:p>
      <w:pPr>
        <w:spacing w:line="360" w:lineRule="auto"/>
        <w:outlineLvl w:val="3"/>
        <w:rPr>
          <w:rFonts w:ascii="宋体" w:hAnsi="宋体" w:cs="宋体"/>
          <w:bCs/>
          <w:kern w:val="0"/>
          <w:sz w:val="24"/>
          <w:szCs w:val="32"/>
        </w:rPr>
      </w:pPr>
      <w:bookmarkStart w:id="59" w:name="_Hlk72257908"/>
      <w:r>
        <w:rPr>
          <w:rFonts w:ascii="宋体" w:hAnsi="宋体" w:cs="宋体" w:hint="eastAsia"/>
          <w:bCs/>
          <w:kern w:val="0"/>
          <w:sz w:val="24"/>
          <w:szCs w:val="32"/>
        </w:rPr>
        <w:t>（二）中小企业声明函、残疾人福利性单位声明函及监狱企业声明函</w:t>
      </w:r>
    </w:p>
    <w:p>
      <w:pPr>
        <w:spacing w:line="360" w:lineRule="auto"/>
        <w:outlineLvl w:val="3"/>
        <w:rPr>
          <w:rFonts w:ascii="宋体" w:hAnsi="宋体" w:cs="宋体"/>
          <w:bCs/>
          <w:color w:val="FF0000"/>
          <w:kern w:val="0"/>
          <w:szCs w:val="21"/>
        </w:rPr>
      </w:pPr>
      <w:bookmarkEnd w:id="58"/>
      <w:r>
        <w:rPr>
          <w:rFonts w:ascii="宋体" w:hAnsi="宋体" w:cs="宋体" w:hint="eastAsia"/>
          <w:bCs/>
          <w:color w:val="FF0000"/>
          <w:kern w:val="0"/>
          <w:szCs w:val="21"/>
        </w:rPr>
        <w:t>填写指引：</w:t>
      </w:r>
    </w:p>
    <w:p>
      <w:pPr>
        <w:spacing w:line="360" w:lineRule="auto"/>
        <w:outlineLvl w:val="3"/>
        <w:rPr>
          <w:rFonts w:ascii="宋体" w:hAnsi="宋体" w:cs="宋体"/>
          <w:b/>
          <w:bCs/>
          <w:color w:val="FF0000"/>
          <w:szCs w:val="21"/>
        </w:rPr>
      </w:pPr>
      <w:r>
        <w:rPr>
          <w:rFonts w:ascii="宋体" w:hAnsi="宋体" w:cs="宋体" w:hint="eastAsia"/>
          <w:b/>
          <w:bCs/>
          <w:color w:val="FF0000"/>
          <w:szCs w:val="21"/>
        </w:rPr>
        <w:t>1、该部分内容由投标人根据自身实际情况填写，不符合要求的投标人可以不填写或直接删除相应的声明函（关于视同中小企业的其他主体（如民办非企、社会组织团体等）请遵照《财政部《政府采购促进中小企业发展管理办法》（财库〔2020〕46号）》第二十三条 “关于视同中小企业的其他主体的政府采购扶持政策，由财政部会同有关部门另行规定”谨慎填写！）。投标人提供的声明函不属实的，属于提供虚假资料谋取中标，依照《中华人民共和国政府采购法》等国家有关规定追究相应责任。</w:t>
      </w:r>
    </w:p>
    <w:p>
      <w:pPr>
        <w:spacing w:line="360" w:lineRule="auto"/>
        <w:outlineLvl w:val="3"/>
        <w:rPr>
          <w:rFonts w:ascii="宋体" w:hAnsi="宋体" w:cs="宋体"/>
          <w:color w:val="FF0000"/>
          <w:szCs w:val="21"/>
        </w:rPr>
      </w:pPr>
      <w:r>
        <w:rPr>
          <w:rFonts w:ascii="宋体" w:hAnsi="宋体" w:cs="宋体" w:hint="eastAsia"/>
          <w:color w:val="FF0000"/>
          <w:szCs w:val="21"/>
        </w:rPr>
        <w:t>2、该部分内容填写需要参考的相关文件：(1)财政部《政府采购促进中小企业发展管理办法》（财库〔2020〕46号）；(2)</w:t>
      </w:r>
      <w:bookmarkStart w:id="60" w:name="_Hlk71925120"/>
      <w:r>
        <w:rPr>
          <w:rFonts w:ascii="宋体" w:hAnsi="宋体" w:cs="宋体" w:hint="eastAsia"/>
          <w:color w:val="FF0000"/>
          <w:szCs w:val="21"/>
        </w:rPr>
        <w:t>《工业和信息化部、国家统计局、国家发展和改革委员会、财政部关于印发中小企业划型标准规定的通知》（工信部联企业〔2011〕300 号</w:t>
      </w:r>
      <w:bookmarkEnd w:id="60"/>
      <w:r>
        <w:rPr>
          <w:rFonts w:ascii="宋体" w:hAnsi="宋体" w:cs="宋体" w:hint="eastAsia"/>
          <w:color w:val="FF0000"/>
          <w:szCs w:val="21"/>
        </w:rPr>
        <w:t>，以下简称300号文）。</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3、请依照提供的格式和内容填写声明函，不要随意变更格式；声明函不需要盖章或签字；</w:t>
      </w:r>
      <w:r>
        <w:rPr>
          <w:rFonts w:ascii="宋体" w:hAnsi="宋体" w:cs="宋体" w:hint="eastAsia"/>
          <w:color w:val="FF0000"/>
          <w:szCs w:val="21"/>
        </w:rPr>
        <w:t>满足多项优惠政策的投标人，不重复享受多项价格扣除政策。</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4、声明函具体填写要求：</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（1）声明是中小企业须填写《中小企业声明函》的以下内容：</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第一处，在“单位名称”下划线处如实填写采购人名称（深圳公共资源交易中心不是本项目的采购人，而是组织实施机构）；</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第二处，在“项目名称”下划线处如实填写采购项目名称；</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第三处，在“标的名称”下划线处填写所采购货物（标的）的具体名称（以招标文件第一册第三章用户需求书“货物清单明细”的“货物名称”一栏为准）；如果涉及多项货物（标的）为同一企业制造，“标的名称”下划线处可以如实填写多项货物；</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第四处，在“招标文件中明确的所属行业”下划线处填写采购标的对应的中小企业划分标准所属行业（所属行业可在招标文件第一册第二章“对通用条款的补充内容及其他关键信息”章节查看）；</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（2）声明是残疾人福利性单位须填写《残疾人福利性单位声明函》的相关内容，具体参照以上《中小企业声明函》填写要求执行。</w:t>
      </w:r>
    </w:p>
    <w:p>
      <w:pPr>
        <w:spacing w:line="360" w:lineRule="auto"/>
        <w:outlineLvl w:val="3"/>
        <w:rPr>
          <w:rFonts w:ascii="宋体" w:hAnsi="宋体" w:cs="宋体"/>
          <w:bCs/>
          <w:color w:val="FF0000"/>
          <w:kern w:val="0"/>
          <w:szCs w:val="21"/>
        </w:rPr>
      </w:pPr>
      <w:r>
        <w:rPr>
          <w:rFonts w:ascii="宋体" w:hAnsi="宋体" w:cs="宋体" w:hint="eastAsia"/>
          <w:bCs/>
          <w:color w:val="FF0000"/>
          <w:kern w:val="0"/>
          <w:szCs w:val="21"/>
        </w:rPr>
        <w:t>（3）声明是监狱企业须填写《监狱企业声明函》的三项内容（填写位置的字体已加粗），具体参照以上《中小企业声明函》填写要求执行。</w:t>
      </w:r>
    </w:p>
    <w:p>
      <w:pPr>
        <w:spacing w:line="360" w:lineRule="auto"/>
        <w:rPr>
          <w:rFonts w:ascii="宋体" w:hAnsi="宋体" w:cs="宋体"/>
        </w:rPr>
      </w:pPr>
      <w:r>
        <w:rPr>
          <w:rFonts w:ascii="宋体" w:hAnsi="宋体" w:cs="宋体" w:hint="eastAsia"/>
          <w:bCs/>
          <w:color w:val="FF0000"/>
          <w:kern w:val="0"/>
          <w:szCs w:val="21"/>
        </w:rPr>
        <w:t>5、声明函的有效性最终由评审委员会判定；如评审委员会判定声明函无效，相关供应商不享受</w:t>
      </w:r>
      <w:r>
        <w:rPr>
          <w:rFonts w:ascii="宋体" w:hAnsi="宋体" w:cs="宋体" w:hint="eastAsia"/>
          <w:color w:val="FF0000"/>
          <w:szCs w:val="21"/>
        </w:rPr>
        <w:t>价格扣除</w:t>
      </w:r>
      <w:r>
        <w:rPr>
          <w:rFonts w:ascii="宋体" w:hAnsi="宋体" w:cs="宋体" w:hint="eastAsia"/>
          <w:bCs/>
          <w:color w:val="FF0000"/>
          <w:kern w:val="0"/>
          <w:szCs w:val="21"/>
        </w:rPr>
        <w:t>（但不作投标无效处理）。</w:t>
      </w:r>
    </w:p>
    <w:p>
      <w:pPr>
        <w:spacing w:line="360" w:lineRule="auto"/>
        <w:rPr>
          <w:rFonts w:ascii="宋体" w:hAnsi="宋体" w:cs="宋体"/>
        </w:rPr>
      </w:pPr>
    </w:p>
    <w:p>
      <w:pPr>
        <w:spacing w:line="360" w:lineRule="auto"/>
        <w:jc w:val="center"/>
        <w:outlineLvl w:val="3"/>
        <w:rPr>
          <w:rFonts w:ascii="宋体" w:hAnsi="宋体" w:cs="宋体"/>
          <w:szCs w:val="21"/>
        </w:rPr>
      </w:pPr>
      <w:r>
        <w:rPr>
          <w:rFonts w:ascii="宋体" w:hAnsi="宋体" w:cs="宋体" w:hint="eastAsia"/>
          <w:b/>
          <w:sz w:val="24"/>
        </w:rPr>
        <w:t>1、</w:t>
      </w:r>
      <w:bookmarkStart w:id="61" w:name="_Hlk73562275"/>
      <w:r>
        <w:rPr>
          <w:rFonts w:ascii="宋体" w:hAnsi="宋体" w:cs="宋体" w:hint="eastAsia"/>
          <w:b/>
          <w:sz w:val="24"/>
        </w:rPr>
        <w:t>中小企业声明函（货物）</w:t>
      </w:r>
    </w:p>
    <w:p>
      <w:pPr>
        <w:pStyle w:val="BodyText"/>
        <w:rPr>
          <w:rFonts w:ascii="宋体" w:hAnsi="宋体" w:cs="宋体"/>
          <w:szCs w:val="21"/>
        </w:rPr>
      </w:pPr>
    </w:p>
    <w:p>
      <w:pPr>
        <w:pStyle w:val="BodyText"/>
        <w:rPr>
          <w:rFonts w:ascii="宋体" w:hAnsi="宋体" w:cs="宋体"/>
          <w:b w:val="0"/>
          <w:bCs w:val="0"/>
          <w:sz w:val="21"/>
        </w:rPr>
      </w:pPr>
      <w:r>
        <w:rPr>
          <w:rFonts w:ascii="宋体" w:hAnsi="宋体" w:cs="宋体" w:hint="eastAsia"/>
          <w:b w:val="0"/>
          <w:bCs w:val="0"/>
          <w:sz w:val="21"/>
        </w:rPr>
        <w:t>本公司（联合体）郑重声明，根据《政府采购促进中小企业发展管理办法》（财库﹝2020﹞46 号）的规定，本公司（联合体）参加</w:t>
      </w:r>
      <w:r>
        <w:rPr>
          <w:rFonts w:ascii="宋体" w:hAnsi="宋体" w:cs="宋体" w:hint="eastAsia"/>
          <w:b w:val="0"/>
          <w:bCs w:val="0"/>
          <w:sz w:val="21"/>
          <w:u w:val="single"/>
        </w:rPr>
        <w:t>（单位名称）</w:t>
      </w:r>
      <w:r>
        <w:rPr>
          <w:rFonts w:ascii="宋体" w:hAnsi="宋体" w:cs="宋体" w:hint="eastAsia"/>
          <w:b w:val="0"/>
          <w:bCs w:val="0"/>
          <w:sz w:val="21"/>
        </w:rPr>
        <w:t>的</w:t>
      </w:r>
      <w:r>
        <w:rPr>
          <w:rFonts w:ascii="宋体" w:hAnsi="宋体" w:cs="宋体" w:hint="eastAsia"/>
          <w:b w:val="0"/>
          <w:bCs w:val="0"/>
          <w:sz w:val="21"/>
          <w:u w:val="single"/>
        </w:rPr>
        <w:t>（项目名称）</w:t>
      </w:r>
      <w:r>
        <w:rPr>
          <w:rFonts w:ascii="宋体" w:hAnsi="宋体" w:cs="宋体" w:hint="eastAsia"/>
          <w:b w:val="0"/>
          <w:bCs w:val="0"/>
          <w:sz w:val="21"/>
        </w:rPr>
        <w:t>采购活动，提供的货物全部由符合政策要求的中小企业制造。相关企业（含联合体中的中小企业、签订分包意向协议的中小企业）的具体情况如下：</w:t>
      </w:r>
    </w:p>
    <w:p>
      <w:pPr>
        <w:pStyle w:val="BodyText"/>
        <w:rPr>
          <w:rFonts w:ascii="宋体" w:hAnsi="宋体" w:cs="宋体"/>
          <w:b w:val="0"/>
          <w:bCs w:val="0"/>
          <w:sz w:val="21"/>
        </w:rPr>
      </w:pPr>
      <w:r>
        <w:rPr>
          <w:rFonts w:ascii="宋体" w:hAnsi="宋体" w:cs="宋体" w:hint="eastAsia"/>
          <w:b w:val="0"/>
          <w:bCs w:val="0"/>
          <w:sz w:val="21"/>
        </w:rPr>
        <w:t xml:space="preserve">1. </w:t>
      </w:r>
      <w:r>
        <w:rPr>
          <w:rFonts w:ascii="宋体" w:hAnsi="宋体" w:cs="宋体" w:hint="eastAsia"/>
          <w:b w:val="0"/>
          <w:bCs w:val="0"/>
          <w:sz w:val="21"/>
          <w:u w:val="single"/>
        </w:rPr>
        <w:t xml:space="preserve">（标的名称） </w:t>
      </w:r>
      <w:r>
        <w:rPr>
          <w:rFonts w:ascii="宋体" w:hAnsi="宋体" w:cs="宋体" w:hint="eastAsia"/>
          <w:b w:val="0"/>
          <w:bCs w:val="0"/>
          <w:sz w:val="21"/>
        </w:rPr>
        <w:t>，属于</w:t>
      </w:r>
      <w:r>
        <w:rPr>
          <w:rFonts w:ascii="宋体" w:hAnsi="宋体" w:cs="宋体" w:hint="eastAsia"/>
          <w:b w:val="0"/>
          <w:bCs w:val="0"/>
          <w:sz w:val="21"/>
          <w:u w:val="single"/>
        </w:rPr>
        <w:t>（采购文件中明确的所属行业）</w:t>
      </w:r>
      <w:r>
        <w:rPr>
          <w:rFonts w:ascii="宋体" w:hAnsi="宋体" w:cs="宋体" w:hint="eastAsia"/>
          <w:b w:val="0"/>
          <w:bCs w:val="0"/>
          <w:sz w:val="21"/>
        </w:rPr>
        <w:t xml:space="preserve"> 行业；制造商为</w:t>
      </w:r>
      <w:r>
        <w:rPr>
          <w:rFonts w:ascii="宋体" w:hAnsi="宋体" w:cs="宋体" w:hint="eastAsia"/>
          <w:b w:val="0"/>
          <w:bCs w:val="0"/>
          <w:sz w:val="21"/>
          <w:u w:val="single"/>
        </w:rPr>
        <w:t>（企业名称）</w:t>
      </w:r>
      <w:r>
        <w:rPr>
          <w:rFonts w:ascii="宋体" w:hAnsi="宋体" w:cs="宋体" w:hint="eastAsia"/>
          <w:b w:val="0"/>
          <w:bCs w:val="0"/>
          <w:sz w:val="21"/>
        </w:rPr>
        <w:t>，从业人员</w:t>
      </w:r>
      <w:r>
        <w:rPr>
          <w:rFonts w:ascii="宋体" w:hAnsi="宋体" w:cs="宋体" w:hint="eastAsia"/>
          <w:b w:val="0"/>
          <w:bCs w:val="0"/>
          <w:sz w:val="21"/>
          <w:u w:val="single"/>
        </w:rPr>
        <w:t xml:space="preserve"> </w:t>
      </w:r>
      <w:r>
        <w:rPr>
          <w:rFonts w:ascii="宋体" w:hAnsi="宋体" w:cs="宋体" w:hint="eastAsia"/>
          <w:b w:val="0"/>
          <w:bCs w:val="0"/>
          <w:sz w:val="21"/>
          <w:u w:val="single"/>
        </w:rPr>
        <w:tab/>
      </w:r>
      <w:r>
        <w:rPr>
          <w:rFonts w:ascii="宋体" w:hAnsi="宋体" w:cs="宋体" w:hint="eastAsia"/>
          <w:b w:val="0"/>
          <w:bCs w:val="0"/>
          <w:sz w:val="21"/>
        </w:rPr>
        <w:t>人，营业收入为</w:t>
      </w:r>
      <w:r>
        <w:rPr>
          <w:rFonts w:ascii="宋体" w:hAnsi="宋体" w:cs="宋体" w:hint="eastAsia"/>
          <w:b w:val="0"/>
          <w:bCs w:val="0"/>
          <w:sz w:val="21"/>
          <w:u w:val="single"/>
        </w:rPr>
        <w:t xml:space="preserve"> </w:t>
      </w:r>
      <w:r>
        <w:rPr>
          <w:rFonts w:ascii="宋体" w:hAnsi="宋体" w:cs="宋体" w:hint="eastAsia"/>
          <w:b w:val="0"/>
          <w:bCs w:val="0"/>
          <w:sz w:val="21"/>
          <w:u w:val="single"/>
        </w:rPr>
        <w:tab/>
      </w:r>
      <w:r>
        <w:rPr>
          <w:rFonts w:ascii="宋体" w:hAnsi="宋体" w:cs="宋体" w:hint="eastAsia"/>
          <w:b w:val="0"/>
          <w:bCs w:val="0"/>
          <w:sz w:val="21"/>
        </w:rPr>
        <w:t>万元，资产总额为</w:t>
      </w:r>
      <w:r>
        <w:rPr>
          <w:rFonts w:ascii="宋体" w:hAnsi="宋体" w:cs="宋体" w:hint="eastAsia"/>
          <w:b w:val="0"/>
          <w:bCs w:val="0"/>
          <w:sz w:val="21"/>
          <w:u w:val="single"/>
        </w:rPr>
        <w:t xml:space="preserve"> </w:t>
      </w:r>
      <w:r>
        <w:rPr>
          <w:rFonts w:ascii="宋体" w:hAnsi="宋体" w:cs="宋体" w:hint="eastAsia"/>
          <w:b w:val="0"/>
          <w:bCs w:val="0"/>
          <w:sz w:val="21"/>
          <w:u w:val="single"/>
        </w:rPr>
        <w:tab/>
      </w:r>
      <w:r>
        <w:rPr>
          <w:rFonts w:ascii="宋体" w:hAnsi="宋体" w:cs="宋体" w:hint="eastAsia"/>
          <w:b w:val="0"/>
          <w:bCs w:val="0"/>
          <w:sz w:val="21"/>
        </w:rPr>
        <w:t>万元，属于</w:t>
      </w:r>
      <w:r>
        <w:rPr>
          <w:rFonts w:ascii="宋体" w:hAnsi="宋体" w:cs="宋体" w:hint="eastAsia"/>
          <w:b w:val="0"/>
          <w:bCs w:val="0"/>
          <w:sz w:val="21"/>
          <w:u w:val="single"/>
        </w:rPr>
        <w:t>（中型企业、小 型企业、微型企业）</w:t>
      </w:r>
      <w:r>
        <w:rPr>
          <w:rFonts w:ascii="宋体" w:hAnsi="宋体" w:cs="宋体" w:hint="eastAsia"/>
          <w:b w:val="0"/>
          <w:bCs w:val="0"/>
          <w:sz w:val="21"/>
        </w:rPr>
        <w:t>；</w:t>
      </w:r>
    </w:p>
    <w:p>
      <w:pPr>
        <w:pStyle w:val="BodyText"/>
        <w:numPr>
          <w:ilvl w:val="0"/>
          <w:numId w:val="3"/>
        </w:numPr>
        <w:rPr>
          <w:rFonts w:ascii="宋体" w:hAnsi="宋体" w:cs="宋体"/>
          <w:b w:val="0"/>
          <w:bCs w:val="0"/>
          <w:sz w:val="21"/>
        </w:rPr>
      </w:pPr>
      <w:r>
        <w:rPr>
          <w:rFonts w:ascii="宋体" w:hAnsi="宋体" w:cs="宋体" w:hint="eastAsia"/>
          <w:b w:val="0"/>
          <w:bCs w:val="0"/>
          <w:sz w:val="21"/>
          <w:u w:val="single"/>
        </w:rPr>
        <w:t>（标的名称）</w:t>
      </w:r>
      <w:r>
        <w:rPr>
          <w:rFonts w:ascii="宋体" w:hAnsi="宋体" w:cs="宋体" w:hint="eastAsia"/>
          <w:b w:val="0"/>
          <w:bCs w:val="0"/>
          <w:sz w:val="21"/>
        </w:rPr>
        <w:t xml:space="preserve"> ，属于</w:t>
      </w:r>
      <w:r>
        <w:rPr>
          <w:rFonts w:ascii="宋体" w:hAnsi="宋体" w:cs="宋体" w:hint="eastAsia"/>
          <w:b w:val="0"/>
          <w:bCs w:val="0"/>
          <w:sz w:val="21"/>
          <w:u w:val="single"/>
        </w:rPr>
        <w:t>（采购文件中明确的所属行业）</w:t>
      </w:r>
      <w:r>
        <w:rPr>
          <w:rFonts w:ascii="宋体" w:hAnsi="宋体" w:cs="宋体" w:hint="eastAsia"/>
          <w:b w:val="0"/>
          <w:bCs w:val="0"/>
          <w:sz w:val="21"/>
        </w:rPr>
        <w:t>行业；制造商为</w:t>
      </w:r>
      <w:r>
        <w:rPr>
          <w:rFonts w:ascii="宋体" w:hAnsi="宋体" w:cs="宋体" w:hint="eastAsia"/>
          <w:b w:val="0"/>
          <w:bCs w:val="0"/>
          <w:sz w:val="21"/>
          <w:u w:val="single"/>
        </w:rPr>
        <w:t>（企业名称）</w:t>
      </w:r>
      <w:r>
        <w:rPr>
          <w:rFonts w:ascii="宋体" w:hAnsi="宋体" w:cs="宋体" w:hint="eastAsia"/>
          <w:b w:val="0"/>
          <w:bCs w:val="0"/>
          <w:sz w:val="21"/>
        </w:rPr>
        <w:t>，从业人员</w:t>
      </w:r>
      <w:r>
        <w:rPr>
          <w:rFonts w:ascii="宋体" w:hAnsi="宋体" w:cs="宋体" w:hint="eastAsia"/>
          <w:b w:val="0"/>
          <w:bCs w:val="0"/>
          <w:sz w:val="21"/>
          <w:u w:val="single"/>
        </w:rPr>
        <w:t xml:space="preserve"> </w:t>
      </w:r>
      <w:r>
        <w:rPr>
          <w:rFonts w:ascii="宋体" w:hAnsi="宋体" w:cs="宋体" w:hint="eastAsia"/>
          <w:b w:val="0"/>
          <w:bCs w:val="0"/>
          <w:sz w:val="21"/>
          <w:u w:val="single"/>
        </w:rPr>
        <w:tab/>
      </w:r>
      <w:r>
        <w:rPr>
          <w:rFonts w:ascii="宋体" w:hAnsi="宋体" w:cs="宋体" w:hint="eastAsia"/>
          <w:b w:val="0"/>
          <w:bCs w:val="0"/>
          <w:sz w:val="21"/>
        </w:rPr>
        <w:t>人，营业收入 为</w:t>
      </w:r>
      <w:r>
        <w:rPr>
          <w:rFonts w:ascii="宋体" w:hAnsi="宋体" w:cs="宋体" w:hint="eastAsia"/>
          <w:b w:val="0"/>
          <w:bCs w:val="0"/>
          <w:sz w:val="21"/>
          <w:u w:val="single"/>
        </w:rPr>
        <w:t xml:space="preserve"> </w:t>
      </w:r>
      <w:r>
        <w:rPr>
          <w:rFonts w:ascii="宋体" w:hAnsi="宋体" w:cs="宋体" w:hint="eastAsia"/>
          <w:b w:val="0"/>
          <w:bCs w:val="0"/>
          <w:sz w:val="21"/>
          <w:u w:val="single"/>
        </w:rPr>
        <w:tab/>
      </w:r>
      <w:r>
        <w:rPr>
          <w:rFonts w:ascii="宋体" w:hAnsi="宋体" w:cs="宋体" w:hint="eastAsia"/>
          <w:b w:val="0"/>
          <w:bCs w:val="0"/>
          <w:sz w:val="21"/>
        </w:rPr>
        <w:t>万元，资产总额为</w:t>
      </w:r>
      <w:r>
        <w:rPr>
          <w:rFonts w:ascii="宋体" w:hAnsi="宋体" w:cs="宋体" w:hint="eastAsia"/>
          <w:b w:val="0"/>
          <w:bCs w:val="0"/>
          <w:sz w:val="21"/>
          <w:u w:val="single"/>
        </w:rPr>
        <w:t xml:space="preserve"> </w:t>
      </w:r>
      <w:r>
        <w:rPr>
          <w:rFonts w:ascii="宋体" w:hAnsi="宋体" w:cs="宋体" w:hint="eastAsia"/>
          <w:b w:val="0"/>
          <w:bCs w:val="0"/>
          <w:sz w:val="21"/>
          <w:u w:val="single"/>
        </w:rPr>
        <w:tab/>
      </w:r>
      <w:r>
        <w:rPr>
          <w:rFonts w:ascii="宋体" w:hAnsi="宋体" w:cs="宋体" w:hint="eastAsia"/>
          <w:b w:val="0"/>
          <w:bCs w:val="0"/>
          <w:sz w:val="21"/>
        </w:rPr>
        <w:t>万元，属于</w:t>
      </w:r>
      <w:r>
        <w:rPr>
          <w:rFonts w:ascii="宋体" w:hAnsi="宋体" w:cs="宋体" w:hint="eastAsia"/>
          <w:b w:val="0"/>
          <w:bCs w:val="0"/>
          <w:sz w:val="21"/>
          <w:u w:val="single"/>
        </w:rPr>
        <w:t>（中型企业、小型企业、微型企业）</w:t>
      </w:r>
      <w:r>
        <w:rPr>
          <w:rFonts w:ascii="宋体" w:hAnsi="宋体" w:cs="宋体" w:hint="eastAsia"/>
          <w:b w:val="0"/>
          <w:bCs w:val="0"/>
          <w:sz w:val="21"/>
        </w:rPr>
        <w:t>；</w:t>
      </w:r>
    </w:p>
    <w:p>
      <w:pPr>
        <w:pStyle w:val="BodyText"/>
        <w:rPr>
          <w:rFonts w:ascii="宋体" w:hAnsi="宋体" w:cs="宋体"/>
          <w:b w:val="0"/>
          <w:bCs w:val="0"/>
          <w:sz w:val="21"/>
        </w:rPr>
      </w:pPr>
      <w:r>
        <w:rPr>
          <w:rFonts w:ascii="宋体" w:hAnsi="宋体" w:cs="宋体" w:hint="eastAsia"/>
          <w:b w:val="0"/>
          <w:bCs w:val="0"/>
          <w:sz w:val="21"/>
        </w:rPr>
        <w:t xml:space="preserve">…… </w:t>
      </w:r>
    </w:p>
    <w:p>
      <w:pPr>
        <w:pStyle w:val="BodyText"/>
        <w:rPr>
          <w:rFonts w:ascii="宋体" w:hAnsi="宋体" w:cs="宋体"/>
          <w:b w:val="0"/>
          <w:bCs w:val="0"/>
          <w:sz w:val="21"/>
        </w:rPr>
      </w:pPr>
      <w:r>
        <w:rPr>
          <w:rFonts w:ascii="宋体" w:hAnsi="宋体" w:cs="宋体" w:hint="eastAsia"/>
          <w:b w:val="0"/>
          <w:bCs w:val="0"/>
          <w:sz w:val="21"/>
        </w:rPr>
        <w:t>以上企业，不属于大企业的分支机构，不存在控股股东为大企业的情形，也不存在与大企业的负责人为同一人的情形。</w:t>
      </w:r>
    </w:p>
    <w:p>
      <w:pPr>
        <w:pStyle w:val="BodyText"/>
        <w:rPr>
          <w:rFonts w:ascii="宋体" w:hAnsi="宋体" w:cs="宋体"/>
          <w:b w:val="0"/>
          <w:bCs w:val="0"/>
          <w:sz w:val="21"/>
        </w:rPr>
      </w:pPr>
    </w:p>
    <w:p>
      <w:pPr>
        <w:pStyle w:val="BodyText"/>
        <w:rPr>
          <w:rFonts w:ascii="宋体" w:hAnsi="宋体" w:cs="宋体"/>
          <w:b w:val="0"/>
          <w:bCs w:val="0"/>
          <w:sz w:val="21"/>
        </w:rPr>
      </w:pPr>
      <w:r>
        <w:rPr>
          <w:rFonts w:ascii="宋体" w:hAnsi="宋体" w:cs="宋体" w:hint="eastAsia"/>
          <w:b w:val="0"/>
          <w:bCs w:val="0"/>
          <w:sz w:val="21"/>
        </w:rPr>
        <w:t>本企业对上述声明内容的真实性负责。如有虚假，将依法承担相应责任。</w:t>
      </w:r>
    </w:p>
    <w:p>
      <w:pPr>
        <w:pStyle w:val="BodyText"/>
        <w:rPr>
          <w:rFonts w:ascii="宋体" w:hAnsi="宋体" w:cs="宋体"/>
          <w:b w:val="0"/>
          <w:bCs w:val="0"/>
          <w:sz w:val="21"/>
        </w:rPr>
      </w:pPr>
    </w:p>
    <w:p>
      <w:pPr>
        <w:spacing w:line="360" w:lineRule="auto"/>
        <w:jc w:val="right"/>
        <w:outlineLvl w:val="3"/>
        <w:rPr>
          <w:rFonts w:ascii="宋体" w:hAnsi="宋体" w:cs="宋体"/>
          <w:szCs w:val="21"/>
        </w:rPr>
      </w:pPr>
      <w:r>
        <w:rPr>
          <w:rFonts w:ascii="宋体" w:hAnsi="宋体" w:cs="宋体" w:hint="eastAsia"/>
          <w:szCs w:val="21"/>
        </w:rPr>
        <w:t>企业名称：</w:t>
      </w:r>
    </w:p>
    <w:p>
      <w:pPr>
        <w:spacing w:line="360" w:lineRule="auto"/>
        <w:jc w:val="right"/>
        <w:outlineLvl w:val="3"/>
        <w:rPr>
          <w:rFonts w:ascii="宋体" w:hAnsi="宋体" w:cs="宋体"/>
          <w:szCs w:val="21"/>
        </w:rPr>
      </w:pPr>
      <w:r>
        <w:rPr>
          <w:rFonts w:ascii="宋体" w:hAnsi="宋体" w:cs="宋体" w:hint="eastAsia"/>
          <w:szCs w:val="21"/>
        </w:rPr>
        <w:t>日 期：</w:t>
      </w:r>
    </w:p>
    <w:p>
      <w:pPr>
        <w:pStyle w:val="BodyText"/>
        <w:rPr>
          <w:rFonts w:ascii="宋体" w:hAnsi="宋体" w:cs="宋体"/>
          <w:b w:val="0"/>
          <w:bCs w:val="0"/>
          <w:sz w:val="21"/>
        </w:rPr>
      </w:pPr>
    </w:p>
    <w:p>
      <w:pPr>
        <w:pStyle w:val="BodyText"/>
        <w:rPr>
          <w:rFonts w:ascii="宋体" w:hAnsi="宋体" w:cs="宋体"/>
          <w:b w:val="0"/>
          <w:bCs w:val="0"/>
          <w:sz w:val="21"/>
        </w:rPr>
      </w:pPr>
      <w:r>
        <w:rPr>
          <w:rFonts w:ascii="宋体" w:hAnsi="宋体" w:cs="宋体" w:hint="eastAsia"/>
          <w:b w:val="0"/>
          <w:bCs w:val="0"/>
          <w:sz w:val="21"/>
        </w:rPr>
        <w:t>注： 从业人员、营业收入、资产总额填报上一年度数据，无上一年度数据的新成立企业可不填报。</w:t>
      </w:r>
    </w:p>
    <w:p>
      <w:pPr>
        <w:spacing w:line="360" w:lineRule="auto"/>
        <w:rPr>
          <w:rFonts w:ascii="宋体" w:hAnsi="宋体" w:cs="宋体"/>
          <w:szCs w:val="21"/>
        </w:rPr>
      </w:pPr>
      <w:r>
        <w:rPr>
          <w:rFonts w:ascii="宋体" w:hAnsi="宋体" w:cs="宋体" w:hint="eastAsia"/>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bookmarkEnd w:id="61"/>
    </w:p>
    <w:p>
      <w:pPr>
        <w:spacing w:line="360" w:lineRule="auto"/>
        <w:outlineLvl w:val="3"/>
        <w:rPr>
          <w:rFonts w:ascii="宋体" w:hAnsi="宋体" w:cs="宋体"/>
          <w:bCs/>
          <w:color w:val="FF0000"/>
          <w:kern w:val="0"/>
          <w:szCs w:val="21"/>
        </w:rPr>
      </w:pPr>
    </w:p>
    <w:p>
      <w:pPr>
        <w:spacing w:line="360" w:lineRule="auto"/>
        <w:rPr>
          <w:rFonts w:ascii="宋体" w:hAnsi="宋体" w:cs="宋体"/>
        </w:rPr>
      </w:pPr>
    </w:p>
    <w:p>
      <w:pPr>
        <w:spacing w:line="360" w:lineRule="auto"/>
        <w:rPr>
          <w:rFonts w:ascii="宋体" w:hAnsi="宋体" w:cs="宋体"/>
        </w:rPr>
      </w:pPr>
    </w:p>
    <w:p>
      <w:pPr>
        <w:spacing w:line="360" w:lineRule="auto"/>
        <w:jc w:val="center"/>
        <w:outlineLvl w:val="3"/>
        <w:rPr>
          <w:rFonts w:ascii="宋体" w:hAnsi="宋体" w:cs="宋体"/>
          <w:b/>
          <w:sz w:val="24"/>
        </w:rPr>
      </w:pPr>
      <w:r>
        <w:rPr>
          <w:rFonts w:ascii="宋体" w:hAnsi="宋体" w:cs="宋体" w:hint="eastAsia"/>
          <w:b/>
          <w:sz w:val="24"/>
        </w:rPr>
        <w:t>2、残疾人福利性单位声明函（货物类）</w:t>
      </w:r>
    </w:p>
    <w:p>
      <w:pPr>
        <w:spacing w:line="360" w:lineRule="auto"/>
        <w:rPr>
          <w:rFonts w:ascii="宋体" w:hAnsi="宋体" w:cs="宋体"/>
          <w:b/>
          <w:bCs/>
        </w:rPr>
      </w:pPr>
    </w:p>
    <w:p>
      <w:pPr>
        <w:spacing w:line="360" w:lineRule="auto"/>
        <w:rPr>
          <w:rFonts w:ascii="宋体" w:hAnsi="宋体" w:cs="宋体"/>
          <w:szCs w:val="21"/>
        </w:rPr>
      </w:pPr>
      <w:r>
        <w:rPr>
          <w:rFonts w:ascii="宋体" w:hAnsi="宋体" w:cs="宋体" w:hint="eastAsia"/>
          <w:szCs w:val="21"/>
        </w:rPr>
        <w:t>本投标人郑重声明，根据《财政部民政部中国残疾人联合会关于促进残疾人就业政府采购政策的通知》（财库〔2017〕141 号）的规定，本投标人参加</w:t>
      </w:r>
      <w:r>
        <w:rPr>
          <w:rFonts w:ascii="宋体" w:hAnsi="宋体" w:cs="宋体" w:hint="eastAsia"/>
          <w:b/>
          <w:bCs/>
          <w:szCs w:val="21"/>
          <w:u w:val="single"/>
        </w:rPr>
        <w:t>（采购人名称）</w:t>
      </w:r>
      <w:r>
        <w:rPr>
          <w:rFonts w:ascii="宋体" w:hAnsi="宋体" w:cs="宋体" w:hint="eastAsia"/>
          <w:szCs w:val="21"/>
        </w:rPr>
        <w:t>的</w:t>
      </w:r>
      <w:r>
        <w:rPr>
          <w:rFonts w:ascii="宋体" w:hAnsi="宋体" w:cs="宋体" w:hint="eastAsia"/>
          <w:b/>
          <w:bCs/>
          <w:szCs w:val="21"/>
          <w:u w:val="single"/>
        </w:rPr>
        <w:t>（项目名称）</w:t>
      </w:r>
      <w:r>
        <w:rPr>
          <w:rFonts w:ascii="宋体" w:hAnsi="宋体" w:cs="宋体" w:hint="eastAsia"/>
          <w:szCs w:val="21"/>
        </w:rPr>
        <w:t>采购活动，提供的货物全部由符合政策要求的残疾人福利性单位制造。相关残疾人福利性单位的具体情况如下：</w:t>
      </w:r>
    </w:p>
    <w:p>
      <w:pPr>
        <w:spacing w:line="360" w:lineRule="auto"/>
        <w:rPr>
          <w:rFonts w:ascii="宋体" w:hAnsi="宋体" w:cs="宋体"/>
          <w:szCs w:val="21"/>
        </w:rPr>
      </w:pPr>
      <w:r>
        <w:rPr>
          <w:rFonts w:ascii="宋体" w:hAnsi="宋体" w:cs="宋体" w:hint="eastAsia"/>
          <w:szCs w:val="21"/>
        </w:rPr>
        <w:t>1.</w:t>
      </w:r>
      <w:r>
        <w:rPr>
          <w:rFonts w:ascii="宋体" w:hAnsi="宋体" w:cs="宋体" w:hint="eastAsia"/>
          <w:b/>
          <w:bCs/>
          <w:szCs w:val="21"/>
          <w:u w:val="single"/>
        </w:rPr>
        <w:t xml:space="preserve"> （标的名称）</w:t>
      </w:r>
      <w:r>
        <w:rPr>
          <w:rFonts w:ascii="宋体" w:hAnsi="宋体" w:cs="宋体" w:hint="eastAsia"/>
          <w:szCs w:val="21"/>
        </w:rPr>
        <w:t xml:space="preserve"> ，制造商为</w:t>
      </w:r>
      <w:r>
        <w:rPr>
          <w:rFonts w:ascii="宋体" w:hAnsi="宋体" w:cs="宋体" w:hint="eastAsia"/>
          <w:b/>
          <w:bCs/>
          <w:szCs w:val="21"/>
          <w:u w:val="single"/>
        </w:rPr>
        <w:t>（单位名称）</w:t>
      </w:r>
      <w:r>
        <w:rPr>
          <w:rFonts w:ascii="宋体" w:hAnsi="宋体" w:cs="宋体" w:hint="eastAsia"/>
          <w:szCs w:val="21"/>
        </w:rPr>
        <w:t>，属于</w:t>
      </w:r>
      <w:r>
        <w:rPr>
          <w:rFonts w:ascii="宋体" w:hAnsi="宋体" w:cs="宋体" w:hint="eastAsia"/>
          <w:b/>
          <w:bCs/>
          <w:szCs w:val="21"/>
          <w:u w:val="single"/>
        </w:rPr>
        <w:t>残疾人福利性单位</w:t>
      </w:r>
      <w:r>
        <w:rPr>
          <w:rFonts w:ascii="宋体" w:hAnsi="宋体" w:cs="宋体" w:hint="eastAsia"/>
          <w:szCs w:val="21"/>
        </w:rPr>
        <w:t>；</w:t>
      </w:r>
    </w:p>
    <w:p>
      <w:pPr>
        <w:spacing w:line="360" w:lineRule="auto"/>
        <w:rPr>
          <w:rFonts w:ascii="宋体" w:hAnsi="宋体" w:cs="宋体"/>
          <w:szCs w:val="21"/>
        </w:rPr>
      </w:pPr>
      <w:r>
        <w:rPr>
          <w:rFonts w:ascii="宋体" w:hAnsi="宋体" w:cs="宋体" w:hint="eastAsia"/>
          <w:szCs w:val="21"/>
        </w:rPr>
        <w:t>2.</w:t>
      </w:r>
      <w:r>
        <w:rPr>
          <w:rFonts w:ascii="宋体" w:hAnsi="宋体" w:cs="宋体" w:hint="eastAsia"/>
          <w:b/>
          <w:bCs/>
          <w:szCs w:val="21"/>
          <w:u w:val="single"/>
        </w:rPr>
        <w:t xml:space="preserve"> （标的名称）</w:t>
      </w:r>
      <w:r>
        <w:rPr>
          <w:rFonts w:ascii="宋体" w:hAnsi="宋体" w:cs="宋体" w:hint="eastAsia"/>
          <w:szCs w:val="21"/>
        </w:rPr>
        <w:t xml:space="preserve"> ，制造商为</w:t>
      </w:r>
      <w:r>
        <w:rPr>
          <w:rFonts w:ascii="宋体" w:hAnsi="宋体" w:cs="宋体" w:hint="eastAsia"/>
          <w:b/>
          <w:bCs/>
          <w:szCs w:val="21"/>
          <w:u w:val="single"/>
        </w:rPr>
        <w:t>（单位名称）</w:t>
      </w:r>
      <w:r>
        <w:rPr>
          <w:rFonts w:ascii="宋体" w:hAnsi="宋体" w:cs="宋体" w:hint="eastAsia"/>
          <w:szCs w:val="21"/>
        </w:rPr>
        <w:t>，属于</w:t>
      </w:r>
      <w:r>
        <w:rPr>
          <w:rFonts w:ascii="宋体" w:hAnsi="宋体" w:cs="宋体" w:hint="eastAsia"/>
          <w:b/>
          <w:bCs/>
          <w:szCs w:val="21"/>
          <w:u w:val="single"/>
        </w:rPr>
        <w:t>残疾人福利性单位</w:t>
      </w:r>
      <w:r>
        <w:rPr>
          <w:rFonts w:ascii="宋体" w:hAnsi="宋体" w:cs="宋体" w:hint="eastAsia"/>
          <w:szCs w:val="21"/>
        </w:rPr>
        <w:t>。</w:t>
      </w:r>
    </w:p>
    <w:p>
      <w:pPr>
        <w:spacing w:line="360" w:lineRule="auto"/>
        <w:outlineLvl w:val="3"/>
        <w:rPr>
          <w:rFonts w:ascii="宋体" w:hAnsi="宋体" w:cs="宋体"/>
          <w:szCs w:val="21"/>
        </w:rPr>
      </w:pPr>
      <w:r>
        <w:rPr>
          <w:rFonts w:ascii="宋体" w:hAnsi="宋体" w:cs="宋体" w:hint="eastAsia"/>
          <w:szCs w:val="21"/>
        </w:rPr>
        <w:t xml:space="preserve">…… </w:t>
      </w:r>
    </w:p>
    <w:p>
      <w:pPr>
        <w:spacing w:line="360" w:lineRule="auto"/>
        <w:rPr>
          <w:rFonts w:ascii="宋体" w:hAnsi="宋体" w:cs="宋体"/>
          <w:szCs w:val="21"/>
        </w:rPr>
      </w:pPr>
      <w:bookmarkStart w:id="62" w:name="_Hlk73562331"/>
      <w:bookmarkStart w:id="63" w:name="_Hlk73562245"/>
      <w:r>
        <w:rPr>
          <w:rFonts w:ascii="宋体" w:hAnsi="宋体" w:cs="宋体" w:hint="eastAsia"/>
        </w:rPr>
        <w:t>本投标人已知悉《财政部民政部中国残疾人联合会关于促进残疾人就业政府采购政策的通知》（财库〔2017〕141 号）的规定，承诺提供的声明函内容是真实的，如提供声明函内容不实，则依法追究相关法律责任。</w:t>
      </w:r>
      <w:bookmarkEnd w:id="62"/>
    </w:p>
    <w:p>
      <w:pPr>
        <w:spacing w:line="360" w:lineRule="auto"/>
        <w:jc w:val="right"/>
        <w:outlineLvl w:val="3"/>
        <w:rPr>
          <w:rFonts w:ascii="宋体" w:hAnsi="宋体" w:cs="宋体"/>
          <w:szCs w:val="21"/>
        </w:rPr>
      </w:pPr>
      <w:bookmarkEnd w:id="63"/>
      <w:r>
        <w:rPr>
          <w:rFonts w:ascii="宋体" w:hAnsi="宋体" w:cs="宋体" w:hint="eastAsia"/>
          <w:szCs w:val="21"/>
        </w:rPr>
        <w:t>企业名称：</w:t>
      </w:r>
    </w:p>
    <w:p>
      <w:pPr>
        <w:spacing w:line="360" w:lineRule="auto"/>
        <w:jc w:val="right"/>
        <w:outlineLvl w:val="3"/>
        <w:rPr>
          <w:rFonts w:ascii="宋体" w:hAnsi="宋体" w:cs="宋体"/>
          <w:szCs w:val="21"/>
        </w:rPr>
      </w:pPr>
      <w:r>
        <w:rPr>
          <w:rFonts w:ascii="宋体" w:hAnsi="宋体" w:cs="宋体" w:hint="eastAsia"/>
          <w:szCs w:val="21"/>
        </w:rPr>
        <w:t>日 期：</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jc w:val="center"/>
        <w:outlineLvl w:val="3"/>
        <w:rPr>
          <w:rFonts w:ascii="宋体" w:hAnsi="宋体" w:cs="宋体"/>
          <w:b/>
          <w:sz w:val="24"/>
        </w:rPr>
      </w:pPr>
      <w:r>
        <w:rPr>
          <w:rFonts w:ascii="宋体" w:hAnsi="宋体" w:cs="宋体" w:hint="eastAsia"/>
          <w:b/>
          <w:sz w:val="24"/>
        </w:rPr>
        <w:t>3、监狱企业声明函【货物类，提供监狱企业货物的供应商如需享受优惠政策，还须另行提供省级以上监狱管理局、戒毒管理局（含新疆生产建设兵团）出具的监狱企业证明文件】</w:t>
      </w:r>
    </w:p>
    <w:p>
      <w:pPr>
        <w:spacing w:line="360" w:lineRule="auto"/>
        <w:rPr>
          <w:rFonts w:ascii="宋体" w:hAnsi="宋体" w:cs="宋体"/>
          <w:szCs w:val="21"/>
        </w:rPr>
      </w:pPr>
      <w:r>
        <w:rPr>
          <w:rFonts w:ascii="宋体" w:hAnsi="宋体" w:cs="宋体" w:hint="eastAsia"/>
          <w:szCs w:val="21"/>
        </w:rPr>
        <w:t>本投标人郑重声明，根据《财政部司法部关于政府采购支持监狱企业发展有关问题的通知》（财库〔2014〕68号）的规定，本投标人参加</w:t>
      </w:r>
      <w:r>
        <w:rPr>
          <w:rFonts w:ascii="宋体" w:hAnsi="宋体" w:cs="宋体" w:hint="eastAsia"/>
          <w:b/>
          <w:bCs/>
          <w:szCs w:val="21"/>
          <w:u w:val="single"/>
        </w:rPr>
        <w:t>（采购人名称）</w:t>
      </w:r>
      <w:r>
        <w:rPr>
          <w:rFonts w:ascii="宋体" w:hAnsi="宋体" w:cs="宋体" w:hint="eastAsia"/>
          <w:szCs w:val="21"/>
        </w:rPr>
        <w:t>的</w:t>
      </w:r>
      <w:r>
        <w:rPr>
          <w:rFonts w:ascii="宋体" w:hAnsi="宋体" w:cs="宋体" w:hint="eastAsia"/>
          <w:b/>
          <w:bCs/>
          <w:szCs w:val="21"/>
          <w:u w:val="single"/>
        </w:rPr>
        <w:t>（项目名称）</w:t>
      </w:r>
      <w:r>
        <w:rPr>
          <w:rFonts w:ascii="宋体" w:hAnsi="宋体" w:cs="宋体" w:hint="eastAsia"/>
          <w:szCs w:val="21"/>
        </w:rPr>
        <w:t>采购活动，提供的货物全部由符合政策要求的监狱企业制造。相关监狱企业的具体情况如下：</w:t>
      </w:r>
    </w:p>
    <w:p>
      <w:pPr>
        <w:spacing w:line="360" w:lineRule="auto"/>
        <w:rPr>
          <w:rFonts w:ascii="宋体" w:hAnsi="宋体" w:cs="宋体"/>
          <w:szCs w:val="21"/>
        </w:rPr>
      </w:pPr>
      <w:r>
        <w:rPr>
          <w:rFonts w:ascii="宋体" w:hAnsi="宋体" w:cs="宋体" w:hint="eastAsia"/>
          <w:szCs w:val="21"/>
        </w:rPr>
        <w:t>1.</w:t>
      </w:r>
      <w:r>
        <w:rPr>
          <w:rFonts w:ascii="宋体" w:hAnsi="宋体" w:cs="宋体" w:hint="eastAsia"/>
          <w:b/>
          <w:bCs/>
          <w:szCs w:val="21"/>
          <w:u w:val="single"/>
        </w:rPr>
        <w:t xml:space="preserve"> （标的名称）</w:t>
      </w:r>
      <w:r>
        <w:rPr>
          <w:rFonts w:ascii="宋体" w:hAnsi="宋体" w:cs="宋体" w:hint="eastAsia"/>
          <w:szCs w:val="21"/>
        </w:rPr>
        <w:t xml:space="preserve"> ，制造商为</w:t>
      </w:r>
      <w:r>
        <w:rPr>
          <w:rFonts w:ascii="宋体" w:hAnsi="宋体" w:cs="宋体" w:hint="eastAsia"/>
          <w:b/>
          <w:bCs/>
          <w:szCs w:val="21"/>
          <w:u w:val="single"/>
        </w:rPr>
        <w:t>（企业名称）</w:t>
      </w:r>
      <w:r>
        <w:rPr>
          <w:rFonts w:ascii="宋体" w:hAnsi="宋体" w:cs="宋体" w:hint="eastAsia"/>
          <w:szCs w:val="21"/>
        </w:rPr>
        <w:t>，属于</w:t>
      </w:r>
      <w:r>
        <w:rPr>
          <w:rFonts w:ascii="宋体" w:hAnsi="宋体" w:cs="宋体" w:hint="eastAsia"/>
          <w:b/>
          <w:bCs/>
          <w:szCs w:val="21"/>
          <w:u w:val="single"/>
        </w:rPr>
        <w:t>监狱企业</w:t>
      </w:r>
      <w:r>
        <w:rPr>
          <w:rFonts w:ascii="宋体" w:hAnsi="宋体" w:cs="宋体" w:hint="eastAsia"/>
          <w:szCs w:val="21"/>
        </w:rPr>
        <w:t>；</w:t>
      </w:r>
    </w:p>
    <w:p>
      <w:pPr>
        <w:spacing w:line="360" w:lineRule="auto"/>
        <w:rPr>
          <w:rFonts w:ascii="宋体" w:hAnsi="宋体" w:cs="宋体"/>
          <w:szCs w:val="21"/>
        </w:rPr>
      </w:pPr>
      <w:r>
        <w:rPr>
          <w:rFonts w:ascii="宋体" w:hAnsi="宋体" w:cs="宋体" w:hint="eastAsia"/>
          <w:szCs w:val="21"/>
        </w:rPr>
        <w:t>2.</w:t>
      </w:r>
      <w:r>
        <w:rPr>
          <w:rFonts w:ascii="宋体" w:hAnsi="宋体" w:cs="宋体" w:hint="eastAsia"/>
          <w:b/>
          <w:bCs/>
          <w:szCs w:val="21"/>
          <w:u w:val="single"/>
        </w:rPr>
        <w:t xml:space="preserve"> （标的名称）</w:t>
      </w:r>
      <w:r>
        <w:rPr>
          <w:rFonts w:ascii="宋体" w:hAnsi="宋体" w:cs="宋体" w:hint="eastAsia"/>
          <w:szCs w:val="21"/>
        </w:rPr>
        <w:t xml:space="preserve"> ，制造商为</w:t>
      </w:r>
      <w:r>
        <w:rPr>
          <w:rFonts w:ascii="宋体" w:hAnsi="宋体" w:cs="宋体" w:hint="eastAsia"/>
          <w:b/>
          <w:bCs/>
          <w:szCs w:val="21"/>
          <w:u w:val="single"/>
        </w:rPr>
        <w:t>（企业名称）</w:t>
      </w:r>
      <w:r>
        <w:rPr>
          <w:rFonts w:ascii="宋体" w:hAnsi="宋体" w:cs="宋体" w:hint="eastAsia"/>
          <w:szCs w:val="21"/>
        </w:rPr>
        <w:t>，属于</w:t>
      </w:r>
      <w:r>
        <w:rPr>
          <w:rFonts w:ascii="宋体" w:hAnsi="宋体" w:cs="宋体" w:hint="eastAsia"/>
          <w:b/>
          <w:bCs/>
          <w:szCs w:val="21"/>
          <w:u w:val="single"/>
        </w:rPr>
        <w:t>监狱企业</w:t>
      </w:r>
      <w:r>
        <w:rPr>
          <w:rFonts w:ascii="宋体" w:hAnsi="宋体" w:cs="宋体" w:hint="eastAsia"/>
          <w:szCs w:val="21"/>
        </w:rPr>
        <w:t>。</w:t>
      </w:r>
    </w:p>
    <w:p>
      <w:pPr>
        <w:spacing w:line="360" w:lineRule="auto"/>
        <w:outlineLvl w:val="3"/>
        <w:rPr>
          <w:rFonts w:ascii="宋体" w:hAnsi="宋体" w:cs="宋体"/>
          <w:szCs w:val="21"/>
        </w:rPr>
      </w:pPr>
      <w:r>
        <w:rPr>
          <w:rFonts w:ascii="宋体" w:hAnsi="宋体" w:cs="宋体" w:hint="eastAsia"/>
          <w:szCs w:val="21"/>
        </w:rPr>
        <w:t xml:space="preserve">…… </w:t>
      </w:r>
    </w:p>
    <w:p>
      <w:pPr>
        <w:spacing w:line="360" w:lineRule="auto"/>
        <w:rPr>
          <w:rFonts w:ascii="宋体" w:hAnsi="宋体" w:cs="宋体"/>
          <w:szCs w:val="21"/>
        </w:rPr>
      </w:pPr>
      <w:r>
        <w:rPr>
          <w:rFonts w:ascii="宋体" w:hAnsi="宋体" w:cs="宋体" w:hint="eastAsia"/>
          <w:szCs w:val="21"/>
        </w:rPr>
        <w:t>本投标人对上述声明内容的真实性负责。如有虚假，将依法承担相应责任。</w:t>
      </w:r>
    </w:p>
    <w:p>
      <w:pPr>
        <w:spacing w:line="360" w:lineRule="auto"/>
        <w:rPr>
          <w:rFonts w:ascii="宋体" w:hAnsi="宋体" w:cs="宋体"/>
          <w:szCs w:val="21"/>
        </w:rPr>
      </w:pPr>
      <w:r>
        <w:rPr>
          <w:rFonts w:ascii="宋体" w:hAnsi="宋体" w:cs="宋体" w:hint="eastAsia"/>
          <w:szCs w:val="21"/>
        </w:rPr>
        <w:t>附：省级以上监狱管理局、戒毒管理局（含新疆生产建设兵团）出具的监狱企业证明文件。</w:t>
      </w:r>
    </w:p>
    <w:p>
      <w:pPr>
        <w:spacing w:line="360" w:lineRule="auto"/>
        <w:jc w:val="right"/>
        <w:outlineLvl w:val="3"/>
        <w:rPr>
          <w:rFonts w:ascii="宋体" w:hAnsi="宋体" w:cs="宋体"/>
          <w:szCs w:val="21"/>
        </w:rPr>
      </w:pPr>
      <w:bookmarkEnd w:id="59"/>
      <w:r>
        <w:rPr>
          <w:rFonts w:ascii="宋体" w:hAnsi="宋体" w:cs="宋体" w:hint="eastAsia"/>
          <w:szCs w:val="21"/>
        </w:rPr>
        <w:t>企业名称：</w:t>
      </w:r>
    </w:p>
    <w:p>
      <w:pPr>
        <w:spacing w:line="360" w:lineRule="auto"/>
        <w:jc w:val="right"/>
        <w:outlineLvl w:val="3"/>
        <w:rPr>
          <w:rFonts w:ascii="宋体" w:hAnsi="宋体" w:cs="宋体"/>
          <w:szCs w:val="21"/>
        </w:rPr>
      </w:pPr>
      <w:r>
        <w:rPr>
          <w:rFonts w:ascii="宋体" w:hAnsi="宋体" w:cs="宋体" w:hint="eastAsia"/>
          <w:szCs w:val="21"/>
        </w:rPr>
        <w:t>日 期：</w:t>
      </w:r>
    </w:p>
    <w:p>
      <w:pPr>
        <w:spacing w:line="360" w:lineRule="auto"/>
        <w:rPr>
          <w:rFonts w:ascii="宋体" w:hAnsi="宋体" w:cs="宋体"/>
          <w:szCs w:val="21"/>
        </w:rPr>
      </w:pPr>
    </w:p>
    <w:p>
      <w:pPr>
        <w:spacing w:line="360" w:lineRule="auto"/>
        <w:rPr>
          <w:rFonts w:ascii="宋体" w:hAnsi="宋体" w:cs="宋体"/>
          <w:b/>
          <w:bCs/>
          <w:sz w:val="24"/>
        </w:rPr>
      </w:pPr>
    </w:p>
    <w:p>
      <w:pPr>
        <w:spacing w:line="360" w:lineRule="auto"/>
        <w:jc w:val="center"/>
        <w:rPr>
          <w:rFonts w:ascii="宋体" w:hAnsi="宋体" w:cs="宋体"/>
          <w:b/>
          <w:bCs/>
          <w:sz w:val="24"/>
        </w:rPr>
      </w:pPr>
    </w:p>
    <w:p>
      <w:pPr>
        <w:spacing w:line="360" w:lineRule="auto"/>
        <w:outlineLvl w:val="3"/>
        <w:rPr>
          <w:rFonts w:ascii="宋体" w:hAnsi="宋体" w:cs="宋体"/>
          <w:b/>
          <w:bCs/>
          <w:sz w:val="24"/>
        </w:rPr>
      </w:pPr>
    </w:p>
    <w:p>
      <w:pPr>
        <w:pStyle w:val="BodyText"/>
        <w:rPr>
          <w:rFonts w:ascii="宋体" w:hAnsi="宋体" w:cs="宋体"/>
          <w:b/>
          <w:bCs/>
          <w:sz w:val="24"/>
        </w:rPr>
      </w:pPr>
    </w:p>
    <w:p>
      <w:pPr>
        <w:rPr>
          <w:rFonts w:ascii="宋体" w:hAnsi="宋体" w:cs="宋体"/>
          <w:b/>
          <w:bCs/>
          <w:sz w:val="24"/>
        </w:rPr>
      </w:pPr>
    </w:p>
    <w:p>
      <w:pPr>
        <w:pStyle w:val="BodyText"/>
        <w:rPr>
          <w:rFonts w:ascii="宋体" w:hAnsi="宋体" w:cs="宋体"/>
          <w:b/>
          <w:bCs/>
          <w:sz w:val="24"/>
        </w:rPr>
      </w:pPr>
    </w:p>
    <w:p/>
    <w:p>
      <w:pPr>
        <w:spacing w:line="360" w:lineRule="auto"/>
        <w:rPr>
          <w:rFonts w:ascii="宋体" w:hAnsi="宋体" w:cs="宋体"/>
          <w:b/>
          <w:bCs/>
          <w:color w:val="FF0000"/>
          <w:sz w:val="24"/>
        </w:rPr>
      </w:pPr>
    </w:p>
    <w:p>
      <w:pPr>
        <w:keepNext/>
        <w:keepLines/>
        <w:spacing w:line="360" w:lineRule="auto"/>
        <w:jc w:val="center"/>
        <w:outlineLvl w:val="2"/>
        <w:rPr>
          <w:rFonts w:ascii="宋体" w:hAnsi="宋体" w:cs="宋体"/>
          <w:bCs/>
          <w:sz w:val="24"/>
        </w:rPr>
      </w:pPr>
      <w:bookmarkStart w:id="64" w:name="_Hlk72260530"/>
      <w:r>
        <w:rPr>
          <w:rFonts w:ascii="宋体" w:hAnsi="宋体" w:cs="宋体" w:hint="eastAsia"/>
          <w:bCs/>
          <w:sz w:val="24"/>
        </w:rPr>
        <w:t>四、项目详细报价</w:t>
      </w:r>
    </w:p>
    <w:p>
      <w:pPr>
        <w:tabs>
          <w:tab w:val="left" w:pos="720"/>
        </w:tabs>
        <w:spacing w:line="360" w:lineRule="auto"/>
        <w:rPr>
          <w:rFonts w:ascii="宋体" w:hAnsi="宋体" w:cs="宋体"/>
          <w:b/>
          <w:sz w:val="24"/>
        </w:rPr>
      </w:pPr>
      <w:r>
        <w:rPr>
          <w:rFonts w:ascii="宋体" w:hAnsi="宋体" w:cs="宋体" w:hint="eastAsia"/>
          <w:b/>
          <w:sz w:val="24"/>
        </w:rPr>
        <w:t>（一）分项报价表</w:t>
      </w:r>
    </w:p>
    <w:p>
      <w:pPr>
        <w:pStyle w:val="BodyText"/>
        <w:rPr>
          <w:color w:val="FF0000"/>
        </w:rPr>
      </w:pPr>
      <w:r>
        <w:rPr>
          <w:rFonts w:hint="eastAsia"/>
          <w:color w:val="FF0000"/>
        </w:rPr>
        <w:t>1、报价清单（报价包含2、详细货物清单内容）：</w:t>
      </w:r>
    </w:p>
    <w:tbl>
      <w:tblPr>
        <w:tblStyle w:val="TableNormal"/>
        <w:tblW w:w="86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349"/>
        <w:gridCol w:w="1163"/>
        <w:gridCol w:w="1212"/>
        <w:gridCol w:w="638"/>
        <w:gridCol w:w="600"/>
        <w:gridCol w:w="475"/>
        <w:gridCol w:w="493"/>
        <w:gridCol w:w="600"/>
        <w:gridCol w:w="641"/>
        <w:gridCol w:w="1023"/>
        <w:gridCol w:w="736"/>
        <w:gridCol w:w="705"/>
      </w:tblGrid>
      <w:tr>
        <w:tblPrEx>
          <w:tblW w:w="86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Ex>
        <w:trPr>
          <w:trHeight w:val="283"/>
        </w:trPr>
        <w:tc>
          <w:tcPr>
            <w:tcW w:w="349"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163"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货物名称</w:t>
            </w:r>
          </w:p>
        </w:tc>
        <w:tc>
          <w:tcPr>
            <w:tcW w:w="12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规格/品牌/型号</w:t>
            </w:r>
          </w:p>
        </w:tc>
        <w:tc>
          <w:tcPr>
            <w:tcW w:w="638" w:type="dxa"/>
            <w:shd w:val="clear" w:color="auto" w:fill="auto"/>
            <w:tcMar>
              <w:top w:w="15" w:type="dxa"/>
              <w:left w:w="15" w:type="dxa"/>
              <w:right w:w="15" w:type="dxa"/>
            </w:tcMar>
            <w:vAlign w:val="center"/>
          </w:tcPr>
          <w:p>
            <w:pPr>
              <w:widowControl/>
              <w:jc w:val="center"/>
              <w:textAlignment w:val="center"/>
              <w:rPr>
                <w:rFonts w:ascii="宋体" w:hAnsi="宋体" w:cs="宋体"/>
                <w:b/>
                <w:color w:val="FF0000"/>
                <w:szCs w:val="21"/>
              </w:rPr>
            </w:pPr>
            <w:r>
              <w:rPr>
                <w:rFonts w:ascii="宋体" w:hAnsi="宋体" w:cs="宋体" w:hint="eastAsia"/>
                <w:b/>
                <w:color w:val="FF0000"/>
                <w:kern w:val="0"/>
                <w:szCs w:val="21"/>
              </w:rPr>
              <w:t>原产地</w:t>
            </w:r>
          </w:p>
        </w:tc>
        <w:tc>
          <w:tcPr>
            <w:tcW w:w="600"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制造商名称</w:t>
            </w:r>
          </w:p>
        </w:tc>
        <w:tc>
          <w:tcPr>
            <w:tcW w:w="475"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c>
          <w:tcPr>
            <w:tcW w:w="493"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单位</w:t>
            </w:r>
          </w:p>
        </w:tc>
        <w:tc>
          <w:tcPr>
            <w:tcW w:w="600"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单价(元)</w:t>
            </w:r>
          </w:p>
        </w:tc>
        <w:tc>
          <w:tcPr>
            <w:tcW w:w="6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hint="eastAsia"/>
                <w:color w:val="000000"/>
                <w:kern w:val="0"/>
                <w:szCs w:val="21"/>
              </w:rPr>
              <w:t>合价(元)</w:t>
            </w:r>
          </w:p>
        </w:tc>
        <w:tc>
          <w:tcPr>
            <w:tcW w:w="1023" w:type="dxa"/>
            <w:shd w:val="clear" w:color="auto" w:fill="auto"/>
            <w:tcMar>
              <w:top w:w="15" w:type="dxa"/>
              <w:left w:w="15" w:type="dxa"/>
              <w:right w:w="15" w:type="dxa"/>
            </w:tcMar>
            <w:vAlign w:val="center"/>
          </w:tcPr>
          <w:p>
            <w:pPr>
              <w:widowControl/>
              <w:jc w:val="center"/>
              <w:textAlignment w:val="center"/>
              <w:rPr>
                <w:rFonts w:ascii="宋体" w:hAnsi="宋体" w:cs="宋体"/>
                <w:b/>
                <w:color w:val="FF0000"/>
                <w:szCs w:val="21"/>
              </w:rPr>
            </w:pPr>
            <w:r>
              <w:rPr>
                <w:rFonts w:ascii="宋体" w:hAnsi="宋体" w:cs="宋体" w:hint="eastAsia"/>
                <w:b/>
                <w:color w:val="FF0000"/>
                <w:kern w:val="0"/>
                <w:szCs w:val="21"/>
              </w:rPr>
              <w:t>投标最高限价</w:t>
            </w:r>
            <w:r>
              <w:rPr>
                <w:rFonts w:ascii="宋体" w:hAnsi="宋体" w:cs="宋体" w:hint="eastAsia"/>
                <w:b/>
                <w:bCs/>
                <w:color w:val="FF0000"/>
                <w:kern w:val="0"/>
                <w:szCs w:val="21"/>
              </w:rPr>
              <w:t>（元）</w:t>
            </w:r>
          </w:p>
        </w:tc>
        <w:tc>
          <w:tcPr>
            <w:tcW w:w="736"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eastAsia="宋体" w:hAnsi="宋体" w:cs="宋体" w:hint="eastAsia"/>
                <w:b/>
                <w:color w:val="FF0000"/>
                <w:kern w:val="0"/>
                <w:szCs w:val="21"/>
                <w:lang w:eastAsia="zh-CN"/>
              </w:rPr>
              <w:t>合计</w:t>
            </w:r>
            <w:r>
              <w:rPr>
                <w:rFonts w:ascii="宋体" w:hAnsi="宋体" w:cs="宋体" w:hint="eastAsia"/>
                <w:b/>
                <w:color w:val="FF0000"/>
                <w:kern w:val="0"/>
                <w:szCs w:val="21"/>
              </w:rPr>
              <w:t>投标最高限价</w:t>
            </w:r>
            <w:r>
              <w:rPr>
                <w:rFonts w:ascii="宋体" w:hAnsi="宋体" w:cs="宋体" w:hint="eastAsia"/>
                <w:b/>
                <w:bCs/>
                <w:color w:val="FF0000"/>
                <w:kern w:val="0"/>
                <w:szCs w:val="21"/>
              </w:rPr>
              <w:t>（元）</w:t>
            </w:r>
          </w:p>
        </w:tc>
        <w:tc>
          <w:tcPr>
            <w:tcW w:w="705" w:type="dxa"/>
            <w:shd w:val="clear" w:color="auto" w:fill="auto"/>
            <w:noWrap/>
            <w:tcMar>
              <w:top w:w="15" w:type="dxa"/>
              <w:left w:w="15" w:type="dxa"/>
              <w:right w:w="15" w:type="dxa"/>
            </w:tcMar>
            <w:vAlign w:val="center"/>
          </w:tcPr>
          <w:p>
            <w:pPr>
              <w:spacing w:line="360" w:lineRule="auto"/>
              <w:jc w:val="center"/>
              <w:rPr>
                <w:rFonts w:asciiTheme="minorEastAsia" w:eastAsiaTheme="minorEastAsia" w:hAnsiTheme="minorEastAsia" w:cstheme="minorEastAsia" w:hint="eastAsia"/>
                <w:b/>
                <w:color w:val="FF0000"/>
                <w:szCs w:val="21"/>
              </w:rPr>
            </w:pPr>
            <w:r>
              <w:rPr>
                <w:rFonts w:ascii="宋体" w:hAnsi="宋体" w:cs="宋体" w:hint="eastAsia"/>
                <w:b/>
                <w:color w:val="FF0000"/>
                <w:szCs w:val="21"/>
              </w:rPr>
              <w:t>备注</w:t>
            </w:r>
          </w:p>
        </w:tc>
      </w:tr>
      <w:tr>
        <w:tblPrEx>
          <w:tblW w:w="8635" w:type="dxa"/>
          <w:tblInd w:w="0" w:type="dxa"/>
          <w:tblLayout w:type="fixed"/>
          <w:tblCellMar>
            <w:top w:w="0" w:type="dxa"/>
            <w:left w:w="0" w:type="dxa"/>
            <w:bottom w:w="0" w:type="dxa"/>
            <w:right w:w="0" w:type="dxa"/>
          </w:tblCellMar>
        </w:tblPrEx>
        <w:trPr>
          <w:trHeight w:val="283"/>
        </w:trPr>
        <w:tc>
          <w:tcPr>
            <w:tcW w:w="349"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ascii="宋体" w:hAnsi="宋体" w:cs="宋体"/>
                <w:color w:val="000000"/>
                <w:kern w:val="0"/>
                <w:szCs w:val="21"/>
              </w:rPr>
              <w:t>1</w:t>
            </w:r>
          </w:p>
        </w:tc>
        <w:tc>
          <w:tcPr>
            <w:tcW w:w="1163" w:type="dxa"/>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rPr>
              <w:t>电子支气管镜</w:t>
            </w:r>
          </w:p>
        </w:tc>
        <w:tc>
          <w:tcPr>
            <w:tcW w:w="1212"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38"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00"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475" w:type="dxa"/>
            <w:shd w:val="clear" w:color="auto" w:fill="auto"/>
            <w:tcMar>
              <w:top w:w="15" w:type="dxa"/>
              <w:left w:w="15" w:type="dxa"/>
              <w:right w:w="15" w:type="dxa"/>
            </w:tcMar>
            <w:vAlign w:val="center"/>
          </w:tcPr>
          <w:p>
            <w:pPr>
              <w:jc w:val="center"/>
              <w:rPr>
                <w:rFonts w:ascii="宋体" w:hAnsi="宋体" w:cs="宋体"/>
                <w:color w:val="000000"/>
                <w:szCs w:val="21"/>
              </w:rPr>
            </w:pPr>
            <w:r>
              <w:t>4</w:t>
            </w:r>
          </w:p>
        </w:tc>
        <w:tc>
          <w:tcPr>
            <w:tcW w:w="493" w:type="dxa"/>
            <w:shd w:val="clear" w:color="auto" w:fill="auto"/>
            <w:tcMar>
              <w:top w:w="15" w:type="dxa"/>
              <w:left w:w="15" w:type="dxa"/>
              <w:right w:w="15" w:type="dxa"/>
            </w:tcMar>
            <w:vAlign w:val="center"/>
          </w:tcPr>
          <w:p>
            <w:pPr>
              <w:spacing w:line="360" w:lineRule="auto"/>
              <w:jc w:val="center"/>
              <w:rPr>
                <w:rFonts w:ascii="宋体" w:hAnsi="宋体" w:cs="宋体"/>
                <w:color w:val="000000"/>
                <w:szCs w:val="21"/>
              </w:rPr>
            </w:pPr>
            <w:r>
              <w:rPr>
                <w:rFonts w:hint="eastAsia"/>
              </w:rPr>
              <w:t>条</w:t>
            </w:r>
          </w:p>
        </w:tc>
        <w:tc>
          <w:tcPr>
            <w:tcW w:w="600"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41"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1023" w:type="dxa"/>
            <w:shd w:val="clear" w:color="auto" w:fill="auto"/>
            <w:tcMar>
              <w:top w:w="15" w:type="dxa"/>
              <w:left w:w="15" w:type="dxa"/>
              <w:right w:w="15" w:type="dxa"/>
            </w:tcMar>
            <w:vAlign w:val="top"/>
          </w:tcPr>
          <w:p>
            <w:pPr>
              <w:widowControl/>
              <w:spacing w:line="360" w:lineRule="auto"/>
              <w:jc w:val="center"/>
              <w:rPr>
                <w:rFonts w:asciiTheme="minorEastAsia" w:eastAsiaTheme="minorEastAsia" w:hAnsiTheme="minorEastAsia" w:cstheme="minorEastAsia" w:hint="eastAsia"/>
                <w:b w:val="0"/>
                <w:bCs w:val="0"/>
                <w:color w:val="FF0000"/>
                <w:sz w:val="21"/>
                <w:szCs w:val="21"/>
              </w:rPr>
            </w:pPr>
            <w:r>
              <w:rPr>
                <w:rFonts w:ascii="宋体" w:hAnsi="宋体" w:cs="宋体" w:hint="eastAsia"/>
                <w:b w:val="0"/>
                <w:bCs w:val="0"/>
                <w:color w:val="FF0000"/>
                <w:sz w:val="24"/>
              </w:rPr>
              <w:t>1</w:t>
            </w:r>
            <w:r>
              <w:rPr>
                <w:rFonts w:ascii="宋体" w:hAnsi="宋体" w:cs="宋体"/>
                <w:b w:val="0"/>
                <w:bCs w:val="0"/>
                <w:color w:val="FF0000"/>
                <w:sz w:val="24"/>
              </w:rPr>
              <w:t>600000.00</w:t>
            </w:r>
          </w:p>
        </w:tc>
        <w:tc>
          <w:tcPr>
            <w:tcW w:w="736"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Theme="minorEastAsia" w:eastAsiaTheme="minorEastAsia" w:hAnsiTheme="minorEastAsia" w:cstheme="minorEastAsia" w:hint="eastAsia"/>
                <w:b/>
                <w:color w:val="FF0000"/>
                <w:szCs w:val="21"/>
                <w:highlight w:val="yellow"/>
                <w:lang w:val="en-US" w:eastAsia="zh-CN"/>
              </w:rPr>
              <w:t>1780000</w:t>
            </w:r>
            <w:r>
              <w:rPr>
                <w:rFonts w:asciiTheme="minorEastAsia" w:eastAsiaTheme="minorEastAsia" w:hAnsiTheme="minorEastAsia" w:cstheme="minorEastAsia" w:hint="eastAsia"/>
                <w:b/>
                <w:color w:val="FF0000"/>
                <w:szCs w:val="21"/>
                <w:highlight w:val="yellow"/>
              </w:rPr>
              <w:t>.00</w:t>
            </w:r>
          </w:p>
        </w:tc>
        <w:tc>
          <w:tcPr>
            <w:tcW w:w="705" w:type="dxa"/>
            <w:shd w:val="clear" w:color="auto" w:fill="auto"/>
            <w:tcMar>
              <w:top w:w="15" w:type="dxa"/>
              <w:left w:w="15" w:type="dxa"/>
              <w:right w:w="15" w:type="dxa"/>
            </w:tcMar>
            <w:vAlign w:val="center"/>
          </w:tcPr>
          <w:p>
            <w:pPr>
              <w:jc w:val="center"/>
              <w:rPr>
                <w:rFonts w:asciiTheme="minorEastAsia" w:eastAsiaTheme="minorEastAsia" w:hAnsiTheme="minorEastAsia" w:cstheme="minorEastAsia" w:hint="eastAsia"/>
                <w:b/>
                <w:color w:val="FF0000"/>
                <w:szCs w:val="21"/>
                <w:highlight w:val="yellow"/>
                <w:lang w:val="en-US" w:eastAsia="zh-CN"/>
              </w:rPr>
            </w:pPr>
            <w:r>
              <w:rPr>
                <w:rFonts w:ascii="宋体" w:hAnsi="宋体" w:cs="宋体" w:hint="eastAsia"/>
                <w:b/>
                <w:color w:val="FF0000"/>
                <w:szCs w:val="21"/>
              </w:rPr>
              <w:t>接受进口</w:t>
            </w:r>
          </w:p>
        </w:tc>
      </w:tr>
      <w:tr>
        <w:tblPrEx>
          <w:tblW w:w="8635" w:type="dxa"/>
          <w:tblInd w:w="0" w:type="dxa"/>
          <w:tblLayout w:type="fixed"/>
          <w:tblCellMar>
            <w:top w:w="0" w:type="dxa"/>
            <w:left w:w="0" w:type="dxa"/>
            <w:bottom w:w="0" w:type="dxa"/>
            <w:right w:w="0" w:type="dxa"/>
          </w:tblCellMar>
        </w:tblPrEx>
        <w:trPr>
          <w:trHeight w:val="283"/>
        </w:trPr>
        <w:tc>
          <w:tcPr>
            <w:tcW w:w="349"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ascii="宋体" w:hAnsi="宋体" w:cs="宋体"/>
                <w:color w:val="000000"/>
                <w:kern w:val="0"/>
                <w:szCs w:val="21"/>
              </w:rPr>
              <w:t>2</w:t>
            </w:r>
          </w:p>
        </w:tc>
        <w:tc>
          <w:tcPr>
            <w:tcW w:w="1163" w:type="dxa"/>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rPr>
              <w:t>食道镜</w:t>
            </w:r>
          </w:p>
        </w:tc>
        <w:tc>
          <w:tcPr>
            <w:tcW w:w="1212"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38"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00"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475" w:type="dxa"/>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rPr>
              <w:t>1</w:t>
            </w:r>
          </w:p>
        </w:tc>
        <w:tc>
          <w:tcPr>
            <w:tcW w:w="493" w:type="dxa"/>
            <w:shd w:val="clear" w:color="auto" w:fill="auto"/>
            <w:tcMar>
              <w:top w:w="15" w:type="dxa"/>
              <w:left w:w="15" w:type="dxa"/>
              <w:right w:w="15" w:type="dxa"/>
            </w:tcMar>
            <w:vAlign w:val="center"/>
          </w:tcPr>
          <w:p>
            <w:pPr>
              <w:spacing w:line="360" w:lineRule="auto"/>
              <w:jc w:val="center"/>
              <w:rPr>
                <w:rFonts w:ascii="宋体" w:hAnsi="宋体" w:cs="宋体"/>
                <w:color w:val="000000"/>
                <w:szCs w:val="21"/>
              </w:rPr>
            </w:pPr>
            <w:r>
              <w:rPr>
                <w:rFonts w:ascii="宋体" w:hAnsi="宋体"/>
              </w:rPr>
              <w:t>套</w:t>
            </w:r>
          </w:p>
        </w:tc>
        <w:tc>
          <w:tcPr>
            <w:tcW w:w="600"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41"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1023" w:type="dxa"/>
            <w:shd w:val="clear" w:color="auto" w:fill="auto"/>
            <w:tcMar>
              <w:top w:w="15" w:type="dxa"/>
              <w:left w:w="15" w:type="dxa"/>
              <w:right w:w="15" w:type="dxa"/>
            </w:tcMar>
            <w:vAlign w:val="top"/>
          </w:tcPr>
          <w:p>
            <w:pPr>
              <w:widowControl/>
              <w:spacing w:line="360" w:lineRule="auto"/>
              <w:jc w:val="center"/>
              <w:rPr>
                <w:rFonts w:asciiTheme="minorEastAsia" w:eastAsiaTheme="minorEastAsia" w:hAnsiTheme="minorEastAsia" w:cstheme="minorEastAsia" w:hint="eastAsia"/>
                <w:b w:val="0"/>
                <w:bCs w:val="0"/>
                <w:color w:val="FF0000"/>
                <w:sz w:val="21"/>
                <w:szCs w:val="21"/>
              </w:rPr>
            </w:pPr>
            <w:r>
              <w:rPr>
                <w:rFonts w:ascii="宋体" w:hAnsi="宋体" w:cs="宋体" w:hint="eastAsia"/>
                <w:b w:val="0"/>
                <w:bCs w:val="0"/>
                <w:color w:val="FF0000"/>
                <w:sz w:val="24"/>
              </w:rPr>
              <w:t>5</w:t>
            </w:r>
            <w:r>
              <w:rPr>
                <w:rFonts w:ascii="宋体" w:hAnsi="宋体" w:cs="宋体"/>
                <w:b w:val="0"/>
                <w:bCs w:val="0"/>
                <w:color w:val="FF0000"/>
                <w:sz w:val="24"/>
              </w:rPr>
              <w:t>0000.00</w:t>
            </w:r>
          </w:p>
        </w:tc>
        <w:tc>
          <w:tcPr>
            <w:tcW w:w="736" w:type="dxa"/>
            <w:vMerge/>
            <w:shd w:val="clear" w:color="auto" w:fill="auto"/>
            <w:tcMar>
              <w:top w:w="15" w:type="dxa"/>
              <w:left w:w="15" w:type="dxa"/>
              <w:right w:w="15" w:type="dxa"/>
            </w:tcMar>
            <w:vAlign w:val="center"/>
          </w:tcPr>
          <w:p>
            <w:pPr>
              <w:widowControl/>
              <w:jc w:val="center"/>
              <w:textAlignment w:val="center"/>
              <w:rPr>
                <w:rFonts w:ascii="宋体" w:hAnsi="宋体" w:cs="宋体"/>
                <w:b/>
                <w:color w:val="FF0000"/>
                <w:szCs w:val="21"/>
              </w:rPr>
            </w:pPr>
          </w:p>
        </w:tc>
        <w:tc>
          <w:tcPr>
            <w:tcW w:w="705" w:type="dxa"/>
            <w:shd w:val="clear" w:color="auto" w:fill="auto"/>
            <w:tcMar>
              <w:top w:w="15" w:type="dxa"/>
              <w:left w:w="15" w:type="dxa"/>
              <w:right w:w="15" w:type="dxa"/>
            </w:tcMar>
            <w:vAlign w:val="center"/>
          </w:tcPr>
          <w:p>
            <w:pPr>
              <w:jc w:val="center"/>
              <w:rPr>
                <w:rFonts w:ascii="宋体" w:hAnsi="宋体" w:cs="宋体"/>
                <w:b/>
                <w:color w:val="FF0000"/>
                <w:szCs w:val="21"/>
              </w:rPr>
            </w:pPr>
            <w:r>
              <w:rPr>
                <w:rFonts w:ascii="宋体" w:hAnsi="宋体" w:cs="宋体" w:hint="eastAsia"/>
                <w:b/>
                <w:color w:val="FF0000"/>
                <w:szCs w:val="21"/>
              </w:rPr>
              <w:t>拒绝进口</w:t>
            </w:r>
          </w:p>
        </w:tc>
      </w:tr>
      <w:tr>
        <w:tblPrEx>
          <w:tblW w:w="8635" w:type="dxa"/>
          <w:tblInd w:w="0" w:type="dxa"/>
          <w:tblLayout w:type="fixed"/>
          <w:tblCellMar>
            <w:top w:w="0" w:type="dxa"/>
            <w:left w:w="0" w:type="dxa"/>
            <w:bottom w:w="0" w:type="dxa"/>
            <w:right w:w="0" w:type="dxa"/>
          </w:tblCellMar>
        </w:tblPrEx>
        <w:trPr>
          <w:trHeight w:val="283"/>
        </w:trPr>
        <w:tc>
          <w:tcPr>
            <w:tcW w:w="349"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ascii="宋体" w:hAnsi="宋体" w:cs="宋体"/>
                <w:color w:val="000000"/>
                <w:kern w:val="0"/>
                <w:szCs w:val="21"/>
              </w:rPr>
              <w:t>3</w:t>
            </w:r>
          </w:p>
        </w:tc>
        <w:tc>
          <w:tcPr>
            <w:tcW w:w="1163" w:type="dxa"/>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rPr>
              <w:t>纤维支气管镜</w:t>
            </w:r>
          </w:p>
        </w:tc>
        <w:tc>
          <w:tcPr>
            <w:tcW w:w="1212"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38"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00"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475" w:type="dxa"/>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rPr>
              <w:t>1</w:t>
            </w:r>
          </w:p>
        </w:tc>
        <w:tc>
          <w:tcPr>
            <w:tcW w:w="493" w:type="dxa"/>
            <w:shd w:val="clear" w:color="auto" w:fill="auto"/>
            <w:tcMar>
              <w:top w:w="15" w:type="dxa"/>
              <w:left w:w="15" w:type="dxa"/>
              <w:right w:w="15" w:type="dxa"/>
            </w:tcMar>
            <w:vAlign w:val="center"/>
          </w:tcPr>
          <w:p>
            <w:pPr>
              <w:jc w:val="center"/>
              <w:rPr>
                <w:rFonts w:ascii="宋体" w:hAnsi="宋体" w:cs="宋体"/>
                <w:color w:val="000000"/>
                <w:szCs w:val="21"/>
              </w:rPr>
            </w:pPr>
            <w:r>
              <w:rPr>
                <w:rFonts w:ascii="宋体" w:hAnsi="宋体" w:hint="eastAsia"/>
              </w:rPr>
              <w:t>台</w:t>
            </w:r>
          </w:p>
        </w:tc>
        <w:tc>
          <w:tcPr>
            <w:tcW w:w="600"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641" w:type="dxa"/>
            <w:shd w:val="clear" w:color="auto" w:fill="auto"/>
            <w:noWrap/>
            <w:tcMar>
              <w:top w:w="15" w:type="dxa"/>
              <w:left w:w="15" w:type="dxa"/>
              <w:right w:w="15" w:type="dxa"/>
            </w:tcMar>
            <w:vAlign w:val="center"/>
          </w:tcPr>
          <w:p>
            <w:pPr>
              <w:jc w:val="center"/>
              <w:rPr>
                <w:rFonts w:ascii="宋体" w:hAnsi="宋体" w:cs="宋体"/>
                <w:color w:val="000000"/>
                <w:sz w:val="24"/>
              </w:rPr>
            </w:pPr>
          </w:p>
        </w:tc>
        <w:tc>
          <w:tcPr>
            <w:tcW w:w="1023" w:type="dxa"/>
            <w:shd w:val="clear" w:color="auto" w:fill="auto"/>
            <w:tcMar>
              <w:top w:w="15" w:type="dxa"/>
              <w:left w:w="15" w:type="dxa"/>
              <w:right w:w="15" w:type="dxa"/>
            </w:tcMar>
            <w:vAlign w:val="top"/>
          </w:tcPr>
          <w:p>
            <w:pPr>
              <w:widowControl/>
              <w:spacing w:line="360" w:lineRule="auto"/>
              <w:jc w:val="center"/>
              <w:rPr>
                <w:rFonts w:ascii="宋体" w:hAnsi="宋体" w:cs="宋体" w:hint="eastAsia"/>
                <w:b w:val="0"/>
                <w:bCs w:val="0"/>
                <w:color w:val="FF0000"/>
                <w:sz w:val="24"/>
              </w:rPr>
            </w:pPr>
          </w:p>
          <w:p>
            <w:pPr>
              <w:widowControl/>
              <w:spacing w:line="360" w:lineRule="auto"/>
              <w:jc w:val="center"/>
              <w:rPr>
                <w:rFonts w:asciiTheme="minorEastAsia" w:eastAsiaTheme="minorEastAsia" w:hAnsiTheme="minorEastAsia" w:cstheme="minorEastAsia" w:hint="eastAsia"/>
                <w:b w:val="0"/>
                <w:bCs w:val="0"/>
                <w:color w:val="FF0000"/>
                <w:sz w:val="21"/>
                <w:szCs w:val="21"/>
              </w:rPr>
            </w:pPr>
            <w:r>
              <w:rPr>
                <w:rFonts w:ascii="宋体" w:hAnsi="宋体" w:cs="宋体" w:hint="eastAsia"/>
                <w:b w:val="0"/>
                <w:bCs w:val="0"/>
                <w:color w:val="FF0000"/>
                <w:sz w:val="24"/>
              </w:rPr>
              <w:t>1</w:t>
            </w:r>
            <w:r>
              <w:rPr>
                <w:rFonts w:ascii="宋体" w:hAnsi="宋体" w:cs="宋体"/>
                <w:b w:val="0"/>
                <w:bCs w:val="0"/>
                <w:color w:val="FF0000"/>
                <w:sz w:val="24"/>
              </w:rPr>
              <w:t>30000.00</w:t>
            </w:r>
          </w:p>
        </w:tc>
        <w:tc>
          <w:tcPr>
            <w:tcW w:w="736" w:type="dxa"/>
            <w:vMerge/>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5" w:type="dxa"/>
            <w:shd w:val="clear" w:color="auto" w:fill="auto"/>
            <w:tcMar>
              <w:top w:w="15" w:type="dxa"/>
              <w:left w:w="15" w:type="dxa"/>
              <w:right w:w="15" w:type="dxa"/>
            </w:tcMar>
            <w:vAlign w:val="center"/>
          </w:tcPr>
          <w:p>
            <w:pPr>
              <w:jc w:val="center"/>
              <w:rPr>
                <w:rFonts w:ascii="宋体" w:hAnsi="宋体" w:cs="宋体"/>
                <w:color w:val="000000"/>
                <w:szCs w:val="21"/>
              </w:rPr>
            </w:pPr>
            <w:r>
              <w:rPr>
                <w:rFonts w:ascii="宋体" w:hAnsi="宋体" w:cs="宋体" w:hint="eastAsia"/>
                <w:b/>
                <w:color w:val="FF0000"/>
                <w:szCs w:val="21"/>
              </w:rPr>
              <w:t>拒绝进口</w:t>
            </w:r>
          </w:p>
        </w:tc>
      </w:tr>
      <w:tr>
        <w:tblPrEx>
          <w:tblW w:w="8635" w:type="dxa"/>
          <w:tblInd w:w="0" w:type="dxa"/>
          <w:tblLayout w:type="fixed"/>
          <w:tblCellMar>
            <w:top w:w="0" w:type="dxa"/>
            <w:left w:w="0" w:type="dxa"/>
            <w:bottom w:w="0" w:type="dxa"/>
            <w:right w:w="0" w:type="dxa"/>
          </w:tblCellMar>
        </w:tblPrEx>
        <w:trPr>
          <w:trHeight w:val="283"/>
        </w:trPr>
        <w:tc>
          <w:tcPr>
            <w:tcW w:w="7930" w:type="dxa"/>
            <w:gridSpan w:val="11"/>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合计（即投标总价；币种：人民币；单位：元） 小写：           大写：</w:t>
            </w:r>
          </w:p>
        </w:tc>
        <w:tc>
          <w:tcPr>
            <w:tcW w:w="705" w:type="dxa"/>
            <w:shd w:val="clear" w:color="auto" w:fill="auto"/>
            <w:tcMar>
              <w:top w:w="15" w:type="dxa"/>
              <w:left w:w="15" w:type="dxa"/>
              <w:right w:w="15" w:type="dxa"/>
            </w:tcMar>
            <w:vAlign w:val="center"/>
          </w:tcPr>
          <w:p>
            <w:pPr>
              <w:widowControl/>
              <w:jc w:val="center"/>
              <w:textAlignment w:val="center"/>
              <w:rPr>
                <w:rFonts w:hint="eastAsia"/>
              </w:rPr>
            </w:pPr>
          </w:p>
        </w:tc>
      </w:tr>
    </w:tbl>
    <w:p>
      <w:pPr>
        <w:spacing w:line="360" w:lineRule="auto"/>
        <w:rPr>
          <w:rFonts w:asciiTheme="minorEastAsia" w:hAnsiTheme="minorEastAsia" w:cstheme="minorEastAsia" w:hint="eastAsia"/>
          <w:b/>
          <w:szCs w:val="21"/>
        </w:rPr>
      </w:pPr>
    </w:p>
    <w:p>
      <w:pPr>
        <w:spacing w:line="360" w:lineRule="auto"/>
      </w:pPr>
      <w:r>
        <w:rPr>
          <w:rFonts w:asciiTheme="minorEastAsia" w:hAnsiTheme="minorEastAsia" w:cstheme="minorEastAsia" w:hint="eastAsia"/>
          <w:b/>
          <w:szCs w:val="21"/>
        </w:rPr>
        <w:t>2、详细货物清单内容：</w:t>
      </w:r>
    </w:p>
    <w:tbl>
      <w:tblPr>
        <w:tblStyle w:val="TableNormal"/>
        <w:tblpPr w:leftFromText="180" w:rightFromText="180" w:vertAnchor="text" w:horzAnchor="page" w:tblpX="1861" w:tblpY="502"/>
        <w:tblOverlap w:val="never"/>
        <w:tblW w:w="85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653"/>
        <w:gridCol w:w="1610"/>
        <w:gridCol w:w="1241"/>
      </w:tblGrid>
      <w:tr>
        <w:tblPrEx>
          <w:tblW w:w="85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4"/>
        </w:trPr>
        <w:tc>
          <w:tcPr>
            <w:tcW w:w="5653" w:type="dxa"/>
            <w:tcBorders>
              <w:top w:val="single" w:sz="4" w:space="0" w:color="auto"/>
              <w:left w:val="single" w:sz="4" w:space="0" w:color="auto"/>
              <w:bottom w:val="single" w:sz="4" w:space="0" w:color="auto"/>
              <w:right w:val="single" w:sz="4" w:space="0" w:color="auto"/>
            </w:tcBorders>
            <w:vAlign w:val="center"/>
          </w:tcPr>
          <w:p>
            <w:pPr>
              <w:jc w:val="center"/>
            </w:pPr>
            <w:r>
              <w:rPr>
                <w:rFonts w:ascii="宋体" w:hAnsi="宋体" w:hint="eastAsia"/>
              </w:rPr>
              <w:t>名  称</w:t>
            </w:r>
          </w:p>
        </w:tc>
        <w:tc>
          <w:tcPr>
            <w:tcW w:w="1610" w:type="dxa"/>
            <w:tcBorders>
              <w:top w:val="single" w:sz="4" w:space="0" w:color="auto"/>
              <w:left w:val="nil"/>
              <w:bottom w:val="single" w:sz="4" w:space="0" w:color="auto"/>
              <w:right w:val="single" w:sz="4" w:space="0" w:color="auto"/>
            </w:tcBorders>
            <w:vAlign w:val="center"/>
          </w:tcPr>
          <w:p>
            <w:pPr>
              <w:jc w:val="center"/>
              <w:rPr>
                <w:rFonts w:ascii="宋体" w:hAnsi="宋体"/>
              </w:rPr>
            </w:pPr>
            <w:r>
              <w:rPr>
                <w:rFonts w:ascii="宋体" w:hAnsi="宋体" w:hint="eastAsia"/>
              </w:rPr>
              <w:t>单位</w:t>
            </w:r>
          </w:p>
        </w:tc>
        <w:tc>
          <w:tcPr>
            <w:tcW w:w="1241" w:type="dxa"/>
            <w:tcBorders>
              <w:top w:val="single" w:sz="4" w:space="0" w:color="auto"/>
              <w:left w:val="nil"/>
              <w:bottom w:val="single" w:sz="4" w:space="0" w:color="auto"/>
              <w:right w:val="single" w:sz="4" w:space="0" w:color="auto"/>
            </w:tcBorders>
            <w:vAlign w:val="center"/>
          </w:tcPr>
          <w:p>
            <w:pPr>
              <w:jc w:val="center"/>
            </w:pPr>
            <w:r>
              <w:rPr>
                <w:rFonts w:ascii="宋体" w:hAnsi="宋体" w:hint="eastAsia"/>
              </w:rPr>
              <w:t>数  量</w:t>
            </w:r>
          </w:p>
        </w:tc>
      </w:tr>
      <w:tr>
        <w:tblPrEx>
          <w:tblW w:w="8504" w:type="dxa"/>
          <w:tblInd w:w="0" w:type="dxa"/>
          <w:tblLayout w:type="fixed"/>
          <w:tblCellMar>
            <w:top w:w="0" w:type="dxa"/>
            <w:left w:w="108" w:type="dxa"/>
            <w:bottom w:w="0" w:type="dxa"/>
            <w:right w:w="108" w:type="dxa"/>
          </w:tblCellMar>
        </w:tblPrEx>
        <w:trPr>
          <w:trHeight w:val="340"/>
        </w:trPr>
        <w:tc>
          <w:tcPr>
            <w:tcW w:w="8504" w:type="dxa"/>
            <w:gridSpan w:val="3"/>
            <w:tcBorders>
              <w:top w:val="single" w:sz="4" w:space="0" w:color="auto"/>
              <w:left w:val="single" w:sz="4" w:space="0" w:color="auto"/>
              <w:bottom w:val="single" w:sz="4" w:space="0" w:color="auto"/>
              <w:right w:val="single" w:sz="4" w:space="0" w:color="auto"/>
            </w:tcBorders>
            <w:vAlign w:val="center"/>
          </w:tcPr>
          <w:p>
            <w:pPr>
              <w:widowControl/>
              <w:ind w:firstLine="3360" w:firstLineChars="1400"/>
              <w:jc w:val="both"/>
              <w:textAlignment w:val="center"/>
              <w:rPr>
                <w:b/>
              </w:rPr>
            </w:pPr>
            <w:r>
              <w:rPr>
                <w:rFonts w:hint="eastAsia"/>
                <w:b/>
              </w:rPr>
              <w:t>一．电子支气管镜</w:t>
            </w:r>
          </w:p>
        </w:tc>
      </w:tr>
      <w:tr>
        <w:tblPrEx>
          <w:tblW w:w="8504" w:type="dxa"/>
          <w:tblInd w:w="0" w:type="dxa"/>
          <w:tblLayout w:type="fixed"/>
          <w:tblCellMar>
            <w:top w:w="0" w:type="dxa"/>
            <w:left w:w="108" w:type="dxa"/>
            <w:bottom w:w="0" w:type="dxa"/>
            <w:right w:w="108" w:type="dxa"/>
          </w:tblCellMar>
        </w:tblPrEx>
        <w:trPr>
          <w:trHeight w:val="340"/>
        </w:trPr>
        <w:tc>
          <w:tcPr>
            <w:tcW w:w="5653" w:type="dxa"/>
            <w:tcBorders>
              <w:top w:val="single" w:sz="4" w:space="0" w:color="auto"/>
              <w:left w:val="single" w:sz="4" w:space="0" w:color="auto"/>
              <w:bottom w:val="single" w:sz="4" w:space="0" w:color="auto"/>
              <w:right w:val="single" w:sz="4" w:space="0" w:color="auto"/>
            </w:tcBorders>
            <w:vAlign w:val="center"/>
          </w:tcPr>
          <w:p>
            <w:pPr>
              <w:widowControl/>
              <w:jc w:val="left"/>
              <w:textAlignment w:val="center"/>
              <w:rPr>
                <w:color w:val="auto"/>
              </w:rPr>
            </w:pPr>
            <w:r>
              <w:rPr>
                <w:color w:val="auto"/>
              </w:rPr>
              <w:t>1</w:t>
            </w:r>
            <w:r>
              <w:rPr>
                <w:rFonts w:hint="eastAsia"/>
                <w:color w:val="auto"/>
              </w:rPr>
              <w:t>.电子支气管镜</w:t>
            </w:r>
          </w:p>
        </w:tc>
        <w:tc>
          <w:tcPr>
            <w:tcW w:w="1610" w:type="dxa"/>
            <w:tcBorders>
              <w:top w:val="single" w:sz="4" w:space="0" w:color="auto"/>
              <w:left w:val="nil"/>
              <w:bottom w:val="single" w:sz="4" w:space="0" w:color="auto"/>
              <w:right w:val="single" w:sz="4" w:space="0" w:color="auto"/>
            </w:tcBorders>
          </w:tcPr>
          <w:p>
            <w:pPr>
              <w:jc w:val="center"/>
              <w:rPr>
                <w:color w:val="auto"/>
              </w:rPr>
            </w:pPr>
            <w:r>
              <w:rPr>
                <w:rFonts w:hint="eastAsia"/>
                <w:color w:val="auto"/>
              </w:rPr>
              <w:t>条</w:t>
            </w:r>
          </w:p>
        </w:tc>
        <w:tc>
          <w:tcPr>
            <w:tcW w:w="1241" w:type="dxa"/>
            <w:tcBorders>
              <w:top w:val="single" w:sz="4" w:space="0" w:color="auto"/>
              <w:left w:val="nil"/>
              <w:bottom w:val="single" w:sz="4" w:space="0" w:color="auto"/>
              <w:right w:val="single" w:sz="4" w:space="0" w:color="auto"/>
            </w:tcBorders>
          </w:tcPr>
          <w:p>
            <w:pPr>
              <w:jc w:val="center"/>
              <w:rPr>
                <w:color w:val="auto"/>
              </w:rPr>
            </w:pPr>
            <w:r>
              <w:rPr>
                <w:rFonts w:hint="eastAsia"/>
                <w:color w:val="auto"/>
              </w:rPr>
              <w:t>4</w:t>
            </w:r>
          </w:p>
        </w:tc>
      </w:tr>
      <w:tr>
        <w:tblPrEx>
          <w:tblW w:w="8504" w:type="dxa"/>
          <w:tblInd w:w="0" w:type="dxa"/>
          <w:tblLayout w:type="fixed"/>
          <w:tblCellMar>
            <w:top w:w="0" w:type="dxa"/>
            <w:left w:w="108" w:type="dxa"/>
            <w:bottom w:w="0" w:type="dxa"/>
            <w:right w:w="108" w:type="dxa"/>
          </w:tblCellMar>
        </w:tblPrEx>
        <w:trPr>
          <w:trHeight w:val="554"/>
        </w:trPr>
        <w:tc>
          <w:tcPr>
            <w:tcW w:w="8504" w:type="dxa"/>
            <w:gridSpan w:val="3"/>
            <w:tcBorders>
              <w:top w:val="single" w:sz="4" w:space="0" w:color="auto"/>
              <w:left w:val="single" w:sz="4" w:space="0" w:color="auto"/>
              <w:bottom w:val="single" w:sz="4" w:space="0" w:color="auto"/>
              <w:right w:val="single" w:sz="4" w:space="0" w:color="auto"/>
            </w:tcBorders>
            <w:vAlign w:val="center"/>
          </w:tcPr>
          <w:p>
            <w:pPr>
              <w:widowControl/>
              <w:ind w:firstLine="3360" w:firstLineChars="1400"/>
              <w:jc w:val="left"/>
              <w:textAlignment w:val="center"/>
              <w:rPr>
                <w:b/>
              </w:rPr>
            </w:pPr>
            <w:r>
              <w:rPr>
                <w:rFonts w:hint="eastAsia"/>
                <w:b/>
              </w:rPr>
              <w:t>二、食道镜</w:t>
            </w:r>
          </w:p>
        </w:tc>
      </w:tr>
      <w:tr>
        <w:tblPrEx>
          <w:tblW w:w="8504" w:type="dxa"/>
          <w:tblInd w:w="0" w:type="dxa"/>
          <w:tblLayout w:type="fixed"/>
          <w:tblCellMar>
            <w:top w:w="0" w:type="dxa"/>
            <w:left w:w="108" w:type="dxa"/>
            <w:bottom w:w="0" w:type="dxa"/>
            <w:right w:w="108" w:type="dxa"/>
          </w:tblCellMar>
        </w:tblPrEx>
        <w:trPr>
          <w:trHeight w:val="340"/>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1</w:t>
            </w:r>
            <w:r>
              <w:t>.</w:t>
            </w:r>
            <w:r>
              <w:rPr>
                <w:rFonts w:hint="eastAsia"/>
              </w:rPr>
              <w:t>食道镜</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支</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2</w:t>
            </w:r>
            <w:r>
              <w:t>.</w:t>
            </w:r>
            <w:r>
              <w:rPr>
                <w:rFonts w:hint="eastAsia"/>
              </w:rPr>
              <w:t>钳子</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把</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3</w:t>
            </w:r>
            <w:r>
              <w:t>.</w:t>
            </w:r>
            <w:r>
              <w:rPr>
                <w:rFonts w:hint="eastAsia"/>
              </w:rPr>
              <w:t>吸引管</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个</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rPr>
                <w:rFonts w:ascii="宋体" w:hAnsi="宋体" w:cs="宋体"/>
              </w:rPr>
            </w:pPr>
            <w:r>
              <w:rPr>
                <w:rFonts w:hint="eastAsia"/>
              </w:rPr>
              <w:t>4</w:t>
            </w:r>
            <w:r>
              <w:t>.</w:t>
            </w:r>
            <w:r>
              <w:rPr>
                <w:rFonts w:hint="eastAsia"/>
              </w:rPr>
              <w:t>手柄</w:t>
            </w:r>
          </w:p>
        </w:tc>
        <w:tc>
          <w:tcPr>
            <w:tcW w:w="1610" w:type="dxa"/>
            <w:tcBorders>
              <w:top w:val="single" w:sz="4" w:space="0" w:color="auto"/>
              <w:left w:val="nil"/>
              <w:bottom w:val="single" w:sz="4" w:space="0" w:color="auto"/>
              <w:right w:val="single" w:sz="4" w:space="0" w:color="auto"/>
            </w:tcBorders>
          </w:tcPr>
          <w:p>
            <w:pPr>
              <w:jc w:val="center"/>
              <w:rPr>
                <w:rFonts w:ascii="宋体" w:hAnsi="宋体"/>
              </w:rPr>
            </w:pPr>
            <w:r>
              <w:rPr>
                <w:rFonts w:hint="eastAsia"/>
              </w:rPr>
              <w:t>个</w:t>
            </w:r>
          </w:p>
        </w:tc>
        <w:tc>
          <w:tcPr>
            <w:tcW w:w="1241" w:type="dxa"/>
            <w:tcBorders>
              <w:top w:val="single" w:sz="4" w:space="0" w:color="auto"/>
              <w:left w:val="nil"/>
              <w:bottom w:val="single" w:sz="4" w:space="0" w:color="auto"/>
              <w:right w:val="single" w:sz="4" w:space="0" w:color="auto"/>
            </w:tcBorders>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tcBorders>
              <w:top w:val="single" w:sz="4" w:space="0" w:color="auto"/>
              <w:left w:val="single" w:sz="4" w:space="0" w:color="auto"/>
              <w:bottom w:val="single" w:sz="4" w:space="0" w:color="auto"/>
              <w:right w:val="single" w:sz="4" w:space="0" w:color="auto"/>
            </w:tcBorders>
          </w:tcPr>
          <w:p>
            <w:pPr>
              <w:widowControl/>
              <w:jc w:val="left"/>
              <w:textAlignment w:val="center"/>
            </w:pPr>
            <w:r>
              <w:t>5.</w:t>
            </w:r>
            <w:r>
              <w:rPr>
                <w:rFonts w:hint="eastAsia"/>
              </w:rPr>
              <w:t>导光束</w:t>
            </w:r>
          </w:p>
        </w:tc>
        <w:tc>
          <w:tcPr>
            <w:tcW w:w="1610" w:type="dxa"/>
            <w:tcBorders>
              <w:top w:val="single" w:sz="4" w:space="0" w:color="auto"/>
              <w:left w:val="single" w:sz="4" w:space="0" w:color="auto"/>
              <w:bottom w:val="single" w:sz="4" w:space="0" w:color="auto"/>
              <w:right w:val="single" w:sz="4" w:space="0" w:color="auto"/>
            </w:tcBorders>
          </w:tcPr>
          <w:p>
            <w:pPr>
              <w:jc w:val="center"/>
            </w:pPr>
            <w:r>
              <w:rPr>
                <w:rFonts w:hint="eastAsia"/>
              </w:rPr>
              <w:t>把</w:t>
            </w:r>
          </w:p>
        </w:tc>
        <w:tc>
          <w:tcPr>
            <w:tcW w:w="1241" w:type="dxa"/>
            <w:tcBorders>
              <w:top w:val="single" w:sz="4" w:space="0" w:color="auto"/>
              <w:left w:val="single" w:sz="4" w:space="0" w:color="auto"/>
              <w:bottom w:val="single" w:sz="4" w:space="0" w:color="auto"/>
              <w:right w:val="single" w:sz="4" w:space="0" w:color="auto"/>
            </w:tcBorders>
          </w:tcPr>
          <w:p>
            <w:pPr>
              <w:jc w:val="center"/>
            </w:pPr>
            <w:r>
              <w:rPr>
                <w:rFonts w:hint="eastAsia"/>
              </w:rPr>
              <w:t>2</w:t>
            </w:r>
          </w:p>
        </w:tc>
      </w:tr>
      <w:tr>
        <w:tblPrEx>
          <w:tblW w:w="8504" w:type="dxa"/>
          <w:tblInd w:w="0" w:type="dxa"/>
          <w:tblLayout w:type="fixed"/>
          <w:tblCellMar>
            <w:top w:w="0" w:type="dxa"/>
            <w:left w:w="108" w:type="dxa"/>
            <w:bottom w:w="0" w:type="dxa"/>
            <w:right w:w="108" w:type="dxa"/>
          </w:tblCellMar>
        </w:tblPrEx>
        <w:trPr>
          <w:trHeight w:val="340"/>
        </w:trPr>
        <w:tc>
          <w:tcPr>
            <w:tcW w:w="8504" w:type="dxa"/>
            <w:gridSpan w:val="3"/>
            <w:vAlign w:val="center"/>
          </w:tcPr>
          <w:p>
            <w:pPr>
              <w:widowControl/>
              <w:ind w:firstLine="3120" w:firstLineChars="1300"/>
              <w:jc w:val="left"/>
              <w:textAlignment w:val="center"/>
              <w:rPr>
                <w:b/>
              </w:rPr>
            </w:pPr>
            <w:r>
              <w:rPr>
                <w:rFonts w:hint="eastAsia"/>
                <w:b/>
              </w:rPr>
              <w:t>三．纤维支气管镜</w:t>
            </w:r>
          </w:p>
        </w:tc>
      </w:tr>
      <w:tr>
        <w:tblPrEx>
          <w:tblW w:w="8504" w:type="dxa"/>
          <w:tblInd w:w="0" w:type="dxa"/>
          <w:tblLayout w:type="fixed"/>
          <w:tblCellMar>
            <w:top w:w="0" w:type="dxa"/>
            <w:left w:w="108" w:type="dxa"/>
            <w:bottom w:w="0" w:type="dxa"/>
            <w:right w:w="108" w:type="dxa"/>
          </w:tblCellMar>
        </w:tblPrEx>
        <w:trPr>
          <w:trHeight w:val="340"/>
        </w:trPr>
        <w:tc>
          <w:tcPr>
            <w:tcW w:w="5653" w:type="dxa"/>
            <w:vAlign w:val="center"/>
          </w:tcPr>
          <w:p>
            <w:pPr>
              <w:widowControl/>
              <w:jc w:val="left"/>
              <w:textAlignment w:val="center"/>
            </w:pPr>
            <w:r>
              <w:rPr>
                <w:rFonts w:hint="eastAsia"/>
              </w:rPr>
              <w:t>1</w:t>
            </w:r>
            <w:r>
              <w:t>.</w:t>
            </w:r>
            <w:r>
              <w:rPr>
                <w:rFonts w:hint="eastAsia"/>
              </w:rPr>
              <w:t xml:space="preserve"> 纤维支气管镜</w:t>
            </w:r>
          </w:p>
        </w:tc>
        <w:tc>
          <w:tcPr>
            <w:tcW w:w="1610" w:type="dxa"/>
          </w:tcPr>
          <w:p>
            <w:pPr>
              <w:jc w:val="center"/>
            </w:pPr>
            <w:r>
              <w:rPr>
                <w:rFonts w:hint="eastAsia"/>
              </w:rPr>
              <w:t>台</w:t>
            </w:r>
          </w:p>
        </w:tc>
        <w:tc>
          <w:tcPr>
            <w:tcW w:w="1241" w:type="dxa"/>
            <w:vAlign w:val="center"/>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432"/>
        </w:trPr>
        <w:tc>
          <w:tcPr>
            <w:tcW w:w="5653" w:type="dxa"/>
            <w:vAlign w:val="center"/>
          </w:tcPr>
          <w:p>
            <w:pPr>
              <w:widowControl/>
              <w:jc w:val="left"/>
              <w:textAlignment w:val="center"/>
            </w:pPr>
            <w:r>
              <w:rPr>
                <w:rFonts w:hint="eastAsia"/>
              </w:rPr>
              <w:t>2</w:t>
            </w:r>
            <w:r>
              <w:t>.</w:t>
            </w:r>
            <w:r>
              <w:rPr>
                <w:rFonts w:hint="eastAsia"/>
              </w:rPr>
              <w:t>外接屏幕</w:t>
            </w:r>
          </w:p>
        </w:tc>
        <w:tc>
          <w:tcPr>
            <w:tcW w:w="1610" w:type="dxa"/>
          </w:tcPr>
          <w:p>
            <w:pPr>
              <w:jc w:val="center"/>
            </w:pPr>
            <w:r>
              <w:rPr>
                <w:rFonts w:hint="eastAsia"/>
              </w:rPr>
              <w:t>台</w:t>
            </w:r>
          </w:p>
        </w:tc>
        <w:tc>
          <w:tcPr>
            <w:tcW w:w="1241" w:type="dxa"/>
            <w:vAlign w:val="center"/>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vAlign w:val="center"/>
          </w:tcPr>
          <w:p>
            <w:pPr>
              <w:widowControl/>
              <w:jc w:val="left"/>
              <w:textAlignment w:val="center"/>
            </w:pPr>
            <w:r>
              <w:rPr>
                <w:rFonts w:hint="eastAsia"/>
              </w:rPr>
              <w:t>3</w:t>
            </w:r>
            <w:r>
              <w:t>.</w:t>
            </w:r>
            <w:r>
              <w:rPr>
                <w:rFonts w:hint="eastAsia"/>
              </w:rPr>
              <w:t>消毒帽</w:t>
            </w:r>
          </w:p>
        </w:tc>
        <w:tc>
          <w:tcPr>
            <w:tcW w:w="1610" w:type="dxa"/>
          </w:tcPr>
          <w:p>
            <w:pPr>
              <w:jc w:val="center"/>
            </w:pPr>
            <w:r>
              <w:rPr>
                <w:rFonts w:hint="eastAsia"/>
              </w:rPr>
              <w:t>个</w:t>
            </w:r>
          </w:p>
        </w:tc>
        <w:tc>
          <w:tcPr>
            <w:tcW w:w="1241" w:type="dxa"/>
            <w:vAlign w:val="center"/>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tcPr>
          <w:p>
            <w:pPr>
              <w:widowControl/>
              <w:jc w:val="left"/>
              <w:textAlignment w:val="center"/>
            </w:pPr>
            <w:r>
              <w:rPr>
                <w:rFonts w:hint="eastAsia"/>
              </w:rPr>
              <w:t>4</w:t>
            </w:r>
            <w:r>
              <w:t>.</w:t>
            </w:r>
            <w:r>
              <w:rPr>
                <w:rFonts w:hint="eastAsia"/>
              </w:rPr>
              <w:t>负压吸引按键</w:t>
            </w:r>
          </w:p>
        </w:tc>
        <w:tc>
          <w:tcPr>
            <w:tcW w:w="1610" w:type="dxa"/>
          </w:tcPr>
          <w:p>
            <w:pPr>
              <w:jc w:val="center"/>
            </w:pPr>
            <w:r>
              <w:rPr>
                <w:rFonts w:hint="eastAsia"/>
              </w:rPr>
              <w:t>只</w:t>
            </w:r>
          </w:p>
        </w:tc>
        <w:tc>
          <w:tcPr>
            <w:tcW w:w="1241" w:type="dxa"/>
            <w:vAlign w:val="center"/>
          </w:tcPr>
          <w:p>
            <w:pPr>
              <w:jc w:val="center"/>
            </w:pPr>
            <w:r>
              <w:rPr>
                <w:rFonts w:hint="eastAsia"/>
              </w:rPr>
              <w:t>2</w:t>
            </w:r>
          </w:p>
        </w:tc>
      </w:tr>
      <w:tr>
        <w:tblPrEx>
          <w:tblW w:w="8504" w:type="dxa"/>
          <w:tblInd w:w="0" w:type="dxa"/>
          <w:tblLayout w:type="fixed"/>
          <w:tblCellMar>
            <w:top w:w="0" w:type="dxa"/>
            <w:left w:w="108" w:type="dxa"/>
            <w:bottom w:w="0" w:type="dxa"/>
            <w:right w:w="108" w:type="dxa"/>
          </w:tblCellMar>
        </w:tblPrEx>
        <w:trPr>
          <w:trHeight w:val="340"/>
        </w:trPr>
        <w:tc>
          <w:tcPr>
            <w:tcW w:w="5653" w:type="dxa"/>
          </w:tcPr>
          <w:p>
            <w:pPr>
              <w:widowControl/>
              <w:jc w:val="left"/>
              <w:textAlignment w:val="center"/>
            </w:pPr>
            <w:r>
              <w:rPr>
                <w:rFonts w:hint="eastAsia"/>
              </w:rPr>
              <w:t>5</w:t>
            </w:r>
            <w:r>
              <w:t>.</w:t>
            </w:r>
            <w:r>
              <w:rPr>
                <w:rFonts w:hint="eastAsia"/>
              </w:rPr>
              <w:t>测漏仪</w:t>
            </w:r>
          </w:p>
        </w:tc>
        <w:tc>
          <w:tcPr>
            <w:tcW w:w="1610" w:type="dxa"/>
          </w:tcPr>
          <w:p>
            <w:pPr>
              <w:jc w:val="center"/>
            </w:pPr>
            <w:r>
              <w:rPr>
                <w:rFonts w:hint="eastAsia"/>
              </w:rPr>
              <w:t>只</w:t>
            </w:r>
          </w:p>
        </w:tc>
        <w:tc>
          <w:tcPr>
            <w:tcW w:w="1241" w:type="dxa"/>
            <w:vAlign w:val="center"/>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vAlign w:val="center"/>
          </w:tcPr>
          <w:p>
            <w:pPr>
              <w:widowControl/>
              <w:jc w:val="left"/>
              <w:textAlignment w:val="center"/>
            </w:pPr>
            <w:r>
              <w:rPr>
                <w:rFonts w:hint="eastAsia"/>
              </w:rPr>
              <w:t>6</w:t>
            </w:r>
            <w:r>
              <w:t>.</w:t>
            </w:r>
            <w:r>
              <w:rPr>
                <w:rFonts w:hint="eastAsia"/>
              </w:rPr>
              <w:t>环保专用箱</w:t>
            </w:r>
          </w:p>
        </w:tc>
        <w:tc>
          <w:tcPr>
            <w:tcW w:w="1610" w:type="dxa"/>
          </w:tcPr>
          <w:p>
            <w:pPr>
              <w:jc w:val="center"/>
            </w:pPr>
            <w:r>
              <w:rPr>
                <w:rFonts w:hint="eastAsia"/>
              </w:rPr>
              <w:t>个</w:t>
            </w:r>
          </w:p>
        </w:tc>
        <w:tc>
          <w:tcPr>
            <w:tcW w:w="1241" w:type="dxa"/>
            <w:vAlign w:val="center"/>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vAlign w:val="center"/>
          </w:tcPr>
          <w:p>
            <w:pPr>
              <w:widowControl/>
              <w:jc w:val="left"/>
              <w:textAlignment w:val="center"/>
            </w:pPr>
            <w:r>
              <w:rPr>
                <w:rFonts w:hint="eastAsia"/>
              </w:rPr>
              <w:t>7</w:t>
            </w:r>
            <w:r>
              <w:t>.</w:t>
            </w:r>
            <w:r>
              <w:rPr>
                <w:rFonts w:hint="eastAsia"/>
              </w:rPr>
              <w:t>软管冲洗管路</w:t>
            </w:r>
          </w:p>
        </w:tc>
        <w:tc>
          <w:tcPr>
            <w:tcW w:w="1610" w:type="dxa"/>
          </w:tcPr>
          <w:p>
            <w:pPr>
              <w:jc w:val="center"/>
            </w:pPr>
            <w:r>
              <w:rPr>
                <w:rFonts w:hint="eastAsia"/>
              </w:rPr>
              <w:t>支</w:t>
            </w:r>
          </w:p>
        </w:tc>
        <w:tc>
          <w:tcPr>
            <w:tcW w:w="1241" w:type="dxa"/>
            <w:vAlign w:val="center"/>
          </w:tcPr>
          <w:p>
            <w:pPr>
              <w:jc w:val="center"/>
            </w:pPr>
            <w:r>
              <w:rPr>
                <w:rFonts w:hint="eastAsia"/>
              </w:rPr>
              <w:t>1</w:t>
            </w:r>
          </w:p>
        </w:tc>
      </w:tr>
      <w:tr>
        <w:tblPrEx>
          <w:tblW w:w="8504" w:type="dxa"/>
          <w:tblInd w:w="0" w:type="dxa"/>
          <w:tblLayout w:type="fixed"/>
          <w:tblCellMar>
            <w:top w:w="0" w:type="dxa"/>
            <w:left w:w="108" w:type="dxa"/>
            <w:bottom w:w="0" w:type="dxa"/>
            <w:right w:w="108" w:type="dxa"/>
          </w:tblCellMar>
        </w:tblPrEx>
        <w:trPr>
          <w:trHeight w:val="340"/>
        </w:trPr>
        <w:tc>
          <w:tcPr>
            <w:tcW w:w="5653" w:type="dxa"/>
            <w:vAlign w:val="center"/>
          </w:tcPr>
          <w:p>
            <w:pPr>
              <w:widowControl/>
              <w:jc w:val="left"/>
              <w:textAlignment w:val="center"/>
            </w:pPr>
            <w:r>
              <w:rPr>
                <w:rFonts w:hint="eastAsia"/>
              </w:rPr>
              <w:t>8</w:t>
            </w:r>
            <w:r>
              <w:t>.</w:t>
            </w:r>
            <w:r>
              <w:rPr>
                <w:rFonts w:hint="eastAsia"/>
              </w:rPr>
              <w:t>给药口盖</w:t>
            </w:r>
          </w:p>
        </w:tc>
        <w:tc>
          <w:tcPr>
            <w:tcW w:w="1610" w:type="dxa"/>
          </w:tcPr>
          <w:p>
            <w:pPr>
              <w:jc w:val="center"/>
            </w:pPr>
            <w:r>
              <w:rPr>
                <w:rFonts w:hint="eastAsia"/>
              </w:rPr>
              <w:t>个</w:t>
            </w:r>
          </w:p>
        </w:tc>
        <w:tc>
          <w:tcPr>
            <w:tcW w:w="1241" w:type="dxa"/>
            <w:vAlign w:val="center"/>
          </w:tcPr>
          <w:p>
            <w:pPr>
              <w:jc w:val="center"/>
            </w:pPr>
            <w:r>
              <w:rPr>
                <w:rFonts w:hint="eastAsia"/>
              </w:rPr>
              <w:t>5</w:t>
            </w:r>
          </w:p>
        </w:tc>
      </w:tr>
    </w:tbl>
    <w:p>
      <w:pPr>
        <w:spacing w:line="360" w:lineRule="auto"/>
        <w:rPr>
          <w:rFonts w:ascii="宋体" w:hAnsi="宋体" w:cs="宋体"/>
          <w:b/>
          <w:szCs w:val="21"/>
        </w:rPr>
      </w:pPr>
    </w:p>
    <w:p>
      <w:pPr>
        <w:spacing w:line="360" w:lineRule="auto"/>
        <w:rPr>
          <w:rFonts w:ascii="宋体" w:hAnsi="宋体" w:cs="宋体"/>
          <w:b/>
          <w:szCs w:val="21"/>
        </w:rPr>
      </w:pPr>
      <w:r>
        <w:rPr>
          <w:rFonts w:ascii="宋体" w:hAnsi="宋体" w:cs="宋体" w:hint="eastAsia"/>
          <w:b/>
          <w:szCs w:val="21"/>
        </w:rPr>
        <w:t>注：1.本表可按同样格式扩展。</w:t>
      </w:r>
    </w:p>
    <w:p>
      <w:pPr>
        <w:spacing w:line="360" w:lineRule="auto"/>
        <w:rPr>
          <w:rFonts w:ascii="宋体" w:hAnsi="宋体" w:cs="宋体"/>
          <w:b/>
          <w:szCs w:val="21"/>
        </w:rPr>
      </w:pPr>
      <w:r>
        <w:rPr>
          <w:rFonts w:ascii="宋体" w:hAnsi="宋体" w:cs="宋体" w:hint="eastAsia"/>
          <w:b/>
          <w:szCs w:val="21"/>
        </w:rPr>
        <w:t>2. 如所投货物属于定制类的非量产货物或无具体品牌、型号的货物，可以在“规格/品牌/型号”一栏仅填写规格信息而不填写品牌、型号等信息（品牌、型号信息用“定制”描述即可）；</w:t>
      </w:r>
      <w:bookmarkStart w:id="65" w:name="_Hlk73646428"/>
      <w:r>
        <w:rPr>
          <w:rFonts w:ascii="宋体" w:hAnsi="宋体" w:cs="宋体" w:hint="eastAsia"/>
          <w:b/>
          <w:szCs w:val="21"/>
        </w:rPr>
        <w:t>此类填写错误（所投货物为定制类的非量产货物但供应商却错误填报了品牌、型号）的不利后果由供应商承担，经评审委员会认定，在使用综合评分法的项目中一项此类填写错误将按照一项招标技术要求负偏离作处理。</w:t>
      </w:r>
      <w:bookmarkEnd w:id="65"/>
    </w:p>
    <w:p>
      <w:pPr>
        <w:spacing w:line="360" w:lineRule="auto"/>
        <w:rPr>
          <w:rFonts w:ascii="宋体" w:hAnsi="宋体" w:cs="宋体"/>
          <w:b/>
          <w:szCs w:val="21"/>
        </w:rPr>
      </w:pPr>
      <w:r>
        <w:rPr>
          <w:rFonts w:ascii="宋体" w:hAnsi="宋体" w:cs="宋体" w:hint="eastAsia"/>
          <w:b/>
          <w:szCs w:val="21"/>
        </w:rPr>
        <w:t>3.</w:t>
      </w:r>
      <w:bookmarkStart w:id="66" w:name="_Hlk72074795"/>
      <w:r>
        <w:rPr>
          <w:rFonts w:ascii="宋体" w:hAnsi="宋体" w:cs="宋体" w:hint="eastAsia"/>
          <w:b/>
          <w:szCs w:val="21"/>
        </w:rPr>
        <w:t>“原产地”是指该货物的实际生产加工地，而非品牌总公司所在地</w:t>
      </w:r>
      <w:bookmarkEnd w:id="66"/>
      <w:r>
        <w:rPr>
          <w:rFonts w:ascii="宋体" w:hAnsi="宋体" w:cs="宋体" w:hint="eastAsia"/>
          <w:b/>
          <w:szCs w:val="21"/>
        </w:rPr>
        <w:t>。</w:t>
      </w:r>
    </w:p>
    <w:p>
      <w:pPr>
        <w:spacing w:line="360" w:lineRule="auto"/>
        <w:rPr>
          <w:rFonts w:ascii="宋体" w:hAnsi="宋体" w:cs="宋体"/>
          <w:b/>
          <w:szCs w:val="21"/>
        </w:rPr>
      </w:pPr>
      <w:r>
        <w:rPr>
          <w:rFonts w:ascii="宋体" w:hAnsi="宋体" w:cs="宋体" w:hint="eastAsia"/>
          <w:b/>
          <w:szCs w:val="21"/>
        </w:rPr>
        <w:t>4.所投货物均应填写制造商名称。</w:t>
      </w:r>
    </w:p>
    <w:p>
      <w:pPr>
        <w:spacing w:line="360" w:lineRule="auto"/>
        <w:rPr>
          <w:rFonts w:ascii="宋体" w:hAnsi="宋体" w:cs="宋体"/>
          <w:b/>
          <w:szCs w:val="21"/>
        </w:rPr>
      </w:pPr>
      <w:r>
        <w:rPr>
          <w:rFonts w:ascii="宋体" w:hAnsi="宋体" w:cs="宋体" w:hint="eastAsia"/>
          <w:b/>
          <w:szCs w:val="21"/>
        </w:rPr>
        <w:t>5.以上分项报价表的投标总价应当与开标一览表的投标总价一致。</w:t>
      </w:r>
    </w:p>
    <w:p>
      <w:pPr>
        <w:spacing w:line="360" w:lineRule="auto"/>
        <w:rPr>
          <w:rFonts w:ascii="宋体" w:hAnsi="宋体" w:cs="宋体"/>
          <w:b/>
          <w:szCs w:val="21"/>
        </w:rPr>
      </w:pPr>
      <w:r>
        <w:rPr>
          <w:rFonts w:ascii="宋体" w:hAnsi="宋体" w:cs="宋体" w:hint="eastAsia"/>
          <w:b/>
          <w:szCs w:val="21"/>
        </w:rPr>
        <w:t>6.单价、合价和投标总价为包干价，即三者均应包含货物的价款、包装、运输、装卸、安装、调试、技术指导、培训、咨询、服务、保险、税费、检测、验收合格交付使用之前以及技术和售后服务等其他各项有关费用。</w:t>
      </w:r>
    </w:p>
    <w:p>
      <w:pPr>
        <w:spacing w:line="360" w:lineRule="auto"/>
        <w:rPr>
          <w:rFonts w:ascii="宋体" w:hAnsi="宋体" w:cs="宋体"/>
          <w:b/>
          <w:szCs w:val="21"/>
        </w:rPr>
      </w:pPr>
      <w:r>
        <w:rPr>
          <w:rFonts w:ascii="宋体" w:hAnsi="宋体" w:cs="宋体" w:hint="eastAsia"/>
          <w:b/>
          <w:szCs w:val="21"/>
        </w:rPr>
        <w:t>7.所有价格应按“招标文件”中规定的货币单位填写；投标总价应为以上各分项价格之和；投标总价和项目报价表中单个采购预算条目报价均不得超过对应的投标最高限价，否则将导致投标无效。</w:t>
      </w:r>
    </w:p>
    <w:p>
      <w:pPr>
        <w:spacing w:line="360" w:lineRule="auto"/>
        <w:rPr>
          <w:rFonts w:ascii="宋体" w:hAnsi="宋体" w:cs="宋体"/>
          <w:b/>
          <w:color w:val="FF0000"/>
          <w:sz w:val="24"/>
        </w:rPr>
      </w:pPr>
    </w:p>
    <w:p>
      <w:pPr>
        <w:spacing w:line="360" w:lineRule="auto"/>
        <w:rPr>
          <w:rFonts w:ascii="宋体" w:hAnsi="宋体" w:cs="宋体"/>
          <w:b/>
          <w:color w:val="FF0000"/>
          <w:sz w:val="24"/>
        </w:rPr>
      </w:pPr>
    </w:p>
    <w:p>
      <w:pPr>
        <w:tabs>
          <w:tab w:val="left" w:pos="720"/>
        </w:tabs>
        <w:spacing w:line="360" w:lineRule="auto"/>
        <w:jc w:val="center"/>
        <w:rPr>
          <w:rFonts w:ascii="宋体" w:hAnsi="宋体" w:cs="宋体"/>
          <w:b/>
          <w:sz w:val="24"/>
        </w:rPr>
      </w:pPr>
      <w:r>
        <w:rPr>
          <w:rFonts w:ascii="宋体" w:hAnsi="宋体" w:cs="宋体" w:hint="eastAsia"/>
          <w:b/>
          <w:sz w:val="24"/>
        </w:rPr>
        <w:t>（二）核心产品品牌</w:t>
      </w:r>
    </w:p>
    <w:p>
      <w:pPr>
        <w:spacing w:line="360" w:lineRule="auto"/>
        <w:rPr>
          <w:rFonts w:ascii="宋体" w:hAnsi="宋体" w:cs="宋体"/>
          <w:b/>
          <w:color w:val="FF0000"/>
          <w:sz w:val="24"/>
        </w:rPr>
      </w:pPr>
    </w:p>
    <w:p>
      <w:pPr>
        <w:spacing w:line="360" w:lineRule="auto"/>
        <w:rPr>
          <w:rFonts w:ascii="宋体" w:hAnsi="宋体" w:cs="宋体"/>
          <w:b/>
          <w:sz w:val="24"/>
        </w:rPr>
      </w:pPr>
      <w:r>
        <w:rPr>
          <w:rFonts w:ascii="宋体" w:hAnsi="宋体" w:cs="宋体" w:hint="eastAsia"/>
          <w:b/>
          <w:sz w:val="24"/>
        </w:rPr>
        <w:t>我单位所投核心产品的品牌为：</w:t>
      </w:r>
      <w:r>
        <w:rPr>
          <w:rFonts w:ascii="宋体" w:hAnsi="宋体" w:cs="宋体" w:hint="eastAsia"/>
          <w:b/>
          <w:sz w:val="24"/>
          <w:u w:val="single"/>
        </w:rPr>
        <w:t xml:space="preserve">               </w:t>
      </w:r>
      <w:r>
        <w:rPr>
          <w:rFonts w:ascii="宋体" w:hAnsi="宋体" w:cs="宋体" w:hint="eastAsia"/>
          <w:b/>
          <w:sz w:val="24"/>
        </w:rPr>
        <w:t>。</w:t>
      </w:r>
    </w:p>
    <w:p>
      <w:pPr>
        <w:spacing w:line="360" w:lineRule="auto"/>
        <w:rPr>
          <w:rFonts w:ascii="宋体" w:hAnsi="宋体" w:cs="宋体"/>
          <w:b/>
          <w:color w:val="FF0000"/>
          <w:sz w:val="24"/>
        </w:rPr>
      </w:pPr>
    </w:p>
    <w:p>
      <w:pPr>
        <w:spacing w:line="360" w:lineRule="auto"/>
        <w:rPr>
          <w:rFonts w:ascii="宋体" w:hAnsi="宋体" w:cs="宋体"/>
          <w:b/>
          <w:color w:val="FF0000"/>
          <w:sz w:val="24"/>
        </w:rPr>
      </w:pPr>
    </w:p>
    <w:p>
      <w:pPr>
        <w:jc w:val="center"/>
        <w:rPr>
          <w:b/>
          <w:sz w:val="24"/>
        </w:rPr>
      </w:pPr>
      <w:r>
        <w:rPr>
          <w:rFonts w:asciiTheme="minorEastAsia" w:hAnsiTheme="minorEastAsia" w:cstheme="minorEastAsia" w:hint="eastAsia"/>
          <w:b/>
          <w:sz w:val="24"/>
        </w:rPr>
        <w:t>（三）</w:t>
      </w:r>
      <w:r>
        <w:rPr>
          <w:rFonts w:hint="eastAsia"/>
          <w:b/>
          <w:sz w:val="24"/>
        </w:rPr>
        <w:t>《零配件、消耗品和延续保修合同报价明清单》</w:t>
      </w:r>
    </w:p>
    <w:p>
      <w:pPr>
        <w:pStyle w:val="BodyText"/>
        <w:jc w:val="center"/>
      </w:pPr>
      <w:r>
        <w:rPr>
          <w:rFonts w:hint="eastAsia"/>
        </w:rPr>
        <w:t>零配件报价清单</w:t>
      </w:r>
    </w:p>
    <w:p>
      <w:pPr>
        <w:ind w:firstLine="480" w:firstLineChars="200"/>
        <w:rPr>
          <w:rFonts w:hAnsi="宋体"/>
          <w:b/>
          <w:bCs/>
          <w:szCs w:val="21"/>
        </w:rPr>
      </w:pPr>
    </w:p>
    <w:tbl>
      <w:tblPr>
        <w:tblStyle w:val="TableNormal"/>
        <w:tblW w:w="9548" w:type="dxa"/>
        <w:jc w:val="center"/>
        <w:tblInd w:w="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0" w:type="dxa"/>
          <w:left w:w="108" w:type="dxa"/>
          <w:bottom w:w="0" w:type="dxa"/>
          <w:right w:w="108" w:type="dxa"/>
        </w:tblCellMar>
      </w:tblPr>
      <w:tblGrid>
        <w:gridCol w:w="753"/>
        <w:gridCol w:w="2088"/>
        <w:gridCol w:w="1420"/>
        <w:gridCol w:w="1130"/>
        <w:gridCol w:w="1027"/>
        <w:gridCol w:w="958"/>
        <w:gridCol w:w="1012"/>
        <w:gridCol w:w="1160"/>
      </w:tblGrid>
      <w:tr>
        <w:tblPrEx>
          <w:tblW w:w="9548" w:type="dxa"/>
          <w:jc w:val="center"/>
          <w:tblInd w:w="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0" w:type="dxa"/>
            <w:left w:w="108" w:type="dxa"/>
            <w:bottom w:w="0" w:type="dxa"/>
            <w:right w:w="108" w:type="dxa"/>
          </w:tblCellMar>
        </w:tblPrEx>
        <w:trPr>
          <w:trHeight w:val="720"/>
          <w:jc w:val="center"/>
        </w:trPr>
        <w:tc>
          <w:tcPr>
            <w:tcW w:w="753" w:type="dxa"/>
            <w:tcBorders>
              <w:bottom w:val="single" w:sz="4" w:space="0" w:color="auto"/>
            </w:tcBorders>
            <w:vAlign w:val="center"/>
          </w:tcPr>
          <w:p>
            <w:pPr>
              <w:ind w:right="-79" w:rightChars="-33"/>
              <w:jc w:val="center"/>
              <w:rPr>
                <w:rFonts w:ascii="宋体" w:hAnsi="宋体"/>
                <w:b/>
              </w:rPr>
            </w:pPr>
            <w:r>
              <w:rPr>
                <w:rFonts w:ascii="宋体" w:hAnsi="宋体" w:hint="eastAsia"/>
                <w:b/>
              </w:rPr>
              <w:t>序号</w:t>
            </w:r>
          </w:p>
        </w:tc>
        <w:tc>
          <w:tcPr>
            <w:tcW w:w="2088" w:type="dxa"/>
            <w:tcBorders>
              <w:bottom w:val="single" w:sz="4" w:space="0" w:color="auto"/>
            </w:tcBorders>
            <w:vAlign w:val="center"/>
          </w:tcPr>
          <w:p>
            <w:pPr>
              <w:jc w:val="center"/>
              <w:rPr>
                <w:rFonts w:ascii="宋体" w:hAnsi="宋体"/>
                <w:b/>
              </w:rPr>
            </w:pPr>
            <w:r>
              <w:rPr>
                <w:rFonts w:ascii="宋体" w:hAnsi="宋体" w:hint="eastAsia"/>
                <w:b/>
              </w:rPr>
              <w:t>配件/耗材名称</w:t>
            </w:r>
          </w:p>
        </w:tc>
        <w:tc>
          <w:tcPr>
            <w:tcW w:w="1420" w:type="dxa"/>
            <w:tcBorders>
              <w:bottom w:val="single" w:sz="4" w:space="0" w:color="auto"/>
            </w:tcBorders>
            <w:vAlign w:val="center"/>
          </w:tcPr>
          <w:p>
            <w:pPr>
              <w:jc w:val="center"/>
              <w:rPr>
                <w:rFonts w:ascii="宋体" w:hAnsi="宋体"/>
                <w:b/>
              </w:rPr>
            </w:pPr>
            <w:r>
              <w:rPr>
                <w:rFonts w:ascii="宋体" w:hAnsi="宋体" w:hint="eastAsia"/>
                <w:b/>
              </w:rPr>
              <w:t>规格型号</w:t>
            </w:r>
          </w:p>
        </w:tc>
        <w:tc>
          <w:tcPr>
            <w:tcW w:w="1130" w:type="dxa"/>
            <w:tcBorders>
              <w:bottom w:val="single" w:sz="4" w:space="0" w:color="auto"/>
            </w:tcBorders>
            <w:vAlign w:val="center"/>
          </w:tcPr>
          <w:p>
            <w:pPr>
              <w:jc w:val="center"/>
              <w:rPr>
                <w:rFonts w:ascii="宋体" w:hAnsi="宋体"/>
                <w:b/>
              </w:rPr>
            </w:pPr>
            <w:r>
              <w:rPr>
                <w:rFonts w:ascii="宋体" w:hAnsi="宋体" w:hint="eastAsia"/>
                <w:b/>
              </w:rPr>
              <w:t>原产地</w:t>
            </w:r>
          </w:p>
        </w:tc>
        <w:tc>
          <w:tcPr>
            <w:tcW w:w="1027" w:type="dxa"/>
            <w:tcBorders>
              <w:bottom w:val="single" w:sz="4" w:space="0" w:color="auto"/>
            </w:tcBorders>
            <w:vAlign w:val="center"/>
          </w:tcPr>
          <w:p>
            <w:pPr>
              <w:jc w:val="center"/>
              <w:rPr>
                <w:rFonts w:ascii="宋体" w:hAnsi="宋体"/>
                <w:b/>
              </w:rPr>
            </w:pPr>
            <w:r>
              <w:rPr>
                <w:rFonts w:ascii="宋体" w:hAnsi="宋体" w:hint="eastAsia"/>
                <w:b/>
              </w:rPr>
              <w:t>品牌</w:t>
            </w:r>
          </w:p>
        </w:tc>
        <w:tc>
          <w:tcPr>
            <w:tcW w:w="958" w:type="dxa"/>
            <w:tcBorders>
              <w:bottom w:val="single" w:sz="4" w:space="0" w:color="auto"/>
            </w:tcBorders>
            <w:vAlign w:val="center"/>
          </w:tcPr>
          <w:p>
            <w:pPr>
              <w:jc w:val="center"/>
              <w:rPr>
                <w:rFonts w:ascii="宋体" w:hAnsi="宋体"/>
                <w:b/>
              </w:rPr>
            </w:pPr>
            <w:r>
              <w:rPr>
                <w:rFonts w:ascii="宋体" w:hAnsi="宋体" w:hint="eastAsia"/>
                <w:b/>
              </w:rPr>
              <w:t>数量</w:t>
            </w:r>
          </w:p>
        </w:tc>
        <w:tc>
          <w:tcPr>
            <w:tcW w:w="1012" w:type="dxa"/>
            <w:tcBorders>
              <w:bottom w:val="single" w:sz="4" w:space="0" w:color="auto"/>
            </w:tcBorders>
            <w:vAlign w:val="center"/>
          </w:tcPr>
          <w:p>
            <w:pPr>
              <w:jc w:val="center"/>
              <w:rPr>
                <w:rFonts w:ascii="宋体" w:hAnsi="宋体"/>
                <w:b/>
              </w:rPr>
            </w:pPr>
            <w:r>
              <w:rPr>
                <w:rFonts w:ascii="宋体" w:hAnsi="宋体" w:hint="eastAsia"/>
                <w:b/>
              </w:rPr>
              <w:t>市场报价(元)</w:t>
            </w:r>
          </w:p>
        </w:tc>
        <w:tc>
          <w:tcPr>
            <w:tcW w:w="1160" w:type="dxa"/>
            <w:tcBorders>
              <w:bottom w:val="single" w:sz="4" w:space="0" w:color="auto"/>
            </w:tcBorders>
            <w:vAlign w:val="center"/>
          </w:tcPr>
          <w:p>
            <w:pPr>
              <w:jc w:val="center"/>
              <w:rPr>
                <w:rFonts w:ascii="宋体" w:hAnsi="宋体"/>
                <w:b/>
              </w:rPr>
            </w:pPr>
            <w:r>
              <w:rPr>
                <w:rFonts w:ascii="宋体" w:hAnsi="宋体" w:hint="eastAsia"/>
                <w:b/>
              </w:rPr>
              <w:t>优惠报价(元)</w:t>
            </w:r>
          </w:p>
        </w:tc>
      </w:tr>
      <w:tr>
        <w:tblPrEx>
          <w:tblW w:w="9548" w:type="dxa"/>
          <w:jc w:val="center"/>
          <w:tblInd w:w="0" w:type="dxa"/>
          <w:tblLayout w:type="fixed"/>
          <w:tblCellMar>
            <w:top w:w="0" w:type="dxa"/>
            <w:left w:w="108" w:type="dxa"/>
            <w:bottom w:w="0" w:type="dxa"/>
            <w:right w:w="108" w:type="dxa"/>
          </w:tblCellMar>
        </w:tblPrEx>
        <w:trPr>
          <w:trHeight w:val="349"/>
          <w:jc w:val="center"/>
        </w:trPr>
        <w:tc>
          <w:tcPr>
            <w:tcW w:w="753" w:type="dxa"/>
            <w:tcBorders>
              <w:top w:val="single" w:sz="4" w:space="0" w:color="auto"/>
              <w:bottom w:val="single" w:sz="4" w:space="0" w:color="auto"/>
            </w:tcBorders>
            <w:vAlign w:val="center"/>
          </w:tcPr>
          <w:p>
            <w:pPr>
              <w:ind w:right="-79" w:rightChars="-33"/>
              <w:jc w:val="center"/>
              <w:rPr>
                <w:rFonts w:ascii="宋体" w:hAnsi="宋体"/>
              </w:rPr>
            </w:pPr>
            <w:r>
              <w:rPr>
                <w:rFonts w:ascii="宋体" w:hAnsi="宋体" w:hint="eastAsia"/>
              </w:rPr>
              <w:t>1</w:t>
            </w:r>
          </w:p>
        </w:tc>
        <w:tc>
          <w:tcPr>
            <w:tcW w:w="2088" w:type="dxa"/>
            <w:tcBorders>
              <w:top w:val="single" w:sz="4" w:space="0" w:color="auto"/>
              <w:bottom w:val="single" w:sz="4" w:space="0" w:color="auto"/>
            </w:tcBorders>
            <w:vAlign w:val="center"/>
          </w:tcPr>
          <w:p>
            <w:pPr>
              <w:jc w:val="center"/>
              <w:rPr>
                <w:rFonts w:ascii="宋体" w:hAnsi="宋体"/>
              </w:rPr>
            </w:pPr>
          </w:p>
        </w:tc>
        <w:tc>
          <w:tcPr>
            <w:tcW w:w="1420" w:type="dxa"/>
            <w:tcBorders>
              <w:top w:val="single" w:sz="4" w:space="0" w:color="auto"/>
              <w:bottom w:val="single" w:sz="4" w:space="0" w:color="auto"/>
            </w:tcBorders>
            <w:vAlign w:val="center"/>
          </w:tcPr>
          <w:p>
            <w:pPr>
              <w:jc w:val="center"/>
              <w:rPr>
                <w:rFonts w:ascii="宋体" w:hAnsi="宋体"/>
              </w:rPr>
            </w:pPr>
          </w:p>
        </w:tc>
        <w:tc>
          <w:tcPr>
            <w:tcW w:w="1130" w:type="dxa"/>
            <w:tcBorders>
              <w:top w:val="single" w:sz="4" w:space="0" w:color="auto"/>
              <w:bottom w:val="single" w:sz="4" w:space="0" w:color="auto"/>
            </w:tcBorders>
            <w:vAlign w:val="center"/>
          </w:tcPr>
          <w:p>
            <w:pPr>
              <w:jc w:val="center"/>
              <w:rPr>
                <w:rFonts w:ascii="宋体" w:hAnsi="宋体"/>
              </w:rPr>
            </w:pPr>
          </w:p>
        </w:tc>
        <w:tc>
          <w:tcPr>
            <w:tcW w:w="1027" w:type="dxa"/>
            <w:tcBorders>
              <w:top w:val="single" w:sz="4" w:space="0" w:color="auto"/>
              <w:bottom w:val="single" w:sz="4" w:space="0" w:color="auto"/>
            </w:tcBorders>
            <w:vAlign w:val="center"/>
          </w:tcPr>
          <w:p>
            <w:pPr>
              <w:jc w:val="center"/>
              <w:rPr>
                <w:rFonts w:ascii="宋体" w:hAnsi="宋体"/>
              </w:rPr>
            </w:pPr>
          </w:p>
        </w:tc>
        <w:tc>
          <w:tcPr>
            <w:tcW w:w="958" w:type="dxa"/>
            <w:tcBorders>
              <w:top w:val="single" w:sz="4" w:space="0" w:color="auto"/>
              <w:bottom w:val="single" w:sz="4" w:space="0" w:color="auto"/>
            </w:tcBorders>
          </w:tcPr>
          <w:p>
            <w:pPr>
              <w:jc w:val="center"/>
              <w:rPr>
                <w:rFonts w:ascii="宋体" w:hAnsi="宋体"/>
              </w:rPr>
            </w:pPr>
          </w:p>
        </w:tc>
        <w:tc>
          <w:tcPr>
            <w:tcW w:w="1012" w:type="dxa"/>
            <w:tcBorders>
              <w:top w:val="single" w:sz="4" w:space="0" w:color="auto"/>
              <w:bottom w:val="single" w:sz="4" w:space="0" w:color="auto"/>
            </w:tcBorders>
            <w:vAlign w:val="center"/>
          </w:tcPr>
          <w:p>
            <w:pPr>
              <w:jc w:val="center"/>
              <w:rPr>
                <w:rFonts w:ascii="宋体" w:hAnsi="宋体"/>
              </w:rPr>
            </w:pPr>
          </w:p>
        </w:tc>
        <w:tc>
          <w:tcPr>
            <w:tcW w:w="1160" w:type="dxa"/>
            <w:tcBorders>
              <w:top w:val="single" w:sz="4" w:space="0" w:color="auto"/>
              <w:bottom w:val="single" w:sz="4" w:space="0" w:color="auto"/>
            </w:tcBorders>
            <w:vAlign w:val="center"/>
          </w:tcPr>
          <w:p>
            <w:pPr>
              <w:jc w:val="center"/>
              <w:rPr>
                <w:rFonts w:ascii="宋体" w:hAnsi="宋体"/>
              </w:rPr>
            </w:pPr>
          </w:p>
        </w:tc>
      </w:tr>
      <w:tr>
        <w:tblPrEx>
          <w:tblW w:w="9548" w:type="dxa"/>
          <w:jc w:val="center"/>
          <w:tblInd w:w="0" w:type="dxa"/>
          <w:tblLayout w:type="fixed"/>
          <w:tblCellMar>
            <w:top w:w="0" w:type="dxa"/>
            <w:left w:w="108" w:type="dxa"/>
            <w:bottom w:w="0" w:type="dxa"/>
            <w:right w:w="108" w:type="dxa"/>
          </w:tblCellMar>
        </w:tblPrEx>
        <w:trPr>
          <w:trHeight w:val="284"/>
          <w:jc w:val="center"/>
        </w:trPr>
        <w:tc>
          <w:tcPr>
            <w:tcW w:w="753" w:type="dxa"/>
            <w:tcBorders>
              <w:top w:val="single" w:sz="4" w:space="0" w:color="auto"/>
              <w:bottom w:val="single" w:sz="4" w:space="0" w:color="auto"/>
            </w:tcBorders>
            <w:vAlign w:val="center"/>
          </w:tcPr>
          <w:p>
            <w:pPr>
              <w:ind w:right="-79" w:rightChars="-33"/>
              <w:jc w:val="center"/>
              <w:rPr>
                <w:rFonts w:ascii="宋体" w:hAnsi="宋体"/>
              </w:rPr>
            </w:pPr>
            <w:r>
              <w:rPr>
                <w:rFonts w:ascii="宋体" w:hAnsi="宋体" w:hint="eastAsia"/>
              </w:rPr>
              <w:t>2</w:t>
            </w:r>
          </w:p>
        </w:tc>
        <w:tc>
          <w:tcPr>
            <w:tcW w:w="2088" w:type="dxa"/>
            <w:tcBorders>
              <w:top w:val="single" w:sz="4" w:space="0" w:color="auto"/>
              <w:bottom w:val="single" w:sz="4" w:space="0" w:color="auto"/>
            </w:tcBorders>
            <w:vAlign w:val="center"/>
          </w:tcPr>
          <w:p>
            <w:pPr>
              <w:rPr>
                <w:rFonts w:ascii="宋体" w:hAnsi="宋体"/>
              </w:rPr>
            </w:pPr>
          </w:p>
        </w:tc>
        <w:tc>
          <w:tcPr>
            <w:tcW w:w="1420" w:type="dxa"/>
            <w:tcBorders>
              <w:top w:val="single" w:sz="4" w:space="0" w:color="auto"/>
              <w:bottom w:val="single" w:sz="4" w:space="0" w:color="auto"/>
            </w:tcBorders>
            <w:vAlign w:val="center"/>
          </w:tcPr>
          <w:p>
            <w:pPr>
              <w:jc w:val="center"/>
              <w:rPr>
                <w:rFonts w:ascii="宋体" w:hAnsi="宋体"/>
              </w:rPr>
            </w:pPr>
          </w:p>
        </w:tc>
        <w:tc>
          <w:tcPr>
            <w:tcW w:w="1130" w:type="dxa"/>
            <w:tcBorders>
              <w:top w:val="single" w:sz="4" w:space="0" w:color="auto"/>
              <w:bottom w:val="single" w:sz="4" w:space="0" w:color="auto"/>
            </w:tcBorders>
            <w:vAlign w:val="center"/>
          </w:tcPr>
          <w:p>
            <w:pPr>
              <w:jc w:val="center"/>
              <w:rPr>
                <w:rFonts w:ascii="宋体" w:hAnsi="宋体"/>
              </w:rPr>
            </w:pPr>
          </w:p>
        </w:tc>
        <w:tc>
          <w:tcPr>
            <w:tcW w:w="1027" w:type="dxa"/>
            <w:tcBorders>
              <w:top w:val="single" w:sz="4" w:space="0" w:color="auto"/>
              <w:bottom w:val="single" w:sz="4" w:space="0" w:color="auto"/>
            </w:tcBorders>
            <w:vAlign w:val="center"/>
          </w:tcPr>
          <w:p>
            <w:pPr>
              <w:jc w:val="center"/>
              <w:rPr>
                <w:rFonts w:ascii="宋体" w:hAnsi="宋体"/>
              </w:rPr>
            </w:pPr>
          </w:p>
        </w:tc>
        <w:tc>
          <w:tcPr>
            <w:tcW w:w="958" w:type="dxa"/>
            <w:tcBorders>
              <w:top w:val="single" w:sz="4" w:space="0" w:color="auto"/>
              <w:bottom w:val="single" w:sz="4" w:space="0" w:color="auto"/>
            </w:tcBorders>
            <w:vAlign w:val="center"/>
          </w:tcPr>
          <w:p>
            <w:pPr>
              <w:jc w:val="center"/>
            </w:pPr>
          </w:p>
        </w:tc>
        <w:tc>
          <w:tcPr>
            <w:tcW w:w="1012" w:type="dxa"/>
            <w:tcBorders>
              <w:top w:val="single" w:sz="4" w:space="0" w:color="auto"/>
              <w:bottom w:val="single" w:sz="4" w:space="0" w:color="auto"/>
            </w:tcBorders>
            <w:vAlign w:val="center"/>
          </w:tcPr>
          <w:p>
            <w:pPr>
              <w:jc w:val="center"/>
              <w:rPr>
                <w:rFonts w:ascii="宋体" w:hAnsi="宋体"/>
              </w:rPr>
            </w:pPr>
          </w:p>
        </w:tc>
        <w:tc>
          <w:tcPr>
            <w:tcW w:w="1160" w:type="dxa"/>
            <w:tcBorders>
              <w:top w:val="single" w:sz="4" w:space="0" w:color="auto"/>
              <w:bottom w:val="single" w:sz="4" w:space="0" w:color="auto"/>
            </w:tcBorders>
            <w:vAlign w:val="center"/>
          </w:tcPr>
          <w:p>
            <w:pPr>
              <w:jc w:val="center"/>
              <w:rPr>
                <w:rFonts w:ascii="宋体" w:hAnsi="宋体"/>
              </w:rPr>
            </w:pPr>
          </w:p>
        </w:tc>
      </w:tr>
      <w:tr>
        <w:tblPrEx>
          <w:tblW w:w="9548"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bottom w:val="single" w:sz="4" w:space="0" w:color="auto"/>
            </w:tcBorders>
            <w:vAlign w:val="center"/>
          </w:tcPr>
          <w:p>
            <w:pPr>
              <w:ind w:right="-79" w:rightChars="-33"/>
              <w:jc w:val="center"/>
              <w:rPr>
                <w:rFonts w:ascii="宋体" w:hAnsi="宋体"/>
              </w:rPr>
            </w:pPr>
            <w:r>
              <w:rPr>
                <w:rFonts w:ascii="宋体" w:hAnsi="宋体" w:hint="eastAsia"/>
              </w:rPr>
              <w:t>3</w:t>
            </w:r>
          </w:p>
        </w:tc>
        <w:tc>
          <w:tcPr>
            <w:tcW w:w="2088" w:type="dxa"/>
            <w:tcBorders>
              <w:top w:val="single" w:sz="4" w:space="0" w:color="auto"/>
              <w:bottom w:val="single" w:sz="4" w:space="0" w:color="auto"/>
            </w:tcBorders>
            <w:vAlign w:val="center"/>
          </w:tcPr>
          <w:p>
            <w:pPr>
              <w:jc w:val="center"/>
              <w:rPr>
                <w:rFonts w:ascii="宋体" w:hAnsi="宋体"/>
              </w:rPr>
            </w:pPr>
          </w:p>
        </w:tc>
        <w:tc>
          <w:tcPr>
            <w:tcW w:w="1420" w:type="dxa"/>
            <w:tcBorders>
              <w:top w:val="single" w:sz="4" w:space="0" w:color="auto"/>
              <w:bottom w:val="single" w:sz="4" w:space="0" w:color="auto"/>
            </w:tcBorders>
            <w:vAlign w:val="center"/>
          </w:tcPr>
          <w:p>
            <w:pPr>
              <w:jc w:val="center"/>
              <w:rPr>
                <w:rFonts w:ascii="宋体" w:hAnsi="宋体"/>
              </w:rPr>
            </w:pPr>
          </w:p>
        </w:tc>
        <w:tc>
          <w:tcPr>
            <w:tcW w:w="1130" w:type="dxa"/>
            <w:tcBorders>
              <w:top w:val="single" w:sz="4" w:space="0" w:color="auto"/>
              <w:bottom w:val="single" w:sz="4" w:space="0" w:color="auto"/>
            </w:tcBorders>
            <w:vAlign w:val="center"/>
          </w:tcPr>
          <w:p>
            <w:pPr>
              <w:jc w:val="center"/>
              <w:rPr>
                <w:rFonts w:ascii="宋体" w:hAnsi="宋体"/>
              </w:rPr>
            </w:pPr>
          </w:p>
        </w:tc>
        <w:tc>
          <w:tcPr>
            <w:tcW w:w="1027" w:type="dxa"/>
            <w:tcBorders>
              <w:top w:val="single" w:sz="4" w:space="0" w:color="auto"/>
              <w:bottom w:val="single" w:sz="4" w:space="0" w:color="auto"/>
            </w:tcBorders>
            <w:vAlign w:val="center"/>
          </w:tcPr>
          <w:p>
            <w:pPr>
              <w:jc w:val="center"/>
              <w:rPr>
                <w:rFonts w:ascii="宋体" w:hAnsi="宋体"/>
              </w:rPr>
            </w:pPr>
          </w:p>
        </w:tc>
        <w:tc>
          <w:tcPr>
            <w:tcW w:w="958" w:type="dxa"/>
            <w:tcBorders>
              <w:top w:val="single" w:sz="4" w:space="0" w:color="auto"/>
              <w:bottom w:val="single" w:sz="4" w:space="0" w:color="auto"/>
            </w:tcBorders>
            <w:vAlign w:val="center"/>
          </w:tcPr>
          <w:p>
            <w:pPr>
              <w:jc w:val="center"/>
              <w:rPr>
                <w:rFonts w:ascii="宋体" w:hAnsi="宋体"/>
              </w:rPr>
            </w:pPr>
          </w:p>
        </w:tc>
        <w:tc>
          <w:tcPr>
            <w:tcW w:w="1012" w:type="dxa"/>
            <w:tcBorders>
              <w:top w:val="single" w:sz="4" w:space="0" w:color="auto"/>
              <w:bottom w:val="single" w:sz="4" w:space="0" w:color="auto"/>
            </w:tcBorders>
            <w:vAlign w:val="center"/>
          </w:tcPr>
          <w:p>
            <w:pPr>
              <w:jc w:val="center"/>
              <w:rPr>
                <w:rFonts w:ascii="宋体" w:hAnsi="宋体"/>
              </w:rPr>
            </w:pPr>
          </w:p>
        </w:tc>
        <w:tc>
          <w:tcPr>
            <w:tcW w:w="1160" w:type="dxa"/>
            <w:tcBorders>
              <w:top w:val="single" w:sz="4" w:space="0" w:color="auto"/>
              <w:bottom w:val="single" w:sz="4" w:space="0" w:color="auto"/>
            </w:tcBorders>
            <w:vAlign w:val="center"/>
          </w:tcPr>
          <w:p>
            <w:pPr>
              <w:jc w:val="center"/>
              <w:rPr>
                <w:rFonts w:ascii="宋体" w:hAnsi="宋体"/>
              </w:rPr>
            </w:pPr>
          </w:p>
        </w:tc>
      </w:tr>
      <w:tr>
        <w:tblPrEx>
          <w:tblW w:w="9548"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bottom w:val="single" w:sz="4" w:space="0" w:color="auto"/>
            </w:tcBorders>
            <w:vAlign w:val="center"/>
          </w:tcPr>
          <w:p>
            <w:pPr>
              <w:ind w:right="-79" w:rightChars="-33"/>
              <w:jc w:val="center"/>
              <w:rPr>
                <w:rFonts w:ascii="宋体" w:hAnsi="宋体"/>
              </w:rPr>
            </w:pPr>
            <w:r>
              <w:rPr>
                <w:rFonts w:ascii="宋体" w:hAnsi="宋体" w:hint="eastAsia"/>
              </w:rPr>
              <w:t>4</w:t>
            </w:r>
          </w:p>
        </w:tc>
        <w:tc>
          <w:tcPr>
            <w:tcW w:w="2088" w:type="dxa"/>
            <w:tcBorders>
              <w:top w:val="single" w:sz="4" w:space="0" w:color="auto"/>
              <w:bottom w:val="single" w:sz="4" w:space="0" w:color="auto"/>
            </w:tcBorders>
            <w:vAlign w:val="center"/>
          </w:tcPr>
          <w:p>
            <w:pPr>
              <w:jc w:val="center"/>
              <w:rPr>
                <w:rFonts w:ascii="宋体" w:hAnsi="宋体"/>
              </w:rPr>
            </w:pPr>
          </w:p>
        </w:tc>
        <w:tc>
          <w:tcPr>
            <w:tcW w:w="1420" w:type="dxa"/>
            <w:tcBorders>
              <w:top w:val="single" w:sz="4" w:space="0" w:color="auto"/>
              <w:bottom w:val="single" w:sz="4" w:space="0" w:color="auto"/>
            </w:tcBorders>
            <w:vAlign w:val="center"/>
          </w:tcPr>
          <w:p>
            <w:pPr>
              <w:jc w:val="center"/>
              <w:rPr>
                <w:rFonts w:ascii="宋体" w:hAnsi="宋体"/>
              </w:rPr>
            </w:pPr>
          </w:p>
        </w:tc>
        <w:tc>
          <w:tcPr>
            <w:tcW w:w="1130" w:type="dxa"/>
            <w:tcBorders>
              <w:top w:val="single" w:sz="4" w:space="0" w:color="auto"/>
              <w:bottom w:val="single" w:sz="4" w:space="0" w:color="auto"/>
            </w:tcBorders>
            <w:vAlign w:val="center"/>
          </w:tcPr>
          <w:p>
            <w:pPr>
              <w:jc w:val="center"/>
              <w:rPr>
                <w:rFonts w:ascii="宋体" w:hAnsi="宋体"/>
              </w:rPr>
            </w:pPr>
          </w:p>
        </w:tc>
        <w:tc>
          <w:tcPr>
            <w:tcW w:w="1027" w:type="dxa"/>
            <w:tcBorders>
              <w:top w:val="single" w:sz="4" w:space="0" w:color="auto"/>
              <w:bottom w:val="single" w:sz="4" w:space="0" w:color="auto"/>
            </w:tcBorders>
            <w:vAlign w:val="center"/>
          </w:tcPr>
          <w:p>
            <w:pPr>
              <w:jc w:val="center"/>
              <w:rPr>
                <w:rFonts w:ascii="宋体" w:hAnsi="宋体"/>
              </w:rPr>
            </w:pPr>
          </w:p>
        </w:tc>
        <w:tc>
          <w:tcPr>
            <w:tcW w:w="958" w:type="dxa"/>
            <w:tcBorders>
              <w:top w:val="single" w:sz="4" w:space="0" w:color="auto"/>
              <w:bottom w:val="single" w:sz="4" w:space="0" w:color="auto"/>
            </w:tcBorders>
            <w:vAlign w:val="center"/>
          </w:tcPr>
          <w:p>
            <w:pPr>
              <w:jc w:val="center"/>
              <w:rPr>
                <w:rFonts w:ascii="宋体" w:hAnsi="宋体"/>
              </w:rPr>
            </w:pPr>
          </w:p>
        </w:tc>
        <w:tc>
          <w:tcPr>
            <w:tcW w:w="1012" w:type="dxa"/>
            <w:tcBorders>
              <w:top w:val="single" w:sz="4" w:space="0" w:color="auto"/>
              <w:bottom w:val="single" w:sz="4" w:space="0" w:color="auto"/>
            </w:tcBorders>
            <w:vAlign w:val="center"/>
          </w:tcPr>
          <w:p>
            <w:pPr>
              <w:jc w:val="center"/>
              <w:rPr>
                <w:rFonts w:ascii="宋体" w:hAnsi="宋体"/>
              </w:rPr>
            </w:pPr>
          </w:p>
        </w:tc>
        <w:tc>
          <w:tcPr>
            <w:tcW w:w="1160" w:type="dxa"/>
            <w:tcBorders>
              <w:top w:val="single" w:sz="4" w:space="0" w:color="auto"/>
              <w:bottom w:val="single" w:sz="4" w:space="0" w:color="auto"/>
            </w:tcBorders>
            <w:vAlign w:val="center"/>
          </w:tcPr>
          <w:p>
            <w:pPr>
              <w:jc w:val="center"/>
              <w:rPr>
                <w:rFonts w:ascii="宋体" w:hAnsi="宋体"/>
              </w:rPr>
            </w:pPr>
          </w:p>
        </w:tc>
      </w:tr>
      <w:tr>
        <w:tblPrEx>
          <w:tblW w:w="9548"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tcBorders>
            <w:vAlign w:val="center"/>
          </w:tcPr>
          <w:p>
            <w:pPr>
              <w:ind w:right="-79" w:rightChars="-33"/>
              <w:jc w:val="center"/>
              <w:rPr>
                <w:rFonts w:ascii="宋体" w:hAnsi="宋体"/>
              </w:rPr>
            </w:pPr>
            <w:r>
              <w:rPr>
                <w:rFonts w:ascii="宋体" w:hAnsi="宋体" w:hint="eastAsia"/>
              </w:rPr>
              <w:t>5</w:t>
            </w:r>
          </w:p>
        </w:tc>
        <w:tc>
          <w:tcPr>
            <w:tcW w:w="2088" w:type="dxa"/>
            <w:tcBorders>
              <w:top w:val="single" w:sz="4" w:space="0" w:color="auto"/>
            </w:tcBorders>
            <w:vAlign w:val="center"/>
          </w:tcPr>
          <w:p>
            <w:pPr>
              <w:jc w:val="center"/>
              <w:rPr>
                <w:rFonts w:ascii="宋体" w:hAnsi="宋体"/>
              </w:rPr>
            </w:pPr>
          </w:p>
        </w:tc>
        <w:tc>
          <w:tcPr>
            <w:tcW w:w="1420" w:type="dxa"/>
            <w:tcBorders>
              <w:top w:val="single" w:sz="4" w:space="0" w:color="auto"/>
            </w:tcBorders>
            <w:vAlign w:val="center"/>
          </w:tcPr>
          <w:p>
            <w:pPr>
              <w:jc w:val="center"/>
              <w:rPr>
                <w:rFonts w:ascii="宋体" w:hAnsi="宋体"/>
              </w:rPr>
            </w:pPr>
          </w:p>
        </w:tc>
        <w:tc>
          <w:tcPr>
            <w:tcW w:w="1130" w:type="dxa"/>
            <w:tcBorders>
              <w:top w:val="single" w:sz="4" w:space="0" w:color="auto"/>
            </w:tcBorders>
            <w:vAlign w:val="center"/>
          </w:tcPr>
          <w:p>
            <w:pPr>
              <w:jc w:val="center"/>
              <w:rPr>
                <w:rFonts w:ascii="宋体" w:hAnsi="宋体"/>
              </w:rPr>
            </w:pPr>
          </w:p>
        </w:tc>
        <w:tc>
          <w:tcPr>
            <w:tcW w:w="1027" w:type="dxa"/>
            <w:tcBorders>
              <w:top w:val="single" w:sz="4" w:space="0" w:color="auto"/>
            </w:tcBorders>
            <w:vAlign w:val="center"/>
          </w:tcPr>
          <w:p>
            <w:pPr>
              <w:jc w:val="center"/>
              <w:rPr>
                <w:rFonts w:ascii="宋体" w:hAnsi="宋体"/>
              </w:rPr>
            </w:pPr>
          </w:p>
        </w:tc>
        <w:tc>
          <w:tcPr>
            <w:tcW w:w="958" w:type="dxa"/>
            <w:tcBorders>
              <w:top w:val="single" w:sz="4" w:space="0" w:color="auto"/>
            </w:tcBorders>
            <w:vAlign w:val="center"/>
          </w:tcPr>
          <w:p>
            <w:pPr>
              <w:jc w:val="center"/>
              <w:rPr>
                <w:rFonts w:ascii="宋体" w:hAnsi="宋体"/>
              </w:rPr>
            </w:pPr>
          </w:p>
        </w:tc>
        <w:tc>
          <w:tcPr>
            <w:tcW w:w="1012" w:type="dxa"/>
            <w:tcBorders>
              <w:top w:val="single" w:sz="4" w:space="0" w:color="auto"/>
            </w:tcBorders>
            <w:vAlign w:val="center"/>
          </w:tcPr>
          <w:p>
            <w:pPr>
              <w:jc w:val="center"/>
              <w:rPr>
                <w:rFonts w:ascii="宋体" w:hAnsi="宋体"/>
              </w:rPr>
            </w:pPr>
          </w:p>
        </w:tc>
        <w:tc>
          <w:tcPr>
            <w:tcW w:w="1160" w:type="dxa"/>
            <w:tcBorders>
              <w:top w:val="single" w:sz="4" w:space="0" w:color="auto"/>
            </w:tcBorders>
            <w:vAlign w:val="center"/>
          </w:tcPr>
          <w:p>
            <w:pPr>
              <w:jc w:val="center"/>
              <w:rPr>
                <w:rFonts w:ascii="宋体" w:hAnsi="宋体"/>
              </w:rPr>
            </w:pPr>
          </w:p>
        </w:tc>
      </w:tr>
    </w:tbl>
    <w:p>
      <w:pPr>
        <w:pStyle w:val="BodyText"/>
      </w:pPr>
    </w:p>
    <w:p>
      <w:pPr>
        <w:pStyle w:val="Heading2"/>
        <w:rPr>
          <w:kern w:val="2"/>
          <w:szCs w:val="24"/>
        </w:rPr>
      </w:pPr>
      <w:r>
        <w:rPr>
          <w:kern w:val="2"/>
          <w:szCs w:val="24"/>
        </w:rPr>
        <w:t>延续保修合同报价清单</w:t>
      </w:r>
    </w:p>
    <w:tbl>
      <w:tblPr>
        <w:tblStyle w:val="TableNormal"/>
        <w:tblpPr w:leftFromText="180" w:rightFromText="180" w:vertAnchor="text" w:horzAnchor="margin" w:tblpY="117"/>
        <w:tblW w:w="7779" w:type="dxa"/>
        <w:tblInd w:w="0" w:type="dxa"/>
        <w:tblLayout w:type="fixed"/>
        <w:tblCellMar>
          <w:top w:w="0" w:type="dxa"/>
          <w:left w:w="108" w:type="dxa"/>
          <w:bottom w:w="0" w:type="dxa"/>
          <w:right w:w="108" w:type="dxa"/>
        </w:tblCellMar>
      </w:tblPr>
      <w:tblGrid>
        <w:gridCol w:w="1331"/>
        <w:gridCol w:w="4039"/>
        <w:gridCol w:w="2409"/>
      </w:tblGrid>
      <w:tr>
        <w:tblPrEx>
          <w:tblW w:w="7779" w:type="dxa"/>
          <w:tblInd w:w="0" w:type="dxa"/>
          <w:tblLayout w:type="fixed"/>
          <w:tblCellMar>
            <w:top w:w="0" w:type="dxa"/>
            <w:left w:w="108" w:type="dxa"/>
            <w:bottom w:w="0" w:type="dxa"/>
            <w:right w:w="108" w:type="dxa"/>
          </w:tblCellMar>
        </w:tblPrEx>
        <w:trPr>
          <w:trHeight w:val="272"/>
        </w:trPr>
        <w:tc>
          <w:tcPr>
            <w:tcW w:w="1331" w:type="dxa"/>
            <w:tcBorders>
              <w:top w:val="single" w:sz="4" w:space="0" w:color="auto"/>
              <w:left w:val="single" w:sz="4" w:space="0" w:color="auto"/>
              <w:bottom w:val="single" w:sz="4" w:space="0" w:color="auto"/>
              <w:right w:val="single" w:sz="4" w:space="0" w:color="auto"/>
            </w:tcBorders>
            <w:noWrap/>
          </w:tcPr>
          <w:p>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4039" w:type="dxa"/>
            <w:tcBorders>
              <w:top w:val="single" w:sz="4" w:space="0" w:color="auto"/>
              <w:left w:val="nil"/>
              <w:bottom w:val="single" w:sz="4" w:space="0" w:color="auto"/>
              <w:right w:val="single" w:sz="4" w:space="0" w:color="auto"/>
            </w:tcBorders>
            <w:noWrap/>
            <w:vAlign w:val="center"/>
          </w:tcPr>
          <w:p>
            <w:pPr>
              <w:widowControl/>
              <w:jc w:val="center"/>
              <w:rPr>
                <w:rFonts w:ascii="宋体" w:hAnsi="宋体" w:cs="宋体"/>
                <w:b/>
                <w:color w:val="000000"/>
                <w:kern w:val="0"/>
                <w:sz w:val="24"/>
              </w:rPr>
            </w:pPr>
            <w:r>
              <w:rPr>
                <w:rFonts w:ascii="宋体" w:hAnsi="宋体" w:cs="宋体" w:hint="eastAsia"/>
                <w:b/>
                <w:color w:val="000000"/>
                <w:kern w:val="0"/>
                <w:sz w:val="24"/>
              </w:rPr>
              <w:t>服务项目</w:t>
            </w:r>
          </w:p>
        </w:tc>
        <w:tc>
          <w:tcPr>
            <w:tcW w:w="2409" w:type="dxa"/>
            <w:tcBorders>
              <w:top w:val="single" w:sz="4" w:space="0" w:color="auto"/>
              <w:left w:val="nil"/>
              <w:bottom w:val="single" w:sz="4" w:space="0" w:color="auto"/>
              <w:right w:val="single" w:sz="4" w:space="0" w:color="auto"/>
            </w:tcBorders>
            <w:noWrap/>
          </w:tcPr>
          <w:p>
            <w:pPr>
              <w:widowControl/>
              <w:jc w:val="center"/>
              <w:rPr>
                <w:rFonts w:ascii="宋体" w:hAnsi="宋体" w:cs="宋体"/>
                <w:b/>
                <w:color w:val="000000"/>
                <w:kern w:val="0"/>
                <w:sz w:val="24"/>
              </w:rPr>
            </w:pPr>
            <w:r>
              <w:rPr>
                <w:rFonts w:ascii="宋体" w:hAnsi="宋体" w:cs="宋体" w:hint="eastAsia"/>
                <w:b/>
                <w:color w:val="000000"/>
                <w:kern w:val="0"/>
                <w:sz w:val="24"/>
              </w:rPr>
              <w:t>报价</w:t>
            </w:r>
          </w:p>
        </w:tc>
      </w:tr>
      <w:tr>
        <w:tblPrEx>
          <w:tblW w:w="7779" w:type="dxa"/>
          <w:tblInd w:w="0" w:type="dxa"/>
          <w:tblLayout w:type="fixed"/>
          <w:tblCellMar>
            <w:top w:w="0" w:type="dxa"/>
            <w:left w:w="108" w:type="dxa"/>
            <w:bottom w:w="0" w:type="dxa"/>
            <w:right w:w="108" w:type="dxa"/>
          </w:tblCellMar>
        </w:tblPrEx>
        <w:trPr>
          <w:trHeight w:val="272"/>
        </w:trPr>
        <w:tc>
          <w:tcPr>
            <w:tcW w:w="1331" w:type="dxa"/>
            <w:tcBorders>
              <w:top w:val="nil"/>
              <w:left w:val="single" w:sz="4" w:space="0" w:color="auto"/>
              <w:bottom w:val="single" w:sz="4" w:space="0" w:color="auto"/>
              <w:right w:val="single" w:sz="4" w:space="0" w:color="auto"/>
            </w:tcBorders>
            <w:noWrap/>
          </w:tcPr>
          <w:p>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4039" w:type="dxa"/>
            <w:tcBorders>
              <w:top w:val="nil"/>
              <w:left w:val="nil"/>
              <w:bottom w:val="single" w:sz="4" w:space="0" w:color="auto"/>
              <w:right w:val="single" w:sz="4" w:space="0" w:color="auto"/>
            </w:tcBorders>
            <w:noWrap/>
            <w:vAlign w:val="center"/>
          </w:tcPr>
          <w:p>
            <w:pPr>
              <w:widowControl/>
              <w:jc w:val="center"/>
              <w:rPr>
                <w:rFonts w:ascii="宋体" w:hAnsi="宋体" w:cs="宋体"/>
                <w:color w:val="000000"/>
                <w:kern w:val="0"/>
                <w:sz w:val="24"/>
              </w:rPr>
            </w:pPr>
            <w:r>
              <w:rPr>
                <w:rFonts w:ascii="宋体" w:hAnsi="宋体" w:cs="宋体" w:hint="eastAsia"/>
                <w:color w:val="000000"/>
                <w:kern w:val="0"/>
                <w:sz w:val="24"/>
              </w:rPr>
              <w:t>保修期内</w:t>
            </w:r>
          </w:p>
        </w:tc>
        <w:tc>
          <w:tcPr>
            <w:tcW w:w="2409" w:type="dxa"/>
            <w:tcBorders>
              <w:top w:val="nil"/>
              <w:left w:val="nil"/>
              <w:bottom w:val="single" w:sz="4" w:space="0" w:color="auto"/>
              <w:right w:val="single" w:sz="4" w:space="0" w:color="auto"/>
            </w:tcBorders>
            <w:noWrap/>
          </w:tcPr>
          <w:p>
            <w:pPr>
              <w:widowControl/>
              <w:jc w:val="center"/>
              <w:rPr>
                <w:rFonts w:ascii="宋体" w:hAnsi="宋体" w:cs="宋体"/>
                <w:color w:val="000000"/>
                <w:kern w:val="0"/>
                <w:sz w:val="24"/>
              </w:rPr>
            </w:pPr>
            <w:r>
              <w:rPr>
                <w:rFonts w:ascii="宋体" w:hAnsi="宋体" w:cs="宋体" w:hint="eastAsia"/>
                <w:color w:val="000000"/>
                <w:kern w:val="0"/>
                <w:sz w:val="24"/>
              </w:rPr>
              <w:t>免费</w:t>
            </w:r>
          </w:p>
        </w:tc>
      </w:tr>
      <w:tr>
        <w:tblPrEx>
          <w:tblW w:w="7779" w:type="dxa"/>
          <w:tblInd w:w="0" w:type="dxa"/>
          <w:tblLayout w:type="fixed"/>
          <w:tblCellMar>
            <w:top w:w="0" w:type="dxa"/>
            <w:left w:w="108" w:type="dxa"/>
            <w:bottom w:w="0" w:type="dxa"/>
            <w:right w:w="108" w:type="dxa"/>
          </w:tblCellMar>
        </w:tblPrEx>
        <w:trPr>
          <w:trHeight w:val="90"/>
        </w:trPr>
        <w:tc>
          <w:tcPr>
            <w:tcW w:w="1331" w:type="dxa"/>
            <w:tcBorders>
              <w:top w:val="nil"/>
              <w:left w:val="single" w:sz="4" w:space="0" w:color="auto"/>
              <w:bottom w:val="single" w:sz="4" w:space="0" w:color="auto"/>
              <w:right w:val="single" w:sz="4" w:space="0" w:color="auto"/>
            </w:tcBorders>
            <w:noWrap/>
          </w:tcPr>
          <w:p>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4039" w:type="dxa"/>
            <w:tcBorders>
              <w:top w:val="nil"/>
              <w:left w:val="nil"/>
              <w:bottom w:val="single" w:sz="4" w:space="0" w:color="auto"/>
              <w:right w:val="single" w:sz="4" w:space="0" w:color="auto"/>
            </w:tcBorders>
            <w:noWrap/>
            <w:vAlign w:val="center"/>
          </w:tcPr>
          <w:p>
            <w:pPr>
              <w:widowControl/>
              <w:jc w:val="center"/>
              <w:rPr>
                <w:rFonts w:ascii="宋体" w:hAnsi="宋体" w:cs="宋体"/>
                <w:color w:val="000000"/>
                <w:kern w:val="0"/>
                <w:sz w:val="24"/>
              </w:rPr>
            </w:pPr>
            <w:r>
              <w:rPr>
                <w:rFonts w:ascii="宋体" w:hAnsi="宋体" w:cs="宋体" w:hint="eastAsia"/>
                <w:color w:val="000000"/>
                <w:kern w:val="0"/>
                <w:sz w:val="24"/>
              </w:rPr>
              <w:t>保修期外延保1年</w:t>
            </w:r>
          </w:p>
        </w:tc>
        <w:tc>
          <w:tcPr>
            <w:tcW w:w="2409" w:type="dxa"/>
            <w:tcBorders>
              <w:top w:val="nil"/>
              <w:left w:val="nil"/>
              <w:bottom w:val="single" w:sz="4" w:space="0" w:color="auto"/>
              <w:right w:val="single" w:sz="4" w:space="0" w:color="auto"/>
            </w:tcBorders>
            <w:noWrap/>
            <w:vAlign w:val="center"/>
          </w:tcPr>
          <w:p>
            <w:pPr>
              <w:widowControl/>
              <w:jc w:val="left"/>
              <w:rPr>
                <w:kern w:val="0"/>
                <w:sz w:val="20"/>
                <w:szCs w:val="20"/>
              </w:rPr>
            </w:pPr>
          </w:p>
        </w:tc>
      </w:tr>
    </w:tbl>
    <w:p>
      <w:pPr>
        <w:spacing w:line="360" w:lineRule="auto"/>
        <w:rPr>
          <w:rFonts w:ascii="宋体" w:hAnsi="宋体" w:cs="宋体"/>
          <w:b/>
          <w:bCs/>
          <w:szCs w:val="21"/>
        </w:rPr>
      </w:pPr>
    </w:p>
    <w:p>
      <w:pPr>
        <w:spacing w:line="360" w:lineRule="auto"/>
        <w:rPr>
          <w:rFonts w:ascii="宋体" w:hAnsi="宋体" w:cs="宋体"/>
          <w:b/>
          <w:bCs/>
          <w:sz w:val="24"/>
        </w:rPr>
      </w:pPr>
    </w:p>
    <w:p>
      <w:pPr>
        <w:spacing w:line="360" w:lineRule="auto"/>
        <w:rPr>
          <w:rFonts w:asciiTheme="minorEastAsia" w:hAnsiTheme="minorEastAsia" w:cstheme="minorEastAsia"/>
          <w:b/>
          <w:bCs/>
          <w:szCs w:val="21"/>
        </w:rPr>
      </w:pP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p>
    <w:p>
      <w:pPr>
        <w:tabs>
          <w:tab w:val="left" w:pos="720"/>
        </w:tabs>
        <w:spacing w:line="360" w:lineRule="auto"/>
        <w:jc w:val="center"/>
        <w:rPr>
          <w:rFonts w:asciiTheme="minorEastAsia" w:hAnsiTheme="minorEastAsia" w:cstheme="minorEastAsia"/>
          <w:b/>
          <w:sz w:val="24"/>
        </w:rPr>
      </w:pPr>
      <w:r>
        <w:rPr>
          <w:rFonts w:asciiTheme="minorEastAsia" w:hAnsiTheme="minorEastAsia" w:cstheme="minorEastAsia" w:hint="eastAsia"/>
          <w:b/>
          <w:sz w:val="24"/>
        </w:rPr>
        <w:t>（四）</w:t>
      </w:r>
      <w:bookmarkStart w:id="67" w:name="_Hlk72073235"/>
      <w:r>
        <w:rPr>
          <w:rFonts w:asciiTheme="minorEastAsia" w:hAnsiTheme="minorEastAsia" w:cstheme="minorEastAsia" w:hint="eastAsia"/>
          <w:b/>
          <w:sz w:val="24"/>
        </w:rPr>
        <w:t>投标人认为需要涉及的其他内容报价清单</w:t>
      </w:r>
      <w:bookmarkEnd w:id="67"/>
    </w:p>
    <w:p>
      <w:pPr>
        <w:spacing w:line="360" w:lineRule="auto"/>
        <w:rPr>
          <w:rFonts w:asciiTheme="minorEastAsia" w:hAnsiTheme="minorEastAsia" w:cstheme="minorEastAsia"/>
          <w:b/>
          <w:bCs/>
        </w:rPr>
      </w:pPr>
    </w:p>
    <w:p>
      <w:pPr>
        <w:spacing w:line="360" w:lineRule="auto"/>
        <w:rPr>
          <w:rFonts w:ascii="宋体" w:hAnsi="宋体" w:cs="宋体"/>
        </w:rPr>
      </w:pPr>
    </w:p>
    <w:p>
      <w:pPr>
        <w:spacing w:line="360" w:lineRule="auto"/>
        <w:jc w:val="center"/>
        <w:rPr>
          <w:rFonts w:ascii="宋体" w:hAnsi="宋体" w:cs="宋体"/>
          <w:b/>
          <w:color w:val="FF0000"/>
          <w:sz w:val="24"/>
        </w:rPr>
      </w:pPr>
      <w:r>
        <w:rPr>
          <w:rFonts w:ascii="宋体" w:hAnsi="宋体" w:cs="宋体" w:hint="eastAsia"/>
          <w:b/>
          <w:color w:val="FF0000"/>
          <w:sz w:val="24"/>
        </w:rPr>
        <w:t>（信息公开部分的内容到此为止！以下为信息不公开部分。）</w:t>
      </w:r>
    </w:p>
    <w:p>
      <w:pPr>
        <w:spacing w:line="360" w:lineRule="auto"/>
        <w:rPr>
          <w:rFonts w:ascii="宋体" w:hAnsi="宋体" w:cs="宋体"/>
        </w:rPr>
      </w:pPr>
      <w:r>
        <w:rPr>
          <w:rFonts w:ascii="宋体" w:hAnsi="宋体" w:cs="宋体" w:hint="eastAsia"/>
        </w:rPr>
        <w:br w:type="page"/>
      </w:r>
    </w:p>
    <w:p>
      <w:pPr>
        <w:spacing w:line="360" w:lineRule="auto"/>
        <w:outlineLvl w:val="1"/>
        <w:rPr>
          <w:rFonts w:ascii="宋体" w:hAnsi="宋体" w:cs="宋体"/>
          <w:b/>
          <w:color w:val="FF0000"/>
          <w:sz w:val="28"/>
          <w:szCs w:val="28"/>
        </w:rPr>
      </w:pPr>
      <w:r>
        <w:rPr>
          <w:rFonts w:ascii="宋体" w:hAnsi="宋体" w:cs="宋体" w:hint="eastAsia"/>
          <w:b/>
          <w:color w:val="FF0000"/>
          <w:sz w:val="28"/>
          <w:szCs w:val="28"/>
        </w:rPr>
        <w:t>投标文件附件（信息不公开部分）</w:t>
      </w:r>
    </w:p>
    <w:p>
      <w:pPr>
        <w:pStyle w:val="Heading3"/>
        <w:spacing w:before="0" w:after="0" w:line="360" w:lineRule="auto"/>
        <w:jc w:val="center"/>
        <w:rPr>
          <w:rFonts w:cs="宋体"/>
          <w:b w:val="0"/>
          <w:sz w:val="24"/>
        </w:rPr>
      </w:pPr>
      <w:r>
        <w:rPr>
          <w:rFonts w:cs="宋体" w:hint="eastAsia"/>
          <w:b w:val="0"/>
          <w:sz w:val="24"/>
        </w:rPr>
        <w:t>一、</w:t>
      </w:r>
      <w:bookmarkStart w:id="68" w:name="_Hlk72092499"/>
      <w:r>
        <w:rPr>
          <w:rFonts w:cs="宋体" w:hint="eastAsia"/>
          <w:b w:val="0"/>
          <w:sz w:val="24"/>
        </w:rPr>
        <w:t>法定代表人（负责人）证明书</w:t>
      </w:r>
      <w:bookmarkEnd w:id="68"/>
    </w:p>
    <w:p>
      <w:pPr>
        <w:spacing w:line="360" w:lineRule="auto"/>
        <w:rPr>
          <w:rFonts w:ascii="宋体" w:hAnsi="宋体" w:cs="宋体"/>
          <w:sz w:val="24"/>
        </w:rPr>
      </w:pPr>
    </w:p>
    <w:p>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同志，现任我单位</w:t>
      </w:r>
      <w:r>
        <w:rPr>
          <w:rFonts w:ascii="宋体" w:hAnsi="宋体" w:cs="宋体" w:hint="eastAsia"/>
          <w:szCs w:val="21"/>
          <w:u w:val="single"/>
        </w:rPr>
        <w:t xml:space="preserve">         </w:t>
      </w:r>
      <w:r>
        <w:rPr>
          <w:rFonts w:ascii="宋体" w:hAnsi="宋体" w:cs="宋体" w:hint="eastAsia"/>
          <w:szCs w:val="21"/>
        </w:rPr>
        <w:t>职务，为法定代表人（负责人），特此证明。</w:t>
      </w:r>
    </w:p>
    <w:p>
      <w:pPr>
        <w:spacing w:line="360" w:lineRule="auto"/>
        <w:rPr>
          <w:rFonts w:ascii="宋体" w:hAnsi="宋体" w:cs="宋体"/>
          <w:szCs w:val="21"/>
        </w:rPr>
      </w:pPr>
      <w:r>
        <w:rPr>
          <w:rFonts w:ascii="宋体" w:hAnsi="宋体" w:cs="宋体" w:hint="eastAsia"/>
          <w:szCs w:val="21"/>
        </w:rPr>
        <w:t xml:space="preserve">         </w:t>
      </w:r>
    </w:p>
    <w:p>
      <w:pPr>
        <w:spacing w:line="360" w:lineRule="auto"/>
        <w:rPr>
          <w:rFonts w:ascii="宋体" w:hAnsi="宋体" w:cs="宋体"/>
          <w:szCs w:val="21"/>
        </w:rPr>
      </w:pPr>
      <w:r>
        <w:rPr>
          <w:rFonts w:ascii="宋体" w:hAnsi="宋体" w:cs="宋体" w:hint="eastAsia"/>
          <w:szCs w:val="21"/>
        </w:rPr>
        <w:t>说明：1、法定代表人为投标人（企业事业单位、国家机关、社会团体）的主要行政负责人。</w:t>
      </w:r>
    </w:p>
    <w:p>
      <w:pPr>
        <w:numPr>
          <w:ilvl w:val="0"/>
          <w:numId w:val="4"/>
        </w:numPr>
        <w:spacing w:line="360" w:lineRule="auto"/>
        <w:ind w:left="0"/>
        <w:rPr>
          <w:rFonts w:ascii="宋体" w:hAnsi="宋体" w:cs="宋体"/>
          <w:szCs w:val="21"/>
        </w:rPr>
      </w:pPr>
      <w:r>
        <w:rPr>
          <w:rFonts w:ascii="宋体" w:hAnsi="宋体" w:cs="宋体" w:hint="eastAsia"/>
          <w:szCs w:val="21"/>
        </w:rPr>
        <w:t>内容必须填写真实、清楚，涂改无效，不得转让、买卖。</w:t>
      </w:r>
    </w:p>
    <w:p>
      <w:pPr>
        <w:spacing w:line="360" w:lineRule="auto"/>
        <w:rPr>
          <w:rFonts w:ascii="宋体" w:hAnsi="宋体" w:cs="宋体"/>
          <w:b/>
          <w:szCs w:val="21"/>
        </w:rPr>
      </w:pPr>
      <w:r>
        <w:rPr>
          <w:rFonts w:ascii="宋体" w:hAnsi="宋体" w:cs="宋体" w:hint="eastAsia"/>
          <w:b/>
          <w:szCs w:val="21"/>
        </w:rPr>
        <w:t>附： 请提供法定代表人身份证扫描件（正反两面）</w:t>
      </w:r>
    </w:p>
    <w:p>
      <w:pPr>
        <w:pStyle w:val="BodyText"/>
        <w:rPr>
          <w:rFonts w:ascii="宋体" w:hAnsi="宋体" w:cs="宋体"/>
        </w:rPr>
      </w:pPr>
    </w:p>
    <w:p>
      <w:pPr>
        <w:spacing w:line="360" w:lineRule="auto"/>
        <w:rPr>
          <w:rFonts w:ascii="宋体" w:hAnsi="宋体" w:cs="宋体"/>
          <w:sz w:val="24"/>
        </w:rPr>
      </w:pPr>
    </w:p>
    <w:p>
      <w:pPr>
        <w:spacing w:line="360" w:lineRule="auto"/>
        <w:rPr>
          <w:rFonts w:ascii="宋体" w:hAnsi="宋体" w:cs="宋体"/>
          <w:b/>
          <w:bCs/>
          <w:sz w:val="24"/>
        </w:rPr>
      </w:pPr>
    </w:p>
    <w:p>
      <w:pPr>
        <w:pStyle w:val="Heading3"/>
        <w:spacing w:before="0" w:after="0" w:line="360" w:lineRule="auto"/>
        <w:jc w:val="center"/>
        <w:rPr>
          <w:rFonts w:cs="宋体"/>
          <w:b w:val="0"/>
          <w:sz w:val="24"/>
        </w:rPr>
      </w:pPr>
      <w:r>
        <w:rPr>
          <w:rFonts w:cs="宋体" w:hint="eastAsia"/>
          <w:b w:val="0"/>
          <w:sz w:val="24"/>
        </w:rPr>
        <w:t>二、投标文件签署授权委托书</w:t>
      </w:r>
    </w:p>
    <w:p>
      <w:pPr>
        <w:spacing w:line="360" w:lineRule="auto"/>
        <w:rPr>
          <w:rFonts w:ascii="宋体" w:hAnsi="宋体" w:cs="宋体"/>
          <w:szCs w:val="21"/>
        </w:rPr>
      </w:pPr>
      <w:r>
        <w:rPr>
          <w:rFonts w:ascii="宋体" w:hAnsi="宋体" w:cs="宋体" w:hint="eastAsia"/>
          <w:szCs w:val="21"/>
        </w:rPr>
        <w:t>本授权委托书声明：我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（投标人名称）的法定代表人（负责人），现授权委托</w:t>
      </w:r>
      <w:r>
        <w:rPr>
          <w:rFonts w:ascii="宋体" w:hAnsi="宋体" w:cs="宋体" w:hint="eastAsia"/>
          <w:szCs w:val="21"/>
          <w:u w:val="single"/>
        </w:rPr>
        <w:t xml:space="preserve">            </w:t>
      </w:r>
      <w:r>
        <w:rPr>
          <w:rFonts w:ascii="宋体" w:hAnsi="宋体" w:cs="宋体" w:hint="eastAsia"/>
          <w:szCs w:val="21"/>
        </w:rPr>
        <w:t>（姓名）为我单位签署本项目已递交的投标文件的法定代表人（负责人）的授权委托代理人，代理人全权代表我所签署的本项目已递交的投标文件内容我均承认。</w:t>
      </w:r>
    </w:p>
    <w:p>
      <w:pPr>
        <w:pStyle w:val="NormalIndent"/>
        <w:spacing w:line="360" w:lineRule="auto"/>
        <w:ind w:firstLine="0"/>
        <w:rPr>
          <w:rFonts w:ascii="宋体" w:hAnsi="宋体" w:cs="宋体"/>
          <w:szCs w:val="21"/>
        </w:rPr>
      </w:pPr>
      <w:r>
        <w:rPr>
          <w:rFonts w:ascii="宋体" w:hAnsi="宋体" w:cs="宋体" w:hint="eastAsia"/>
          <w:szCs w:val="21"/>
        </w:rPr>
        <w:t>代理人无转委托权，特此委托。</w:t>
      </w:r>
    </w:p>
    <w:p>
      <w:pPr>
        <w:pStyle w:val="NormalIndent"/>
        <w:spacing w:line="360" w:lineRule="auto"/>
        <w:ind w:firstLine="0"/>
        <w:rPr>
          <w:rFonts w:ascii="宋体" w:hAnsi="宋体" w:cs="宋体"/>
          <w:szCs w:val="21"/>
        </w:rPr>
      </w:pPr>
    </w:p>
    <w:p>
      <w:pPr>
        <w:spacing w:line="360" w:lineRule="auto"/>
        <w:rPr>
          <w:rFonts w:ascii="宋体" w:hAnsi="宋体" w:cs="宋体"/>
          <w:szCs w:val="21"/>
          <w:u w:val="single"/>
        </w:rPr>
      </w:pPr>
      <w:r>
        <w:rPr>
          <w:rFonts w:ascii="宋体" w:hAnsi="宋体" w:cs="宋体" w:hint="eastAsia"/>
          <w:szCs w:val="21"/>
        </w:rPr>
        <w:t>代理人：</w:t>
      </w:r>
      <w:r>
        <w:rPr>
          <w:rFonts w:ascii="宋体" w:hAnsi="宋体" w:cs="宋体" w:hint="eastAsia"/>
          <w:szCs w:val="21"/>
          <w:u w:val="single"/>
        </w:rPr>
        <w:t xml:space="preserve">             </w:t>
      </w:r>
    </w:p>
    <w:p>
      <w:pPr>
        <w:spacing w:line="360" w:lineRule="auto"/>
        <w:rPr>
          <w:rFonts w:ascii="宋体" w:hAnsi="宋体" w:cs="宋体"/>
          <w:szCs w:val="21"/>
        </w:rPr>
      </w:pP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 xml:space="preserve">  手机：</w:t>
      </w:r>
      <w:r>
        <w:rPr>
          <w:rFonts w:ascii="宋体" w:hAnsi="宋体" w:cs="宋体" w:hint="eastAsia"/>
          <w:szCs w:val="21"/>
          <w:u w:val="single"/>
        </w:rPr>
        <w:t xml:space="preserve">                   </w:t>
      </w:r>
    </w:p>
    <w:p>
      <w:pPr>
        <w:spacing w:line="360" w:lineRule="auto"/>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p>
    <w:p>
      <w:pPr>
        <w:spacing w:line="360" w:lineRule="auto"/>
        <w:rPr>
          <w:rFonts w:ascii="宋体" w:hAnsi="宋体" w:cs="宋体"/>
          <w:szCs w:val="21"/>
        </w:rPr>
      </w:pPr>
      <w:r>
        <w:rPr>
          <w:rFonts w:ascii="宋体" w:hAnsi="宋体" w:cs="宋体" w:hint="eastAsia"/>
          <w:szCs w:val="21"/>
        </w:rPr>
        <w:t>授权委托日期：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pPr>
        <w:spacing w:line="360" w:lineRule="auto"/>
        <w:rPr>
          <w:rFonts w:ascii="宋体" w:hAnsi="宋体" w:cs="宋体"/>
        </w:rPr>
      </w:pPr>
    </w:p>
    <w:p>
      <w:pPr>
        <w:spacing w:line="360" w:lineRule="auto"/>
        <w:rPr>
          <w:rFonts w:ascii="宋体" w:hAnsi="宋体" w:cs="宋体"/>
          <w:b/>
          <w:color w:val="FF0000"/>
          <w:szCs w:val="21"/>
        </w:rPr>
      </w:pPr>
      <w:r>
        <w:rPr>
          <w:rFonts w:ascii="宋体" w:hAnsi="宋体" w:cs="宋体" w:hint="eastAsia"/>
          <w:b/>
          <w:color w:val="FF0000"/>
          <w:szCs w:val="21"/>
        </w:rPr>
        <w:t>附： 请提供代理人身份证扫描件（正反两面）；港澳台居民可提供来往通行证扫描件；非中国国籍管辖范围人员，可提供公安部门认可的身份证明材料扫描件。</w:t>
      </w:r>
    </w:p>
    <w:p>
      <w:pPr>
        <w:spacing w:line="360" w:lineRule="auto"/>
        <w:rPr>
          <w:rFonts w:ascii="宋体" w:hAnsi="宋体" w:cs="宋体"/>
          <w:b/>
          <w:szCs w:val="21"/>
        </w:rPr>
      </w:pPr>
    </w:p>
    <w:p>
      <w:pPr>
        <w:pStyle w:val="BodyText"/>
        <w:rPr>
          <w:rFonts w:ascii="宋体" w:hAnsi="宋体" w:cs="宋体"/>
          <w:szCs w:val="21"/>
        </w:rPr>
      </w:pPr>
    </w:p>
    <w:p>
      <w:pPr>
        <w:pStyle w:val="Heading3"/>
        <w:spacing w:before="0" w:after="0" w:line="360" w:lineRule="auto"/>
        <w:jc w:val="center"/>
        <w:rPr>
          <w:rFonts w:cs="宋体"/>
          <w:b w:val="0"/>
          <w:sz w:val="24"/>
        </w:rPr>
      </w:pPr>
      <w:r>
        <w:rPr>
          <w:rFonts w:cs="宋体" w:hint="eastAsia"/>
          <w:b w:val="0"/>
          <w:sz w:val="24"/>
        </w:rPr>
        <w:t>三、政府采购违法行为风险知悉确认书</w:t>
      </w:r>
    </w:p>
    <w:p>
      <w:pPr>
        <w:pStyle w:val="Heading3"/>
        <w:spacing w:before="0" w:after="0" w:line="360" w:lineRule="auto"/>
        <w:jc w:val="center"/>
        <w:rPr>
          <w:rFonts w:cs="宋体"/>
          <w:b w:val="0"/>
          <w:kern w:val="0"/>
          <w:sz w:val="24"/>
          <w:szCs w:val="24"/>
        </w:rPr>
      </w:pPr>
    </w:p>
    <w:p>
      <w:pPr>
        <w:spacing w:line="360" w:lineRule="auto"/>
        <w:jc w:val="center"/>
        <w:rPr>
          <w:rFonts w:ascii="FZXBSK--GBK1-0" w:eastAsia="FZXBSK--GBK1-0" w:hAnsi="FZXBSK--GBK1-0"/>
          <w:b/>
          <w:bCs/>
          <w:sz w:val="24"/>
        </w:rPr>
      </w:pPr>
      <w:r>
        <w:rPr>
          <w:rFonts w:ascii="FZXBSK--GBK1-0" w:eastAsia="FZXBSK--GBK1-0" w:hAnsi="FZXBSK--GBK1-0" w:hint="eastAsia"/>
          <w:b/>
          <w:bCs/>
          <w:sz w:val="24"/>
        </w:rPr>
        <w:t>政府采购违法行为风险知悉确认书</w:t>
      </w:r>
    </w:p>
    <w:p>
      <w:pPr>
        <w:spacing w:line="360" w:lineRule="auto"/>
        <w:jc w:val="center"/>
        <w:rPr>
          <w:rFonts w:ascii="FZXBSK--GBK1-0" w:eastAsia="FZXBSK--GBK1-0" w:hAnsi="FZXBSK--GBK1-0"/>
          <w:b/>
          <w:bCs/>
          <w:sz w:val="24"/>
        </w:rPr>
      </w:pP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本公司在投标前已充分知悉以下情形为参与政府采购活动时的重大风险事项，并承诺已对下述风险提示事项重点排查，做到严谨、诚信、依法依规参与政府采购活动。</w:t>
      </w:r>
    </w:p>
    <w:p>
      <w:pPr>
        <w:widowControl/>
        <w:spacing w:line="360" w:lineRule="auto"/>
        <w:ind w:firstLine="480" w:firstLineChars="200"/>
        <w:jc w:val="left"/>
        <w:rPr>
          <w:rFonts w:ascii="仿宋_GB2312" w:eastAsia="仿宋_GB2312" w:hAnsi="仿宋_GB2312"/>
          <w:b/>
          <w:bCs/>
          <w:sz w:val="24"/>
        </w:rPr>
      </w:pPr>
      <w:r>
        <w:rPr>
          <w:rFonts w:ascii="仿宋_GB2312" w:eastAsia="仿宋_GB2312" w:hAnsi="仿宋_GB2312" w:hint="eastAsia"/>
          <w:b/>
          <w:bCs/>
          <w:sz w:val="24"/>
        </w:rPr>
        <w:t>一、本公司已充分知悉“隐瞒真实情况，提供虚假资料”的法定情形，相关情形包括但不限于：</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（一）通过转让或者租借等方式从其他单位获取资格或者资质证书投标的。</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（二）由其他单位或者其他单位负责人在投标供应商编制的投标文件上加盖印章或者签字的。</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（三）项目负责人或者主要技术人员不是本单位人员的。</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（四）投标保证金不是从投标供应商基本账户转出的。</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（五）其他隐瞒真实情况、提供虚假资料的行为。</w:t>
      </w:r>
    </w:p>
    <w:p>
      <w:pPr>
        <w:widowControl/>
        <w:spacing w:line="360" w:lineRule="auto"/>
        <w:ind w:firstLine="480" w:firstLineChars="200"/>
        <w:jc w:val="left"/>
        <w:rPr>
          <w:rFonts w:ascii="仿宋_GB2312" w:eastAsia="仿宋_GB2312" w:hAnsi="仿宋_GB2312"/>
          <w:b/>
          <w:bCs/>
          <w:sz w:val="24"/>
        </w:rPr>
      </w:pPr>
      <w:r>
        <w:rPr>
          <w:rFonts w:ascii="仿宋_GB2312" w:eastAsia="仿宋_GB2312" w:hAnsi="仿宋_GB2312" w:hint="eastAsia"/>
          <w:b/>
          <w:bCs/>
          <w:sz w:val="24"/>
        </w:rPr>
        <w:t>二、本公司已充分知悉“与其他采购参加人串通投标”的法定情形，相关情形包括但不限于：</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（一）投标供应商之间相互约定给予未中标的供应商利益补偿。</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（二）不同投标供应商的法定代表人、主要经营负责人、项目投标授权代表人、项目负责人、主要技术人员为同一人、属同一单位或者在同一单位缴纳社会保险。</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（三）不同投标供应商的投标文件由同一单位或者同一人编制，或者由同一人分阶段参与编制的。</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（四）不同投标供应商的投标文件或部分投标文件相互混装。</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（五）不同投标供应商的投标文件内容存在非正常一致。</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（六）由同一单位工作人员为两家以上（含两家）供应商进行同一项投标活动的。</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（七）不同投标人的投标报价呈规律性差异。</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（八）不同投标人的投标保证金从同一单位或者个人的账户转出。</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（九）主管部门依照法律、法规认定的其他情形。</w:t>
      </w:r>
    </w:p>
    <w:p>
      <w:pPr>
        <w:widowControl/>
        <w:spacing w:line="360" w:lineRule="auto"/>
        <w:ind w:firstLine="480" w:firstLineChars="200"/>
        <w:jc w:val="left"/>
        <w:rPr>
          <w:rFonts w:ascii="仿宋_GB2312" w:eastAsia="仿宋_GB2312" w:hAnsi="仿宋_GB2312"/>
          <w:b/>
          <w:bCs/>
          <w:sz w:val="24"/>
        </w:rPr>
      </w:pPr>
      <w:r>
        <w:rPr>
          <w:rFonts w:ascii="仿宋_GB2312" w:eastAsia="仿宋_GB2312" w:hAnsi="仿宋_GB2312" w:hint="eastAsia"/>
          <w:b/>
          <w:bCs/>
          <w:sz w:val="24"/>
        </w:rPr>
        <w:t>三、本公司已充分知悉下列情形所对应的法律风险，并在投标前已对相关风险事项进行排查。</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（二）对于涉及国家机关出具的公文、证件、证明材料等文件，一旦涉嫌虚假，经查实，主管部门将依法从严处理，并移送有关部门追究法律责任；涉嫌犯罪的，主管部门将一并移送司法机关追究法律责任。</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（三）对于涉及安全生产、特种作业、抢险救灾、防疫等政府采购项目，供应商实施提供虚假资料、串通投标等违法行为的，主管部门将依法从严处理。</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（六）单位负责人为同一人或者存在直接控股、管理关系的不同供应商，不得参加同一合同项下的政府采购活动。相关情形如查实，依法作投标无效处理；涉嫌串通投标等违法行为的，主管部门将依法调查处理。</w:t>
      </w:r>
    </w:p>
    <w:p>
      <w:pPr>
        <w:widowControl/>
        <w:spacing w:line="360" w:lineRule="auto"/>
        <w:ind w:firstLine="480" w:firstLineChars="200"/>
        <w:jc w:val="left"/>
        <w:rPr>
          <w:rFonts w:ascii="仿宋_GB2312" w:eastAsia="仿宋_GB2312" w:hAnsi="仿宋_GB2312"/>
          <w:sz w:val="24"/>
        </w:rPr>
      </w:pPr>
      <w:r>
        <w:rPr>
          <w:rFonts w:ascii="仿宋_GB2312" w:eastAsia="仿宋_GB2312" w:hAnsi="仿宋_GB2312" w:hint="eastAsia"/>
          <w:sz w:val="24"/>
        </w:rPr>
        <w:t>四、本公司已充分知悉政府采购违法、违规行为的法律后果。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widowControl/>
        <w:spacing w:line="360" w:lineRule="auto"/>
        <w:ind w:firstLine="480" w:firstLineChars="200"/>
        <w:jc w:val="left"/>
        <w:rPr>
          <w:rFonts w:ascii="仿宋_GB2312" w:eastAsia="仿宋_GB2312" w:hAnsi="仿宋_GB2312"/>
          <w:sz w:val="24"/>
          <w:u w:val="single"/>
        </w:rPr>
      </w:pPr>
      <w:r>
        <w:rPr>
          <w:rFonts w:ascii="仿宋_GB2312" w:eastAsia="仿宋_GB2312" w:hAnsi="仿宋_GB2312" w:hint="eastAsia"/>
          <w:sz w:val="24"/>
          <w:highlight w:val="yellow"/>
        </w:rPr>
        <w:t xml:space="preserve">以下文字请投标供应商抄写并确认：“本公司已仔细阅读《政府采购违法行为风险知悉确认书》，充分知悉违法行为的法律后果，并承诺将严谨、诚信、依法依规参与政府采购活动”。    </w:t>
      </w:r>
      <w:r>
        <w:rPr>
          <w:rFonts w:ascii="仿宋_GB2312" w:eastAsia="仿宋_GB2312" w:hAnsi="仿宋_GB2312" w:hint="eastAsia"/>
          <w:sz w:val="24"/>
        </w:rPr>
        <w:t xml:space="preserve"> </w:t>
      </w:r>
      <w:r>
        <w:rPr>
          <w:rFonts w:ascii="仿宋_GB2312" w:eastAsia="仿宋_GB2312" w:hAnsi="仿宋_GB2312" w:hint="eastAsia"/>
          <w:sz w:val="24"/>
          <w:u w:val="single"/>
        </w:rPr>
        <w:t xml:space="preserve">                                                                                  </w:t>
      </w:r>
    </w:p>
    <w:p>
      <w:pPr>
        <w:spacing w:line="360" w:lineRule="auto"/>
        <w:ind w:firstLine="720" w:firstLineChars="300"/>
        <w:jc w:val="left"/>
        <w:rPr>
          <w:rFonts w:ascii="仿宋_GB2312" w:eastAsia="仿宋_GB2312" w:hAnsi="仿宋_GB2312"/>
          <w:sz w:val="24"/>
          <w:u w:val="single"/>
        </w:rPr>
      </w:pPr>
      <w:r>
        <w:rPr>
          <w:rFonts w:ascii="仿宋_GB2312" w:eastAsia="仿宋_GB2312" w:hAnsi="仿宋_GB2312" w:hint="eastAsia"/>
          <w:sz w:val="24"/>
          <w:u w:val="single"/>
        </w:rPr>
        <w:t xml:space="preserve"> </w:t>
      </w:r>
    </w:p>
    <w:tbl>
      <w:tblPr>
        <w:tblStyle w:val="TableGrid"/>
        <w:tblW w:w="8529" w:type="dxa"/>
        <w:tblInd w:w="0" w:type="dxa"/>
        <w:tblBorders>
          <w:top w:val="single" w:sz="4" w:space="0" w:color="auto"/>
          <w:left w:val="nil"/>
          <w:bottom w:val="single" w:sz="4" w:space="0" w:color="auto"/>
          <w:right w:val="nil"/>
          <w:insideH w:val="single" w:sz="4" w:space="0" w:color="auto"/>
          <w:insideV w:val="nil"/>
        </w:tblBorders>
        <w:tblLayout w:type="fixed"/>
        <w:tblCellMar>
          <w:top w:w="0" w:type="dxa"/>
          <w:left w:w="108" w:type="dxa"/>
          <w:bottom w:w="0" w:type="dxa"/>
          <w:right w:w="108" w:type="dxa"/>
        </w:tblCellMar>
      </w:tblPr>
      <w:tblGrid>
        <w:gridCol w:w="8529"/>
      </w:tblGrid>
      <w:tr>
        <w:tblPrEx>
          <w:tblW w:w="8529" w:type="dxa"/>
          <w:tblInd w:w="0" w:type="dxa"/>
          <w:tblBorders>
            <w:top w:val="single" w:sz="4" w:space="0" w:color="auto"/>
            <w:left w:val="nil"/>
            <w:bottom w:val="single" w:sz="4" w:space="0" w:color="auto"/>
            <w:right w:val="nil"/>
            <w:insideH w:val="single" w:sz="4" w:space="0" w:color="auto"/>
            <w:insideV w:val="nil"/>
          </w:tblBorders>
          <w:tblLayout w:type="fixed"/>
          <w:tblCellMar>
            <w:top w:w="0" w:type="dxa"/>
            <w:left w:w="108" w:type="dxa"/>
            <w:bottom w:w="0" w:type="dxa"/>
            <w:right w:w="108" w:type="dxa"/>
          </w:tblCellMar>
        </w:tblPrEx>
        <w:tc>
          <w:tcPr>
            <w:tcW w:w="8529" w:type="dxa"/>
            <w:tcBorders>
              <w:tl2br w:val="nil"/>
              <w:tr2bl w:val="nil"/>
            </w:tcBorders>
          </w:tcPr>
          <w:p>
            <w:pPr>
              <w:widowControl w:val="0"/>
              <w:spacing w:line="360" w:lineRule="auto"/>
              <w:jc w:val="left"/>
              <w:rPr>
                <w:rFonts w:ascii="仿宋_GB2312" w:eastAsia="仿宋_GB2312" w:hAnsi="仿宋_GB2312"/>
                <w:sz w:val="24"/>
                <w:u w:val="thick"/>
              </w:rPr>
            </w:pPr>
          </w:p>
        </w:tc>
      </w:tr>
      <w:tr>
        <w:tblPrEx>
          <w:tblW w:w="8529" w:type="dxa"/>
          <w:tblInd w:w="0" w:type="dxa"/>
          <w:tblLayout w:type="fixed"/>
          <w:tblCellMar>
            <w:top w:w="0" w:type="dxa"/>
            <w:left w:w="108" w:type="dxa"/>
            <w:bottom w:w="0" w:type="dxa"/>
            <w:right w:w="108" w:type="dxa"/>
          </w:tblCellMar>
        </w:tblPrEx>
        <w:tc>
          <w:tcPr>
            <w:tcW w:w="8529" w:type="dxa"/>
            <w:tcBorders>
              <w:tl2br w:val="nil"/>
              <w:tr2bl w:val="nil"/>
            </w:tcBorders>
          </w:tcPr>
          <w:p>
            <w:pPr>
              <w:widowControl w:val="0"/>
              <w:spacing w:line="360" w:lineRule="auto"/>
              <w:jc w:val="left"/>
              <w:rPr>
                <w:rFonts w:ascii="仿宋_GB2312" w:eastAsia="仿宋_GB2312" w:hAnsi="仿宋_GB2312"/>
                <w:sz w:val="24"/>
                <w:u w:val="thick"/>
              </w:rPr>
            </w:pPr>
          </w:p>
        </w:tc>
      </w:tr>
      <w:tr>
        <w:tblPrEx>
          <w:tblW w:w="8529" w:type="dxa"/>
          <w:tblInd w:w="0" w:type="dxa"/>
          <w:tblLayout w:type="fixed"/>
          <w:tblCellMar>
            <w:top w:w="0" w:type="dxa"/>
            <w:left w:w="108" w:type="dxa"/>
            <w:bottom w:w="0" w:type="dxa"/>
            <w:right w:w="108" w:type="dxa"/>
          </w:tblCellMar>
        </w:tblPrEx>
        <w:tc>
          <w:tcPr>
            <w:tcW w:w="8529" w:type="dxa"/>
            <w:tcBorders>
              <w:tl2br w:val="nil"/>
              <w:tr2bl w:val="nil"/>
            </w:tcBorders>
          </w:tcPr>
          <w:p>
            <w:pPr>
              <w:widowControl w:val="0"/>
              <w:spacing w:line="360" w:lineRule="auto"/>
              <w:jc w:val="left"/>
              <w:rPr>
                <w:rFonts w:ascii="仿宋_GB2312" w:eastAsia="仿宋_GB2312" w:hAnsi="仿宋_GB2312"/>
                <w:sz w:val="24"/>
                <w:u w:val="thick"/>
              </w:rPr>
            </w:pPr>
          </w:p>
        </w:tc>
      </w:tr>
      <w:tr>
        <w:tblPrEx>
          <w:tblW w:w="8529" w:type="dxa"/>
          <w:tblInd w:w="0" w:type="dxa"/>
          <w:tblLayout w:type="fixed"/>
          <w:tblCellMar>
            <w:top w:w="0" w:type="dxa"/>
            <w:left w:w="108" w:type="dxa"/>
            <w:bottom w:w="0" w:type="dxa"/>
            <w:right w:w="108" w:type="dxa"/>
          </w:tblCellMar>
        </w:tblPrEx>
        <w:tc>
          <w:tcPr>
            <w:tcW w:w="8529" w:type="dxa"/>
            <w:tcBorders>
              <w:tl2br w:val="nil"/>
              <w:tr2bl w:val="nil"/>
            </w:tcBorders>
          </w:tcPr>
          <w:p>
            <w:pPr>
              <w:widowControl w:val="0"/>
              <w:spacing w:line="360" w:lineRule="auto"/>
              <w:jc w:val="left"/>
              <w:rPr>
                <w:rFonts w:ascii="仿宋_GB2312" w:eastAsia="仿宋_GB2312" w:hAnsi="仿宋_GB2312"/>
                <w:sz w:val="24"/>
                <w:u w:val="thick"/>
              </w:rPr>
            </w:pPr>
          </w:p>
        </w:tc>
      </w:tr>
    </w:tbl>
    <w:p>
      <w:pPr>
        <w:spacing w:line="360" w:lineRule="auto"/>
        <w:ind w:firstLine="720" w:firstLineChars="300"/>
        <w:jc w:val="left"/>
        <w:rPr>
          <w:rFonts w:ascii="仿宋_GB2312" w:eastAsia="仿宋_GB2312" w:hAnsi="仿宋_GB2312"/>
          <w:sz w:val="24"/>
          <w:u w:val="single"/>
        </w:rPr>
      </w:pPr>
    </w:p>
    <w:p>
      <w:pPr>
        <w:spacing w:line="360" w:lineRule="auto"/>
        <w:ind w:firstLine="3120" w:firstLineChars="1300"/>
        <w:jc w:val="left"/>
        <w:rPr>
          <w:rFonts w:ascii="仿宋_GB2312" w:eastAsia="仿宋_GB2312" w:hAnsi="仿宋_GB2312"/>
          <w:sz w:val="24"/>
        </w:rPr>
      </w:pPr>
      <w:r>
        <w:rPr>
          <w:rFonts w:ascii="仿宋_GB2312" w:eastAsia="仿宋_GB2312" w:hAnsi="仿宋_GB2312" w:hint="eastAsia"/>
          <w:sz w:val="24"/>
        </w:rPr>
        <w:t>负责人/投标授权代表签名：</w:t>
      </w:r>
    </w:p>
    <w:p>
      <w:pPr>
        <w:spacing w:line="360" w:lineRule="auto"/>
        <w:ind w:firstLine="3120" w:firstLineChars="1300"/>
        <w:jc w:val="left"/>
        <w:rPr>
          <w:rFonts w:ascii="仿宋_GB2312" w:eastAsia="仿宋_GB2312" w:hAnsi="仿宋_GB2312"/>
          <w:sz w:val="24"/>
        </w:rPr>
      </w:pPr>
      <w:r>
        <w:rPr>
          <w:rFonts w:ascii="仿宋_GB2312" w:eastAsia="仿宋_GB2312" w:hAnsi="仿宋_GB2312" w:hint="eastAsia"/>
          <w:sz w:val="24"/>
        </w:rPr>
        <w:t>知悉人（公章）：</w:t>
      </w:r>
    </w:p>
    <w:p>
      <w:pPr>
        <w:spacing w:line="360" w:lineRule="auto"/>
        <w:ind w:firstLine="3120" w:firstLineChars="1300"/>
        <w:rPr>
          <w:rFonts w:ascii="仿宋_GB2312" w:eastAsia="仿宋_GB2312" w:hAnsi="仿宋_GB2312" w:hint="eastAsia"/>
          <w:sz w:val="24"/>
        </w:rPr>
      </w:pPr>
      <w:r>
        <w:rPr>
          <w:rFonts w:ascii="仿宋_GB2312" w:eastAsia="仿宋_GB2312" w:hAnsi="仿宋_GB2312" w:hint="eastAsia"/>
          <w:sz w:val="24"/>
        </w:rPr>
        <w:t>日期：</w:t>
      </w:r>
    </w:p>
    <w:p>
      <w:pPr>
        <w:pStyle w:val="BodyText"/>
      </w:pPr>
    </w:p>
    <w:p>
      <w:pPr>
        <w:rPr>
          <w:rFonts w:ascii="FangSong_GB2312" w:eastAsia="FangSong_GB2312" w:hAnsi="FangSong_GB2312" w:hint="eastAsia"/>
          <w:sz w:val="24"/>
          <w:szCs w:val="24"/>
          <w:lang w:eastAsia="zh-CN"/>
        </w:rPr>
      </w:pPr>
      <w:r>
        <w:rPr>
          <w:rFonts w:ascii="FangSong_GB2312" w:eastAsia="FangSong_GB2312" w:hAnsi="FangSong_GB2312" w:hint="eastAsia"/>
          <w:sz w:val="24"/>
          <w:szCs w:val="24"/>
          <w:lang w:eastAsia="zh-CN"/>
        </w:rPr>
        <w:t>注：根据《深圳市财政局关于采购文件增加风险告知有关事项的通知》（深财购〔2022〕22 号），该风险知悉确认书用于对供应商违法行为的警示，不作为供应商资格性审查及符合性审查条件。</w:t>
      </w:r>
    </w:p>
    <w:p>
      <w:pPr>
        <w:pStyle w:val="BodyText"/>
        <w:rPr>
          <w:rFonts w:ascii="FangSong_GB2312" w:eastAsia="FangSong_GB2312" w:hAnsi="FangSong_GB2312" w:hint="eastAsia"/>
          <w:sz w:val="24"/>
          <w:szCs w:val="24"/>
          <w:lang w:eastAsia="zh-CN"/>
        </w:rPr>
      </w:pPr>
    </w:p>
    <w:p/>
    <w:p>
      <w:pPr>
        <w:pStyle w:val="Heading3"/>
        <w:spacing w:before="0" w:after="0" w:line="360" w:lineRule="auto"/>
        <w:jc w:val="center"/>
        <w:rPr>
          <w:rFonts w:cs="宋体"/>
          <w:b w:val="0"/>
          <w:kern w:val="0"/>
          <w:sz w:val="24"/>
          <w:szCs w:val="24"/>
        </w:rPr>
      </w:pPr>
      <w:r>
        <w:rPr>
          <w:rFonts w:cs="宋体" w:hint="eastAsia"/>
          <w:b w:val="0"/>
          <w:kern w:val="0"/>
          <w:sz w:val="24"/>
          <w:szCs w:val="24"/>
        </w:rPr>
        <w:t>四、</w:t>
      </w:r>
      <w:bookmarkStart w:id="69" w:name="_Hlk72092634"/>
      <w:r>
        <w:rPr>
          <w:rFonts w:cs="宋体" w:hint="eastAsia"/>
          <w:b w:val="0"/>
          <w:kern w:val="0"/>
          <w:sz w:val="24"/>
          <w:szCs w:val="24"/>
        </w:rPr>
        <w:t>实质性条款响应情况表</w:t>
      </w:r>
      <w:bookmarkEnd w:id="69"/>
    </w:p>
    <w:tbl>
      <w:tblPr>
        <w:tblStyle w:val="TableNormal"/>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5"/>
        <w:gridCol w:w="2664"/>
        <w:gridCol w:w="1588"/>
        <w:gridCol w:w="1842"/>
        <w:gridCol w:w="1418"/>
      </w:tblGrid>
      <w:tr>
        <w:tblPrEx>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31"/>
        </w:trPr>
        <w:tc>
          <w:tcPr>
            <w:tcW w:w="705" w:type="dxa"/>
            <w:vAlign w:val="center"/>
          </w:tcPr>
          <w:p>
            <w:pPr>
              <w:adjustRightInd w:val="0"/>
              <w:snapToGrid w:val="0"/>
              <w:spacing w:line="360" w:lineRule="auto"/>
              <w:jc w:val="center"/>
              <w:rPr>
                <w:rFonts w:ascii="宋体" w:hAnsi="宋体" w:cs="宋体"/>
                <w:kern w:val="0"/>
                <w:szCs w:val="21"/>
              </w:rPr>
            </w:pPr>
            <w:bookmarkStart w:id="70" w:name="_Hlk72092651"/>
            <w:r>
              <w:rPr>
                <w:rFonts w:ascii="宋体" w:hAnsi="宋体" w:cs="宋体" w:hint="eastAsia"/>
                <w:kern w:val="0"/>
                <w:szCs w:val="21"/>
              </w:rPr>
              <w:t>序号</w:t>
            </w:r>
          </w:p>
        </w:tc>
        <w:tc>
          <w:tcPr>
            <w:tcW w:w="2664"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kern w:val="0"/>
                <w:szCs w:val="21"/>
              </w:rPr>
              <w:t>实质性条款具体内容</w:t>
            </w:r>
          </w:p>
        </w:tc>
        <w:tc>
          <w:tcPr>
            <w:tcW w:w="1588"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rPr>
              <w:t>投标响应</w:t>
            </w:r>
          </w:p>
        </w:tc>
        <w:tc>
          <w:tcPr>
            <w:tcW w:w="1842"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rPr>
              <w:t>偏离情况</w:t>
            </w:r>
          </w:p>
        </w:tc>
        <w:tc>
          <w:tcPr>
            <w:tcW w:w="1418"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rPr>
              <w:t>说明</w:t>
            </w:r>
          </w:p>
        </w:tc>
      </w:tr>
      <w:tr>
        <w:tblPrEx>
          <w:tblW w:w="8217"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cs="宋体"/>
                <w:kern w:val="0"/>
                <w:szCs w:val="21"/>
              </w:rPr>
            </w:pPr>
            <w:bookmarkEnd w:id="70"/>
            <w:r>
              <w:rPr>
                <w:rFonts w:asciiTheme="minorEastAsia" w:hAnsiTheme="minorEastAsia" w:cstheme="minorEastAsia" w:hint="eastAsia"/>
                <w:kern w:val="0"/>
                <w:szCs w:val="21"/>
              </w:rPr>
              <w:t>1</w:t>
            </w:r>
          </w:p>
        </w:tc>
        <w:tc>
          <w:tcPr>
            <w:tcW w:w="2664"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投标文件载明的交货期不超过招标文件规定的期限</w:t>
            </w:r>
          </w:p>
        </w:tc>
        <w:tc>
          <w:tcPr>
            <w:tcW w:w="1588"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投标文件载明的交货期不超过招标文件规定的期限</w:t>
            </w:r>
          </w:p>
        </w:tc>
        <w:tc>
          <w:tcPr>
            <w:tcW w:w="1842"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sz w:val="24"/>
              </w:rPr>
              <w:t>无偏离</w:t>
            </w:r>
          </w:p>
        </w:tc>
        <w:tc>
          <w:tcPr>
            <w:tcW w:w="1418" w:type="dxa"/>
            <w:vAlign w:val="center"/>
          </w:tcPr>
          <w:p>
            <w:pPr>
              <w:adjustRightInd w:val="0"/>
              <w:snapToGrid w:val="0"/>
              <w:spacing w:line="360" w:lineRule="auto"/>
              <w:jc w:val="center"/>
              <w:rPr>
                <w:rFonts w:ascii="宋体" w:hAnsi="宋体" w:cs="宋体"/>
                <w:kern w:val="0"/>
                <w:szCs w:val="21"/>
              </w:rPr>
            </w:pPr>
          </w:p>
        </w:tc>
      </w:tr>
      <w:tr>
        <w:tblPrEx>
          <w:tblW w:w="8217"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2</w:t>
            </w:r>
          </w:p>
        </w:tc>
        <w:tc>
          <w:tcPr>
            <w:tcW w:w="2664"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投标文件载明的免费保修期不低于招标文件规定的期限</w:t>
            </w:r>
          </w:p>
        </w:tc>
        <w:tc>
          <w:tcPr>
            <w:tcW w:w="1588"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投标文件载明的免费保修期不低于招标文件规定的期限</w:t>
            </w:r>
          </w:p>
        </w:tc>
        <w:tc>
          <w:tcPr>
            <w:tcW w:w="1842"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sz w:val="24"/>
              </w:rPr>
              <w:t>无偏离</w:t>
            </w:r>
          </w:p>
        </w:tc>
        <w:tc>
          <w:tcPr>
            <w:tcW w:w="1418" w:type="dxa"/>
            <w:vAlign w:val="center"/>
          </w:tcPr>
          <w:p>
            <w:pPr>
              <w:adjustRightInd w:val="0"/>
              <w:snapToGrid w:val="0"/>
              <w:spacing w:line="360" w:lineRule="auto"/>
              <w:jc w:val="center"/>
              <w:rPr>
                <w:rFonts w:ascii="宋体" w:hAnsi="宋体" w:cs="宋体"/>
                <w:kern w:val="0"/>
                <w:szCs w:val="21"/>
              </w:rPr>
            </w:pPr>
          </w:p>
        </w:tc>
      </w:tr>
      <w:tr>
        <w:tblPrEx>
          <w:tblW w:w="8217"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3</w:t>
            </w:r>
          </w:p>
        </w:tc>
        <w:tc>
          <w:tcPr>
            <w:tcW w:w="2664"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招标文件中带“</w:t>
            </w:r>
            <w:r>
              <w:rPr>
                <w:rFonts w:asciiTheme="minorEastAsia" w:hAnsiTheme="minorEastAsia" w:cstheme="minorEastAsia" w:hint="eastAsia"/>
                <w:szCs w:val="21"/>
              </w:rPr>
              <w:t>★</w:t>
            </w:r>
            <w:r>
              <w:rPr>
                <w:rFonts w:asciiTheme="minorEastAsia" w:hAnsiTheme="minorEastAsia" w:cstheme="minorEastAsia" w:hint="eastAsia"/>
                <w:kern w:val="0"/>
                <w:szCs w:val="21"/>
              </w:rPr>
              <w:t>”的技术要求、商务需求或其他要求。</w:t>
            </w:r>
          </w:p>
        </w:tc>
        <w:tc>
          <w:tcPr>
            <w:tcW w:w="1588" w:type="dxa"/>
            <w:vAlign w:val="center"/>
          </w:tcPr>
          <w:p>
            <w:pPr>
              <w:adjustRightInd w:val="0"/>
              <w:snapToGrid w:val="0"/>
              <w:spacing w:line="360" w:lineRule="auto"/>
              <w:jc w:val="center"/>
              <w:rPr>
                <w:rFonts w:ascii="宋体" w:hAnsi="宋体" w:cs="宋体"/>
                <w:kern w:val="0"/>
                <w:szCs w:val="21"/>
              </w:rPr>
            </w:pPr>
            <w:r>
              <w:rPr>
                <w:rFonts w:asciiTheme="minorEastAsia" w:hAnsiTheme="minorEastAsia" w:cstheme="minorEastAsia" w:hint="eastAsia"/>
                <w:kern w:val="0"/>
                <w:szCs w:val="21"/>
              </w:rPr>
              <w:t>招标文件中带“</w:t>
            </w:r>
            <w:r>
              <w:rPr>
                <w:rFonts w:asciiTheme="minorEastAsia" w:hAnsiTheme="minorEastAsia" w:cstheme="minorEastAsia" w:hint="eastAsia"/>
                <w:szCs w:val="21"/>
              </w:rPr>
              <w:t>★</w:t>
            </w:r>
            <w:r>
              <w:rPr>
                <w:rFonts w:asciiTheme="minorEastAsia" w:hAnsiTheme="minorEastAsia" w:cstheme="minorEastAsia" w:hint="eastAsia"/>
                <w:kern w:val="0"/>
                <w:szCs w:val="21"/>
              </w:rPr>
              <w:t>”的技术要求、商务需求或其他要求。</w:t>
            </w:r>
          </w:p>
        </w:tc>
        <w:tc>
          <w:tcPr>
            <w:tcW w:w="1842" w:type="dxa"/>
            <w:vAlign w:val="center"/>
          </w:tcPr>
          <w:p>
            <w:pPr>
              <w:adjustRightInd w:val="0"/>
              <w:snapToGrid w:val="0"/>
              <w:spacing w:line="360" w:lineRule="auto"/>
              <w:jc w:val="center"/>
              <w:rPr>
                <w:rFonts w:ascii="宋体" w:hAnsi="宋体" w:cs="宋体"/>
                <w:kern w:val="0"/>
                <w:szCs w:val="21"/>
              </w:rPr>
            </w:pPr>
            <w:r>
              <w:rPr>
                <w:rFonts w:ascii="宋体" w:hAnsi="宋体" w:cs="宋体" w:hint="eastAsia"/>
                <w:sz w:val="24"/>
              </w:rPr>
              <w:t>无偏离</w:t>
            </w:r>
          </w:p>
        </w:tc>
        <w:tc>
          <w:tcPr>
            <w:tcW w:w="1418" w:type="dxa"/>
            <w:vAlign w:val="center"/>
          </w:tcPr>
          <w:p>
            <w:pPr>
              <w:adjustRightInd w:val="0"/>
              <w:snapToGrid w:val="0"/>
              <w:spacing w:line="360" w:lineRule="auto"/>
              <w:jc w:val="center"/>
              <w:rPr>
                <w:rFonts w:ascii="宋体" w:hAnsi="宋体" w:cs="宋体"/>
                <w:kern w:val="0"/>
                <w:szCs w:val="21"/>
              </w:rPr>
            </w:pPr>
          </w:p>
        </w:tc>
      </w:tr>
    </w:tbl>
    <w:p>
      <w:pPr>
        <w:spacing w:line="360" w:lineRule="auto"/>
        <w:rPr>
          <w:rFonts w:ascii="宋体" w:hAnsi="宋体" w:cs="宋体"/>
          <w:b/>
          <w:sz w:val="24"/>
          <w:szCs w:val="22"/>
        </w:rPr>
      </w:pPr>
    </w:p>
    <w:p>
      <w:pPr>
        <w:spacing w:line="360" w:lineRule="auto"/>
        <w:rPr>
          <w:rFonts w:ascii="宋体" w:hAnsi="宋体" w:cs="宋体"/>
          <w:b/>
          <w:sz w:val="24"/>
        </w:rPr>
      </w:pPr>
      <w:bookmarkEnd w:id="64"/>
      <w:r>
        <w:rPr>
          <w:rFonts w:ascii="宋体" w:hAnsi="宋体" w:cs="宋体" w:hint="eastAsia"/>
          <w:b/>
          <w:sz w:val="24"/>
        </w:rPr>
        <w:t>注：1. 上表所列各项均为不可负偏离条款。</w:t>
      </w:r>
    </w:p>
    <w:p>
      <w:pPr>
        <w:spacing w:line="360" w:lineRule="auto"/>
        <w:rPr>
          <w:rFonts w:ascii="宋体" w:hAnsi="宋体" w:cs="宋体"/>
          <w:b/>
          <w:sz w:val="24"/>
        </w:rPr>
      </w:pPr>
      <w:r>
        <w:rPr>
          <w:rFonts w:ascii="宋体" w:hAnsi="宋体" w:cs="宋体" w:hint="eastAsia"/>
          <w:b/>
          <w:sz w:val="24"/>
        </w:rPr>
        <w:t>2.“投标响应”一栏应当详细填写投标人自身响应情况。</w:t>
      </w:r>
    </w:p>
    <w:p>
      <w:pPr>
        <w:spacing w:line="360" w:lineRule="auto"/>
        <w:rPr>
          <w:rFonts w:ascii="宋体" w:hAnsi="宋体" w:cs="宋体"/>
          <w:b/>
          <w:sz w:val="24"/>
        </w:rPr>
      </w:pPr>
      <w:r>
        <w:rPr>
          <w:rFonts w:ascii="宋体" w:hAnsi="宋体" w:cs="宋体" w:hint="eastAsia"/>
          <w:b/>
          <w:sz w:val="24"/>
        </w:rPr>
        <w:t>3.“偏离情况”一栏应填写“正偏离”、“负偏离”或“无偏离”，“正偏离”表示“投标响应优于实质性条款具体内容要求”，“负偏离”表示“投标响应不满足实质性条款具体内容要求”，“无偏离”表示“投标响应与实质性条款具体内容要求一致”。</w:t>
      </w:r>
    </w:p>
    <w:p>
      <w:pPr>
        <w:spacing w:line="360" w:lineRule="auto"/>
        <w:rPr>
          <w:rFonts w:ascii="宋体" w:hAnsi="宋体" w:cs="宋体"/>
          <w:b/>
          <w:sz w:val="24"/>
        </w:rPr>
      </w:pPr>
      <w:r>
        <w:rPr>
          <w:rFonts w:ascii="宋体" w:hAnsi="宋体" w:cs="宋体" w:hint="eastAsia"/>
          <w:b/>
          <w:sz w:val="24"/>
        </w:rPr>
        <w:t>4.评审委员会有权对投标响应情况作出判断（作出评审结论）。</w:t>
      </w:r>
    </w:p>
    <w:p>
      <w:pPr>
        <w:spacing w:line="360" w:lineRule="auto"/>
        <w:rPr>
          <w:rFonts w:ascii="宋体" w:hAnsi="宋体" w:cs="宋体"/>
          <w:b/>
          <w:sz w:val="24"/>
        </w:rPr>
      </w:pPr>
      <w:r>
        <w:rPr>
          <w:rFonts w:ascii="宋体" w:hAnsi="宋体" w:cs="宋体" w:hint="eastAsia"/>
          <w:b/>
          <w:sz w:val="24"/>
        </w:rPr>
        <w:t>5.实质性响应条款“投标响应情况”与投标文件其它内容冲突的，以实质性响应条款“投标响应情况”为准。</w:t>
      </w:r>
    </w:p>
    <w:p>
      <w:pPr>
        <w:spacing w:line="360" w:lineRule="auto"/>
        <w:rPr>
          <w:rFonts w:ascii="宋体" w:hAnsi="宋体" w:cs="宋体"/>
          <w:b/>
          <w:sz w:val="24"/>
          <w:szCs w:val="22"/>
        </w:rPr>
      </w:pPr>
    </w:p>
    <w:p>
      <w:pPr>
        <w:spacing w:line="360" w:lineRule="auto"/>
        <w:rPr>
          <w:rFonts w:ascii="宋体" w:hAnsi="宋体" w:cs="宋体"/>
        </w:rPr>
      </w:pPr>
    </w:p>
    <w:p>
      <w:pPr>
        <w:spacing w:line="360" w:lineRule="auto"/>
        <w:rPr>
          <w:rFonts w:ascii="宋体" w:hAnsi="宋体" w:cs="宋体"/>
          <w:sz w:val="24"/>
        </w:rPr>
      </w:pPr>
    </w:p>
    <w:p>
      <w:pPr>
        <w:keepNext/>
        <w:keepLines/>
        <w:spacing w:line="360" w:lineRule="auto"/>
        <w:jc w:val="center"/>
        <w:outlineLvl w:val="2"/>
        <w:rPr>
          <w:rFonts w:ascii="宋体" w:hAnsi="宋体" w:cs="宋体"/>
          <w:bCs/>
          <w:sz w:val="24"/>
        </w:rPr>
      </w:pPr>
      <w:r>
        <w:rPr>
          <w:rFonts w:ascii="宋体" w:hAnsi="宋体" w:cs="宋体" w:hint="eastAsia"/>
          <w:bCs/>
          <w:sz w:val="24"/>
        </w:rPr>
        <w:t>五、符合性证明文件</w:t>
      </w:r>
    </w:p>
    <w:p>
      <w:pPr>
        <w:spacing w:line="360" w:lineRule="auto"/>
        <w:jc w:val="center"/>
        <w:rPr>
          <w:rFonts w:asciiTheme="minorEastAsia" w:hAnsiTheme="minorEastAsia" w:cstheme="minorEastAsia"/>
          <w:bCs/>
          <w:color w:val="FF0000"/>
          <w:sz w:val="24"/>
        </w:rPr>
      </w:pPr>
      <w:r>
        <w:rPr>
          <w:rFonts w:asciiTheme="minorEastAsia" w:hAnsiTheme="minorEastAsia" w:cstheme="minorEastAsia" w:hint="eastAsia"/>
          <w:bCs/>
          <w:color w:val="FF0000"/>
          <w:sz w:val="24"/>
        </w:rPr>
        <w:t>（根据招标文件要求提供，格式自拟）</w:t>
      </w:r>
    </w:p>
    <w:p>
      <w:r>
        <w:br w:type="page"/>
      </w:r>
    </w:p>
    <w:p/>
    <w:p/>
    <w:p>
      <w:pPr>
        <w:keepNext/>
        <w:keepLines/>
        <w:spacing w:line="360" w:lineRule="auto"/>
        <w:jc w:val="center"/>
        <w:outlineLvl w:val="2"/>
        <w:rPr>
          <w:rFonts w:ascii="宋体" w:hAnsi="宋体" w:cs="宋体"/>
          <w:bCs/>
          <w:sz w:val="24"/>
        </w:rPr>
      </w:pPr>
      <w:r>
        <w:rPr>
          <w:rFonts w:ascii="宋体" w:eastAsia="宋体" w:hAnsi="宋体" w:cs="宋体" w:hint="eastAsia"/>
          <w:bCs/>
          <w:sz w:val="24"/>
          <w:lang w:eastAsia="zh-CN"/>
        </w:rPr>
        <w:t>六</w:t>
      </w:r>
      <w:r>
        <w:rPr>
          <w:rFonts w:ascii="宋体" w:hAnsi="宋体" w:cs="宋体" w:hint="eastAsia"/>
          <w:bCs/>
          <w:sz w:val="24"/>
        </w:rPr>
        <w:t>、项目需求理解与分析</w:t>
      </w:r>
    </w:p>
    <w:p>
      <w:pPr>
        <w:spacing w:line="360" w:lineRule="auto"/>
        <w:jc w:val="center"/>
        <w:rPr>
          <w:rFonts w:asciiTheme="minorEastAsia" w:hAnsiTheme="minorEastAsia" w:cstheme="minorEastAsia"/>
          <w:bCs/>
          <w:color w:val="FF0000"/>
          <w:sz w:val="24"/>
        </w:rPr>
      </w:pPr>
      <w:r>
        <w:rPr>
          <w:rFonts w:asciiTheme="minorEastAsia" w:hAnsiTheme="minorEastAsia" w:cstheme="minorEastAsia" w:hint="eastAsia"/>
          <w:bCs/>
          <w:color w:val="FF0000"/>
          <w:sz w:val="24"/>
        </w:rPr>
        <w:t>（根据招标文件要求提供，格式自拟）</w:t>
      </w:r>
    </w:p>
    <w:p>
      <w:pPr>
        <w:pStyle w:val="BodyText"/>
      </w:pPr>
    </w:p>
    <w:p/>
    <w:p>
      <w:pPr>
        <w:pStyle w:val="BodyText"/>
      </w:pPr>
    </w:p>
    <w:p/>
    <w:p>
      <w:pPr>
        <w:pStyle w:val="BodyText"/>
      </w:pPr>
    </w:p>
    <w:p>
      <w:pPr>
        <w:keepNext/>
        <w:keepLines/>
        <w:spacing w:line="360" w:lineRule="auto"/>
        <w:jc w:val="center"/>
        <w:outlineLvl w:val="2"/>
        <w:rPr>
          <w:rFonts w:ascii="宋体" w:hAnsi="宋体" w:cs="宋体"/>
          <w:bCs/>
          <w:sz w:val="24"/>
        </w:rPr>
      </w:pPr>
      <w:r>
        <w:rPr>
          <w:rFonts w:ascii="宋体" w:eastAsia="宋体" w:hAnsi="宋体" w:cs="宋体" w:hint="eastAsia"/>
          <w:bCs/>
          <w:sz w:val="24"/>
          <w:lang w:eastAsia="zh-CN"/>
        </w:rPr>
        <w:t>七</w:t>
      </w:r>
      <w:r>
        <w:rPr>
          <w:rFonts w:ascii="宋体" w:hAnsi="宋体" w:cs="宋体" w:hint="eastAsia"/>
          <w:bCs/>
          <w:sz w:val="24"/>
        </w:rPr>
        <w:t>、技术要求偏离表</w:t>
      </w:r>
    </w:p>
    <w:tbl>
      <w:tblPr>
        <w:tblStyle w:val="TableNormal"/>
        <w:tblW w:w="839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46"/>
        <w:gridCol w:w="1020"/>
        <w:gridCol w:w="3204"/>
        <w:gridCol w:w="1500"/>
        <w:gridCol w:w="1255"/>
        <w:gridCol w:w="774"/>
      </w:tblGrid>
      <w:tr>
        <w:tblPrEx>
          <w:tblW w:w="839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70"/>
        </w:trPr>
        <w:tc>
          <w:tcPr>
            <w:tcW w:w="646" w:type="dxa"/>
            <w:vAlign w:val="center"/>
          </w:tcPr>
          <w:p>
            <w:pPr>
              <w:widowControl/>
              <w:spacing w:line="360" w:lineRule="auto"/>
              <w:jc w:val="center"/>
              <w:rPr>
                <w:rFonts w:ascii="宋体" w:hAnsi="宋体" w:cs="宋体"/>
                <w:b/>
                <w:bCs/>
                <w:kern w:val="0"/>
                <w:sz w:val="24"/>
              </w:rPr>
            </w:pPr>
            <w:r>
              <w:rPr>
                <w:rFonts w:ascii="宋体" w:hAnsi="宋体" w:cs="宋体" w:hint="eastAsia"/>
                <w:b/>
                <w:bCs/>
                <w:kern w:val="0"/>
                <w:sz w:val="24"/>
              </w:rPr>
              <w:t>序号</w:t>
            </w:r>
          </w:p>
        </w:tc>
        <w:tc>
          <w:tcPr>
            <w:tcW w:w="1020" w:type="dxa"/>
            <w:vAlign w:val="center"/>
          </w:tcPr>
          <w:p>
            <w:pPr>
              <w:widowControl/>
              <w:spacing w:line="360" w:lineRule="auto"/>
              <w:jc w:val="center"/>
              <w:rPr>
                <w:rFonts w:ascii="宋体" w:hAnsi="宋体" w:cs="宋体"/>
                <w:b/>
                <w:bCs/>
                <w:kern w:val="0"/>
                <w:sz w:val="24"/>
              </w:rPr>
            </w:pPr>
            <w:r>
              <w:rPr>
                <w:rFonts w:ascii="宋体" w:hAnsi="宋体" w:cs="宋体" w:hint="eastAsia"/>
                <w:b/>
                <w:bCs/>
                <w:kern w:val="0"/>
                <w:sz w:val="24"/>
              </w:rPr>
              <w:t>货物名称</w:t>
            </w:r>
          </w:p>
        </w:tc>
        <w:tc>
          <w:tcPr>
            <w:tcW w:w="3204" w:type="dxa"/>
            <w:vAlign w:val="center"/>
          </w:tcPr>
          <w:p>
            <w:pPr>
              <w:widowControl/>
              <w:spacing w:line="360" w:lineRule="auto"/>
              <w:jc w:val="center"/>
              <w:rPr>
                <w:rFonts w:ascii="宋体" w:hAnsi="宋体" w:cs="宋体"/>
                <w:b/>
                <w:bCs/>
                <w:kern w:val="0"/>
                <w:sz w:val="24"/>
              </w:rPr>
            </w:pPr>
            <w:r>
              <w:rPr>
                <w:rFonts w:ascii="宋体" w:hAnsi="宋体" w:cs="宋体" w:hint="eastAsia"/>
                <w:b/>
                <w:bCs/>
                <w:kern w:val="0"/>
                <w:sz w:val="24"/>
              </w:rPr>
              <w:t>招标技术要求</w:t>
            </w:r>
          </w:p>
        </w:tc>
        <w:tc>
          <w:tcPr>
            <w:tcW w:w="1500" w:type="dxa"/>
            <w:vAlign w:val="center"/>
          </w:tcPr>
          <w:p>
            <w:pPr>
              <w:widowControl/>
              <w:spacing w:line="360" w:lineRule="auto"/>
              <w:jc w:val="center"/>
              <w:rPr>
                <w:rFonts w:ascii="宋体" w:hAnsi="宋体" w:cs="宋体" w:hint="eastAsia"/>
                <w:b/>
                <w:bCs/>
                <w:kern w:val="0"/>
                <w:sz w:val="24"/>
              </w:rPr>
            </w:pPr>
            <w:r>
              <w:rPr>
                <w:rFonts w:ascii="宋体" w:hAnsi="宋体" w:cs="宋体" w:hint="eastAsia"/>
                <w:b/>
                <w:bCs/>
                <w:kern w:val="0"/>
                <w:sz w:val="24"/>
              </w:rPr>
              <w:t xml:space="preserve">投标技术响应规格 </w:t>
            </w:r>
          </w:p>
        </w:tc>
        <w:tc>
          <w:tcPr>
            <w:tcW w:w="1255" w:type="dxa"/>
            <w:vAlign w:val="center"/>
          </w:tcPr>
          <w:p>
            <w:pPr>
              <w:widowControl/>
              <w:spacing w:line="360" w:lineRule="auto"/>
              <w:jc w:val="center"/>
              <w:rPr>
                <w:rFonts w:ascii="宋体" w:hAnsi="宋体" w:cs="宋体" w:hint="eastAsia"/>
                <w:b/>
                <w:bCs/>
                <w:kern w:val="0"/>
                <w:sz w:val="24"/>
              </w:rPr>
            </w:pPr>
            <w:r>
              <w:rPr>
                <w:rFonts w:ascii="宋体" w:hAnsi="宋体" w:cs="宋体" w:hint="eastAsia"/>
                <w:b/>
                <w:bCs/>
                <w:kern w:val="0"/>
                <w:sz w:val="24"/>
              </w:rPr>
              <w:t xml:space="preserve">偏离情况 </w:t>
            </w:r>
          </w:p>
        </w:tc>
        <w:tc>
          <w:tcPr>
            <w:tcW w:w="774" w:type="dxa"/>
            <w:vAlign w:val="center"/>
          </w:tcPr>
          <w:p>
            <w:pPr>
              <w:widowControl/>
              <w:spacing w:line="360" w:lineRule="auto"/>
              <w:jc w:val="center"/>
              <w:rPr>
                <w:rFonts w:ascii="宋体" w:hAnsi="宋体" w:cs="宋体" w:hint="eastAsia"/>
                <w:b/>
                <w:bCs/>
                <w:kern w:val="0"/>
                <w:sz w:val="24"/>
              </w:rPr>
            </w:pPr>
            <w:r>
              <w:rPr>
                <w:rFonts w:ascii="宋体" w:hAnsi="宋体" w:cs="宋体" w:hint="eastAsia"/>
                <w:b/>
                <w:bCs/>
                <w:kern w:val="0"/>
                <w:sz w:val="24"/>
              </w:rPr>
              <w:t xml:space="preserve">说明 </w:t>
            </w:r>
          </w:p>
        </w:tc>
      </w:tr>
      <w:tr>
        <w:tblPrEx>
          <w:tblW w:w="8399" w:type="dxa"/>
          <w:tblInd w:w="121" w:type="dxa"/>
          <w:tblLayout w:type="fixed"/>
          <w:tblCellMar>
            <w:top w:w="0" w:type="dxa"/>
            <w:left w:w="108" w:type="dxa"/>
            <w:bottom w:w="0" w:type="dxa"/>
            <w:right w:w="108" w:type="dxa"/>
          </w:tblCellMar>
        </w:tblPrEx>
        <w:trPr>
          <w:trHeight w:val="367"/>
        </w:trPr>
        <w:tc>
          <w:tcPr>
            <w:tcW w:w="646" w:type="dxa"/>
            <w:vMerge w:val="restart"/>
            <w:vAlign w:val="center"/>
          </w:tcPr>
          <w:p>
            <w:pPr>
              <w:spacing w:line="360" w:lineRule="auto"/>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1</w:t>
            </w:r>
          </w:p>
        </w:tc>
        <w:tc>
          <w:tcPr>
            <w:tcW w:w="1020" w:type="dxa"/>
            <w:vMerge w:val="restart"/>
            <w:vAlign w:val="center"/>
          </w:tcPr>
          <w:p>
            <w:pPr>
              <w:spacing w:line="360" w:lineRule="auto"/>
              <w:jc w:val="center"/>
              <w:rPr>
                <w:rFonts w:asciiTheme="minorEastAsia" w:eastAsiaTheme="minorEastAsia" w:hAnsiTheme="minorEastAsia"/>
                <w:b/>
                <w:bCs/>
                <w:kern w:val="0"/>
              </w:rPr>
            </w:pPr>
            <w:r>
              <w:rPr>
                <w:rFonts w:asciiTheme="minorEastAsia" w:eastAsiaTheme="minorEastAsia" w:hAnsiTheme="minorEastAsia" w:hint="eastAsia"/>
                <w:b/>
                <w:bCs/>
              </w:rPr>
              <w:t>电子支气管镜</w:t>
            </w:r>
          </w:p>
        </w:tc>
        <w:tc>
          <w:tcPr>
            <w:tcW w:w="3204" w:type="dxa"/>
          </w:tcPr>
          <w:p>
            <w:pPr>
              <w:jc w:val="left"/>
              <w:rPr>
                <w:rFonts w:asciiTheme="minorEastAsia" w:eastAsiaTheme="minorEastAsia" w:hAnsiTheme="minorEastAsia" w:cstheme="minorEastAsia" w:hint="eastAsia"/>
                <w:kern w:val="0"/>
                <w:sz w:val="21"/>
                <w:szCs w:val="21"/>
                <w:lang w:eastAsia="zh-CN"/>
              </w:rPr>
            </w:pPr>
            <w:r>
              <w:rPr>
                <w:rFonts w:asciiTheme="minorEastAsia" w:eastAsiaTheme="minorEastAsia" w:hAnsiTheme="minorEastAsia" w:cstheme="minorEastAsia" w:hint="eastAsia"/>
                <w:bCs/>
                <w:sz w:val="21"/>
                <w:szCs w:val="21"/>
              </w:rPr>
              <w:t>1．视野角：≥120°</w:t>
            </w:r>
            <w:r>
              <w:rPr>
                <w:rFonts w:asciiTheme="minorEastAsia" w:eastAsiaTheme="minorEastAsia" w:hAnsiTheme="minorEastAsia" w:cstheme="minorEastAsia" w:hint="eastAsia"/>
                <w:bCs/>
                <w:sz w:val="21"/>
                <w:szCs w:val="21"/>
                <w:lang w:eastAsia="zh-CN"/>
              </w:rPr>
              <w:t>；</w:t>
            </w:r>
          </w:p>
        </w:tc>
        <w:tc>
          <w:tcPr>
            <w:tcW w:w="1500" w:type="dxa"/>
          </w:tcPr>
          <w:p>
            <w:pPr>
              <w:jc w:val="left"/>
              <w:rPr>
                <w:rFonts w:asciiTheme="minorEastAsia" w:eastAsiaTheme="minorEastAsia" w:hAnsiTheme="minorEastAsia" w:cstheme="minorEastAsia" w:hint="eastAsia"/>
                <w:bCs/>
                <w:sz w:val="21"/>
                <w:szCs w:val="21"/>
              </w:rPr>
            </w:pPr>
          </w:p>
        </w:tc>
        <w:tc>
          <w:tcPr>
            <w:tcW w:w="1255" w:type="dxa"/>
          </w:tcPr>
          <w:p>
            <w:pPr>
              <w:jc w:val="left"/>
              <w:rPr>
                <w:rFonts w:asciiTheme="minorEastAsia" w:eastAsiaTheme="minorEastAsia" w:hAnsiTheme="minorEastAsia" w:cstheme="minorEastAsia" w:hint="eastAsia"/>
                <w:bCs/>
                <w:sz w:val="21"/>
                <w:szCs w:val="21"/>
              </w:rPr>
            </w:pPr>
          </w:p>
        </w:tc>
        <w:tc>
          <w:tcPr>
            <w:tcW w:w="774" w:type="dxa"/>
          </w:tcPr>
          <w:p>
            <w:pPr>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70"/>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pStyle w:val="CommentText"/>
              <w:rPr>
                <w:rFonts w:asciiTheme="minorEastAsia" w:eastAsiaTheme="minorEastAsia" w:hAnsiTheme="minorEastAsia" w:cstheme="minorEastAsia" w:hint="eastAsia"/>
                <w:sz w:val="21"/>
                <w:szCs w:val="21"/>
                <w:lang w:eastAsia="zh-CN"/>
              </w:rPr>
            </w:pPr>
            <w:r>
              <w:rPr>
                <w:rFonts w:asciiTheme="minorEastAsia" w:eastAsiaTheme="minorEastAsia" w:hAnsiTheme="minorEastAsia" w:cstheme="minorEastAsia" w:hint="eastAsia"/>
                <w:bCs/>
                <w:kern w:val="2"/>
                <w:sz w:val="21"/>
                <w:szCs w:val="21"/>
              </w:rPr>
              <w:t>2.▲景深：3-100mm。（投标产品参数应同时包含此范围最大值及最小值）</w:t>
            </w:r>
            <w:r>
              <w:rPr>
                <w:rFonts w:asciiTheme="minorEastAsia" w:eastAsiaTheme="minorEastAsia" w:hAnsiTheme="minorEastAsia" w:cstheme="minorEastAsia" w:hint="eastAsia"/>
                <w:b/>
                <w:bCs w:val="0"/>
                <w:color w:val="FF0000"/>
                <w:kern w:val="2"/>
                <w:sz w:val="21"/>
                <w:szCs w:val="21"/>
              </w:rPr>
              <w:t>（提供产品彩页或说明书或技术白皮书证明材料）</w:t>
            </w:r>
            <w:r>
              <w:rPr>
                <w:rFonts w:asciiTheme="minorEastAsia" w:eastAsiaTheme="minorEastAsia" w:hAnsiTheme="minorEastAsia" w:cstheme="minorEastAsia" w:hint="eastAsia"/>
                <w:b/>
                <w:bCs w:val="0"/>
                <w:color w:val="FF0000"/>
                <w:kern w:val="2"/>
                <w:sz w:val="21"/>
                <w:szCs w:val="21"/>
                <w:lang w:eastAsia="zh-CN"/>
              </w:rPr>
              <w:t>；</w:t>
            </w:r>
          </w:p>
        </w:tc>
        <w:tc>
          <w:tcPr>
            <w:tcW w:w="1500" w:type="dxa"/>
          </w:tcPr>
          <w:p>
            <w:pPr>
              <w:pStyle w:val="CommentText"/>
              <w:rPr>
                <w:rFonts w:asciiTheme="minorEastAsia" w:eastAsiaTheme="minorEastAsia" w:hAnsiTheme="minorEastAsia" w:cstheme="minorEastAsia" w:hint="eastAsia"/>
                <w:bCs/>
                <w:kern w:val="2"/>
                <w:sz w:val="21"/>
                <w:szCs w:val="21"/>
              </w:rPr>
            </w:pPr>
          </w:p>
        </w:tc>
        <w:tc>
          <w:tcPr>
            <w:tcW w:w="1255" w:type="dxa"/>
          </w:tcPr>
          <w:p>
            <w:pPr>
              <w:pStyle w:val="CommentText"/>
              <w:rPr>
                <w:rFonts w:asciiTheme="minorEastAsia" w:eastAsiaTheme="minorEastAsia" w:hAnsiTheme="minorEastAsia" w:cstheme="minorEastAsia" w:hint="eastAsia"/>
                <w:bCs/>
                <w:kern w:val="2"/>
                <w:sz w:val="21"/>
                <w:szCs w:val="21"/>
              </w:rPr>
            </w:pPr>
          </w:p>
        </w:tc>
        <w:tc>
          <w:tcPr>
            <w:tcW w:w="774" w:type="dxa"/>
          </w:tcPr>
          <w:p>
            <w:pPr>
              <w:pStyle w:val="CommentText"/>
              <w:rPr>
                <w:rFonts w:asciiTheme="minorEastAsia" w:eastAsiaTheme="minorEastAsia" w:hAnsiTheme="minorEastAsia" w:cstheme="minorEastAsia" w:hint="eastAsia"/>
                <w:bCs/>
                <w:kern w:val="2"/>
                <w:sz w:val="21"/>
                <w:szCs w:val="21"/>
              </w:rPr>
            </w:pPr>
          </w:p>
        </w:tc>
      </w:tr>
      <w:tr>
        <w:tblPrEx>
          <w:tblW w:w="8399" w:type="dxa"/>
          <w:tblInd w:w="121" w:type="dxa"/>
          <w:tblLayout w:type="fixed"/>
          <w:tblCellMar>
            <w:top w:w="0" w:type="dxa"/>
            <w:left w:w="108" w:type="dxa"/>
            <w:bottom w:w="0" w:type="dxa"/>
            <w:right w:w="108" w:type="dxa"/>
          </w:tblCellMar>
        </w:tblPrEx>
        <w:trPr>
          <w:trHeight w:val="470"/>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kern w:val="0"/>
                <w:sz w:val="21"/>
                <w:szCs w:val="21"/>
                <w:lang w:eastAsia="zh-CN"/>
              </w:rPr>
            </w:pPr>
            <w:r>
              <w:rPr>
                <w:rFonts w:asciiTheme="minorEastAsia" w:eastAsiaTheme="minorEastAsia" w:hAnsiTheme="minorEastAsia" w:cstheme="minorEastAsia" w:hint="eastAsia"/>
                <w:bCs/>
                <w:color w:val="auto"/>
                <w:sz w:val="21"/>
                <w:szCs w:val="21"/>
              </w:rPr>
              <w:t>3.插入部外径≤3.8mm，数量：3条；插入部外径≤2.8mm；数量：1条</w:t>
            </w:r>
            <w:r>
              <w:rPr>
                <w:rFonts w:asciiTheme="minorEastAsia" w:eastAsiaTheme="minorEastAsia" w:hAnsiTheme="minorEastAsia" w:cstheme="minorEastAsia" w:hint="eastAsia"/>
                <w:bCs/>
                <w:color w:val="auto"/>
                <w:sz w:val="21"/>
                <w:szCs w:val="21"/>
                <w:lang w:eastAsia="zh-CN"/>
              </w:rPr>
              <w:t>；</w:t>
            </w:r>
          </w:p>
        </w:tc>
        <w:tc>
          <w:tcPr>
            <w:tcW w:w="1500" w:type="dxa"/>
          </w:tcPr>
          <w:p>
            <w:pPr>
              <w:widowControl/>
              <w:jc w:val="left"/>
              <w:rPr>
                <w:rFonts w:asciiTheme="minorEastAsia" w:eastAsiaTheme="minorEastAsia" w:hAnsiTheme="minorEastAsia" w:cstheme="minorEastAsia" w:hint="eastAsia"/>
                <w:bCs/>
                <w:color w:val="auto"/>
                <w:sz w:val="21"/>
                <w:szCs w:val="21"/>
              </w:rPr>
            </w:pPr>
          </w:p>
        </w:tc>
        <w:tc>
          <w:tcPr>
            <w:tcW w:w="1255" w:type="dxa"/>
          </w:tcPr>
          <w:p>
            <w:pPr>
              <w:widowControl/>
              <w:jc w:val="left"/>
              <w:rPr>
                <w:rFonts w:asciiTheme="minorEastAsia" w:eastAsiaTheme="minorEastAsia" w:hAnsiTheme="minorEastAsia" w:cstheme="minorEastAsia" w:hint="eastAsia"/>
                <w:bCs/>
                <w:color w:val="auto"/>
                <w:sz w:val="21"/>
                <w:szCs w:val="21"/>
              </w:rPr>
            </w:pPr>
          </w:p>
        </w:tc>
        <w:tc>
          <w:tcPr>
            <w:tcW w:w="774" w:type="dxa"/>
          </w:tcPr>
          <w:p>
            <w:pPr>
              <w:widowControl/>
              <w:jc w:val="left"/>
              <w:rPr>
                <w:rFonts w:asciiTheme="minorEastAsia" w:eastAsiaTheme="minorEastAsia" w:hAnsiTheme="minorEastAsia" w:cstheme="minorEastAsia" w:hint="eastAsia"/>
                <w:bCs/>
                <w:color w:val="auto"/>
                <w:sz w:val="21"/>
                <w:szCs w:val="21"/>
              </w:rPr>
            </w:pPr>
          </w:p>
        </w:tc>
      </w:tr>
      <w:tr>
        <w:tblPrEx>
          <w:tblW w:w="8399" w:type="dxa"/>
          <w:tblInd w:w="121" w:type="dxa"/>
          <w:tblLayout w:type="fixed"/>
          <w:tblCellMar>
            <w:top w:w="0" w:type="dxa"/>
            <w:left w:w="108" w:type="dxa"/>
            <w:bottom w:w="0" w:type="dxa"/>
            <w:right w:w="108" w:type="dxa"/>
          </w:tblCellMar>
        </w:tblPrEx>
        <w:trPr>
          <w:trHeight w:val="470"/>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kern w:val="0"/>
                <w:sz w:val="21"/>
                <w:szCs w:val="21"/>
                <w:lang w:eastAsia="zh-CN"/>
              </w:rPr>
            </w:pPr>
            <w:r>
              <w:rPr>
                <w:rFonts w:asciiTheme="minorEastAsia" w:eastAsiaTheme="minorEastAsia" w:hAnsiTheme="minorEastAsia" w:cstheme="minorEastAsia" w:hint="eastAsia"/>
                <w:bCs/>
                <w:sz w:val="21"/>
                <w:szCs w:val="21"/>
              </w:rPr>
              <w:t>4.工作长度≥600mm</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70"/>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rPr>
                <w:rFonts w:asciiTheme="minorEastAsia" w:eastAsiaTheme="minorEastAsia" w:hAnsiTheme="minorEastAsia" w:cstheme="minorEastAsia" w:hint="eastAsia"/>
                <w:b/>
                <w:kern w:val="0"/>
                <w:sz w:val="21"/>
                <w:szCs w:val="21"/>
              </w:rPr>
            </w:pPr>
            <w:r>
              <w:rPr>
                <w:rFonts w:asciiTheme="minorEastAsia" w:eastAsiaTheme="minorEastAsia" w:hAnsiTheme="minorEastAsia" w:cstheme="minorEastAsia" w:hint="eastAsia"/>
                <w:bCs/>
                <w:sz w:val="21"/>
                <w:szCs w:val="21"/>
              </w:rPr>
              <w:t>5. ▲弯曲角度：上≥210°，下≥130°</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rPr>
                <w:rFonts w:asciiTheme="minorEastAsia" w:eastAsiaTheme="minorEastAsia" w:hAnsiTheme="minorEastAsia" w:cstheme="minorEastAsia" w:hint="eastAsia"/>
                <w:bCs/>
                <w:sz w:val="21"/>
                <w:szCs w:val="21"/>
              </w:rPr>
            </w:pPr>
          </w:p>
        </w:tc>
        <w:tc>
          <w:tcPr>
            <w:tcW w:w="1255" w:type="dxa"/>
          </w:tcPr>
          <w:p>
            <w:pPr>
              <w:rPr>
                <w:rFonts w:asciiTheme="minorEastAsia" w:eastAsiaTheme="minorEastAsia" w:hAnsiTheme="minorEastAsia" w:cstheme="minorEastAsia" w:hint="eastAsia"/>
                <w:bCs/>
                <w:sz w:val="21"/>
                <w:szCs w:val="21"/>
              </w:rPr>
            </w:pPr>
          </w:p>
        </w:tc>
        <w:tc>
          <w:tcPr>
            <w:tcW w:w="774" w:type="dxa"/>
          </w:tcPr>
          <w:p>
            <w:pPr>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70"/>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6.▲钳道管道：≥2.0mm</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70"/>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kern w:val="0"/>
                <w:sz w:val="21"/>
                <w:szCs w:val="21"/>
                <w:lang w:eastAsia="zh-CN"/>
              </w:rPr>
            </w:pPr>
            <w:r>
              <w:rPr>
                <w:rFonts w:asciiTheme="minorEastAsia" w:eastAsiaTheme="minorEastAsia" w:hAnsiTheme="minorEastAsia" w:cstheme="minorEastAsia" w:hint="eastAsia"/>
                <w:bCs/>
                <w:sz w:val="21"/>
                <w:szCs w:val="21"/>
              </w:rPr>
              <w:t>7.最小可视距离先端≤3mm</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371"/>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8.▲PVE接头</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Cs/>
                <w:sz w:val="21"/>
                <w:szCs w:val="21"/>
              </w:rPr>
              <w:t>180°旋转</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321"/>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9.内镜可控制图像冻结、采集、存储</w:t>
            </w:r>
            <w:r>
              <w:rPr>
                <w:rFonts w:asciiTheme="minorEastAsia" w:eastAsiaTheme="minorEastAsia" w:hAnsiTheme="minorEastAsia" w:cstheme="minorEastAsia" w:hint="eastAsia"/>
                <w:bCs/>
                <w:sz w:val="21"/>
                <w:szCs w:val="21"/>
                <w:lang w:eastAsia="zh-CN"/>
              </w:rPr>
              <w:t>（包括但不限于）；</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257"/>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kern w:val="0"/>
                <w:sz w:val="21"/>
                <w:szCs w:val="21"/>
              </w:rPr>
            </w:pPr>
            <w:r>
              <w:rPr>
                <w:rFonts w:asciiTheme="minorEastAsia" w:eastAsiaTheme="minorEastAsia" w:hAnsiTheme="minorEastAsia" w:cstheme="minorEastAsia" w:hint="eastAsia"/>
                <w:bCs/>
                <w:sz w:val="21"/>
                <w:szCs w:val="21"/>
              </w:rPr>
              <w:t>10.▲导光缆、电子接口一体化设计</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257"/>
        </w:trPr>
        <w:tc>
          <w:tcPr>
            <w:tcW w:w="646" w:type="dxa"/>
            <w:vMerge/>
            <w:vAlign w:val="center"/>
          </w:tcPr>
          <w:p>
            <w:pPr>
              <w:spacing w:line="360" w:lineRule="auto"/>
              <w:jc w:val="center"/>
              <w:rPr>
                <w:rFonts w:asciiTheme="minorEastAsia" w:eastAsiaTheme="minorEastAsia" w:hAnsiTheme="minorEastAsia" w:cs="宋体"/>
                <w:b/>
                <w:kern w:val="0"/>
              </w:rPr>
            </w:pPr>
          </w:p>
        </w:tc>
        <w:tc>
          <w:tcPr>
            <w:tcW w:w="1020" w:type="dxa"/>
            <w:vMerge/>
            <w:vAlign w:val="center"/>
          </w:tcPr>
          <w:p>
            <w:pPr>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11.</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bCs/>
                <w:sz w:val="21"/>
                <w:szCs w:val="21"/>
              </w:rPr>
              <w:t>电子支气管镜能与医院电子支气管镜系统主机接口相匹配。</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217"/>
        </w:trPr>
        <w:tc>
          <w:tcPr>
            <w:tcW w:w="646" w:type="dxa"/>
            <w:vMerge w:val="restart"/>
            <w:vAlign w:val="center"/>
          </w:tcPr>
          <w:p>
            <w:pPr>
              <w:widowControl/>
              <w:spacing w:line="360" w:lineRule="auto"/>
              <w:jc w:val="center"/>
              <w:rPr>
                <w:rFonts w:asciiTheme="minorEastAsia" w:eastAsiaTheme="minorEastAsia" w:hAnsiTheme="minorEastAsia" w:cs="宋体"/>
                <w:b/>
                <w:kern w:val="0"/>
              </w:rPr>
            </w:pPr>
            <w:r>
              <w:rPr>
                <w:rFonts w:asciiTheme="minorEastAsia" w:eastAsiaTheme="minorEastAsia" w:hAnsiTheme="minorEastAsia" w:cs="宋体"/>
                <w:b/>
                <w:kern w:val="0"/>
              </w:rPr>
              <w:t>2</w:t>
            </w:r>
          </w:p>
        </w:tc>
        <w:tc>
          <w:tcPr>
            <w:tcW w:w="1020" w:type="dxa"/>
            <w:vMerge w:val="restart"/>
            <w:vAlign w:val="center"/>
          </w:tcPr>
          <w:p>
            <w:pPr>
              <w:widowControl/>
              <w:spacing w:line="360" w:lineRule="auto"/>
              <w:jc w:val="center"/>
              <w:rPr>
                <w:rFonts w:asciiTheme="minorEastAsia" w:eastAsiaTheme="minorEastAsia" w:hAnsiTheme="minorEastAsia"/>
                <w:kern w:val="0"/>
              </w:rPr>
            </w:pPr>
            <w:r>
              <w:rPr>
                <w:rFonts w:asciiTheme="minorEastAsia" w:eastAsiaTheme="minorEastAsia" w:hAnsiTheme="minorEastAsia" w:hint="eastAsia"/>
                <w:b/>
              </w:rPr>
              <w:t>食道镜</w:t>
            </w:r>
          </w:p>
        </w:tc>
        <w:tc>
          <w:tcPr>
            <w:tcW w:w="3204" w:type="dxa"/>
          </w:tcPr>
          <w:p>
            <w:pPr>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▲1</w:t>
            </w:r>
            <w:r>
              <w:rPr>
                <w:rFonts w:asciiTheme="minorEastAsia" w:eastAsiaTheme="minorEastAsia" w:hAnsiTheme="minorEastAsia" w:cstheme="minorEastAsia" w:hint="eastAsia"/>
                <w:bCs/>
                <w:sz w:val="21"/>
                <w:szCs w:val="21"/>
                <w:lang w:val="en-US" w:eastAsia="zh-CN"/>
              </w:rPr>
              <w:t>.</w:t>
            </w:r>
            <w:r>
              <w:rPr>
                <w:rFonts w:asciiTheme="minorEastAsia" w:eastAsiaTheme="minorEastAsia" w:hAnsiTheme="minorEastAsia" w:cstheme="minorEastAsia" w:hint="eastAsia"/>
                <w:bCs/>
                <w:sz w:val="21"/>
                <w:szCs w:val="21"/>
              </w:rPr>
              <w:t xml:space="preserve"> 钳头应经热处理，硬度为411～504HV0.2</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sz w:val="21"/>
                <w:szCs w:val="21"/>
              </w:rPr>
              <w:t>（投标产品参数应同时包含此范围最大值及最小值）</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jc w:val="left"/>
              <w:rPr>
                <w:rFonts w:asciiTheme="minorEastAsia" w:eastAsiaTheme="minorEastAsia" w:hAnsiTheme="minorEastAsia" w:cstheme="minorEastAsia" w:hint="eastAsia"/>
                <w:bCs/>
                <w:sz w:val="21"/>
                <w:szCs w:val="21"/>
              </w:rPr>
            </w:pPr>
          </w:p>
        </w:tc>
        <w:tc>
          <w:tcPr>
            <w:tcW w:w="1255" w:type="dxa"/>
          </w:tcPr>
          <w:p>
            <w:pPr>
              <w:jc w:val="left"/>
              <w:rPr>
                <w:rFonts w:asciiTheme="minorEastAsia" w:eastAsiaTheme="minorEastAsia" w:hAnsiTheme="minorEastAsia" w:cstheme="minorEastAsia" w:hint="eastAsia"/>
                <w:bCs/>
                <w:sz w:val="21"/>
                <w:szCs w:val="21"/>
              </w:rPr>
            </w:pPr>
          </w:p>
        </w:tc>
        <w:tc>
          <w:tcPr>
            <w:tcW w:w="774" w:type="dxa"/>
          </w:tcPr>
          <w:p>
            <w:pPr>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vAlign w:val="center"/>
          </w:tcPr>
          <w:p>
            <w:pPr>
              <w:widowControl/>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2</w:t>
            </w:r>
            <w:r>
              <w:rPr>
                <w:rFonts w:asciiTheme="minorEastAsia" w:eastAsiaTheme="minorEastAsia" w:hAnsiTheme="minorEastAsia" w:cstheme="minorEastAsia" w:hint="eastAsia"/>
                <w:bCs/>
                <w:sz w:val="21"/>
                <w:szCs w:val="21"/>
                <w:lang w:val="en-US" w:eastAsia="zh-CN"/>
              </w:rPr>
              <w:t>.</w:t>
            </w:r>
            <w:r>
              <w:rPr>
                <w:rFonts w:asciiTheme="minorEastAsia" w:eastAsiaTheme="minorEastAsia" w:hAnsiTheme="minorEastAsia" w:cstheme="minorEastAsia" w:hint="eastAsia"/>
                <w:bCs/>
                <w:sz w:val="21"/>
                <w:szCs w:val="21"/>
              </w:rPr>
              <w:t xml:space="preserve"> 钳头二片应相互吻合，不得有错口、偏摆现象，钳齿应清晰完整，不得有缺齿、烂齿、毛齿等缺陷，闭合时无过头现象</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vAlign w:val="center"/>
          </w:tcPr>
          <w:p>
            <w:pPr>
              <w:widowControl/>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eastAsia="zh-CN"/>
              </w:rPr>
              <w:t>3.</w:t>
            </w:r>
            <w:r>
              <w:rPr>
                <w:rFonts w:asciiTheme="minorEastAsia" w:eastAsiaTheme="minorEastAsia" w:hAnsiTheme="minorEastAsia" w:cstheme="minorEastAsia" w:hint="eastAsia"/>
                <w:bCs/>
                <w:sz w:val="21"/>
                <w:szCs w:val="21"/>
              </w:rPr>
              <w:t>手术钳钳头的张开度</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35°</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vAlign w:val="center"/>
          </w:tcPr>
          <w:p>
            <w:pPr>
              <w:widowControl/>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lang w:val="en-US" w:eastAsia="zh-CN"/>
              </w:rPr>
              <w:t>4.</w:t>
            </w:r>
            <w:r>
              <w:rPr>
                <w:rFonts w:asciiTheme="minorEastAsia" w:eastAsiaTheme="minorEastAsia" w:hAnsiTheme="minorEastAsia" w:cstheme="minorEastAsia" w:hint="eastAsia"/>
                <w:bCs/>
                <w:sz w:val="21"/>
                <w:szCs w:val="21"/>
              </w:rPr>
              <w:t>钳头部夹持力</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15N</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bCs/>
                <w:sz w:val="21"/>
                <w:szCs w:val="21"/>
                <w:lang w:val="en-US" w:eastAsia="zh-CN"/>
              </w:rPr>
            </w:pPr>
          </w:p>
        </w:tc>
        <w:tc>
          <w:tcPr>
            <w:tcW w:w="1255" w:type="dxa"/>
          </w:tcPr>
          <w:p>
            <w:pPr>
              <w:widowControl/>
              <w:jc w:val="left"/>
              <w:rPr>
                <w:rFonts w:asciiTheme="minorEastAsia" w:eastAsiaTheme="minorEastAsia" w:hAnsiTheme="minorEastAsia" w:cstheme="minorEastAsia" w:hint="eastAsia"/>
                <w:bCs/>
                <w:sz w:val="21"/>
                <w:szCs w:val="21"/>
                <w:lang w:val="en-US" w:eastAsia="zh-CN"/>
              </w:rPr>
            </w:pPr>
          </w:p>
        </w:tc>
        <w:tc>
          <w:tcPr>
            <w:tcW w:w="774" w:type="dxa"/>
          </w:tcPr>
          <w:p>
            <w:pPr>
              <w:widowControl/>
              <w:jc w:val="left"/>
              <w:rPr>
                <w:rFonts w:asciiTheme="minorEastAsia" w:eastAsiaTheme="minorEastAsia" w:hAnsiTheme="minorEastAsia" w:cstheme="minorEastAsia" w:hint="eastAsia"/>
                <w:bCs/>
                <w:sz w:val="21"/>
                <w:szCs w:val="21"/>
                <w:lang w:val="en-US" w:eastAsia="zh-CN"/>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vAlign w:val="center"/>
          </w:tcPr>
          <w:p>
            <w:pPr>
              <w:widowControl/>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eastAsia="zh-CN"/>
              </w:rPr>
              <w:t>5.</w:t>
            </w:r>
            <w:r>
              <w:rPr>
                <w:rFonts w:asciiTheme="minorEastAsia" w:eastAsiaTheme="minorEastAsia" w:hAnsiTheme="minorEastAsia" w:cstheme="minorEastAsia" w:hint="eastAsia"/>
                <w:bCs/>
                <w:sz w:val="21"/>
                <w:szCs w:val="21"/>
              </w:rPr>
              <w:t>食道镜管及器械的外表面应光滑，杆和管部应平直，其表面粗糙度Ra值为：钳头和钳杆</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0.80μm、其余部位</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bCs/>
                <w:sz w:val="21"/>
                <w:szCs w:val="21"/>
              </w:rPr>
              <w:t>1.60μm</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bCs/>
                <w:sz w:val="21"/>
                <w:szCs w:val="21"/>
              </w:rPr>
            </w:pPr>
          </w:p>
        </w:tc>
        <w:tc>
          <w:tcPr>
            <w:tcW w:w="1255" w:type="dxa"/>
          </w:tcPr>
          <w:p>
            <w:pPr>
              <w:widowControl/>
              <w:jc w:val="left"/>
              <w:rPr>
                <w:rFonts w:asciiTheme="minorEastAsia" w:eastAsiaTheme="minorEastAsia" w:hAnsiTheme="minorEastAsia" w:cstheme="minorEastAsia" w:hint="eastAsia"/>
                <w:bCs/>
                <w:sz w:val="21"/>
                <w:szCs w:val="21"/>
              </w:rPr>
            </w:pPr>
          </w:p>
        </w:tc>
        <w:tc>
          <w:tcPr>
            <w:tcW w:w="774" w:type="dxa"/>
          </w:tcPr>
          <w:p>
            <w:pPr>
              <w:widowControl/>
              <w:jc w:val="left"/>
              <w:rPr>
                <w:rFonts w:asciiTheme="minorEastAsia" w:eastAsiaTheme="minorEastAsia" w:hAnsiTheme="minorEastAsia" w:cstheme="minorEastAsia" w:hint="eastAsia"/>
                <w:bCs/>
                <w:sz w:val="21"/>
                <w:szCs w:val="21"/>
              </w:rPr>
            </w:pPr>
          </w:p>
        </w:tc>
      </w:tr>
      <w:tr>
        <w:tblPrEx>
          <w:tblW w:w="8399" w:type="dxa"/>
          <w:tblInd w:w="121" w:type="dxa"/>
          <w:tblLayout w:type="fixed"/>
          <w:tblCellMar>
            <w:top w:w="0" w:type="dxa"/>
            <w:left w:w="108" w:type="dxa"/>
            <w:bottom w:w="0" w:type="dxa"/>
            <w:right w:w="108" w:type="dxa"/>
          </w:tblCellMar>
        </w:tblPrEx>
        <w:trPr>
          <w:trHeight w:val="70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vAlign w:val="center"/>
          </w:tcPr>
          <w:p>
            <w:pPr>
              <w:widowControl/>
              <w:spacing w:line="360" w:lineRule="auto"/>
              <w:jc w:val="center"/>
              <w:rPr>
                <w:rFonts w:asciiTheme="minorEastAsia" w:eastAsiaTheme="minorEastAsia" w:hAnsiTheme="minorEastAsia"/>
                <w:kern w:val="0"/>
              </w:rPr>
            </w:pPr>
          </w:p>
        </w:tc>
        <w:tc>
          <w:tcPr>
            <w:tcW w:w="3204" w:type="dxa"/>
          </w:tcPr>
          <w:p>
            <w:pPr>
              <w:widowControl/>
              <w:jc w:val="left"/>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lang w:val="en-US" w:eastAsia="zh-CN"/>
              </w:rPr>
              <w:t>6.</w:t>
            </w:r>
            <w:r>
              <w:rPr>
                <w:rFonts w:asciiTheme="minorEastAsia" w:eastAsiaTheme="minorEastAsia" w:hAnsiTheme="minorEastAsia" w:cstheme="minorEastAsia" w:hint="eastAsia"/>
                <w:bCs/>
                <w:sz w:val="21"/>
                <w:szCs w:val="21"/>
              </w:rPr>
              <w:t>器械的配合性能要求：食道镜与食道手柄插拔自如，无卡滞现象</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Cs/>
                <w:sz w:val="21"/>
                <w:szCs w:val="21"/>
              </w:rPr>
              <w:t>钳子能顺利插入相应规格型号食道镜内</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bCs/>
                <w:sz w:val="21"/>
                <w:szCs w:val="21"/>
                <w:lang w:val="en-US" w:eastAsia="zh-CN"/>
              </w:rPr>
            </w:pPr>
          </w:p>
        </w:tc>
        <w:tc>
          <w:tcPr>
            <w:tcW w:w="1255" w:type="dxa"/>
          </w:tcPr>
          <w:p>
            <w:pPr>
              <w:widowControl/>
              <w:jc w:val="left"/>
              <w:rPr>
                <w:rFonts w:asciiTheme="minorEastAsia" w:eastAsiaTheme="minorEastAsia" w:hAnsiTheme="minorEastAsia" w:cstheme="minorEastAsia" w:hint="eastAsia"/>
                <w:bCs/>
                <w:sz w:val="21"/>
                <w:szCs w:val="21"/>
                <w:lang w:val="en-US" w:eastAsia="zh-CN"/>
              </w:rPr>
            </w:pPr>
          </w:p>
        </w:tc>
        <w:tc>
          <w:tcPr>
            <w:tcW w:w="774" w:type="dxa"/>
          </w:tcPr>
          <w:p>
            <w:pPr>
              <w:widowControl/>
              <w:jc w:val="left"/>
              <w:rPr>
                <w:rFonts w:asciiTheme="minorEastAsia" w:eastAsiaTheme="minorEastAsia" w:hAnsiTheme="minorEastAsia" w:cstheme="minorEastAsia" w:hint="eastAsia"/>
                <w:bCs/>
                <w:sz w:val="21"/>
                <w:szCs w:val="21"/>
                <w:lang w:val="en-US" w:eastAsia="zh-CN"/>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restart"/>
            <w:vAlign w:val="center"/>
          </w:tcPr>
          <w:p>
            <w:pPr>
              <w:widowControl/>
              <w:spacing w:line="360" w:lineRule="auto"/>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3</w:t>
            </w:r>
          </w:p>
        </w:tc>
        <w:tc>
          <w:tcPr>
            <w:tcW w:w="1020" w:type="dxa"/>
            <w:vMerge w:val="restart"/>
          </w:tcPr>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widowControl/>
              <w:spacing w:line="360" w:lineRule="auto"/>
              <w:jc w:val="left"/>
              <w:rPr>
                <w:rFonts w:asciiTheme="minorEastAsia" w:eastAsiaTheme="minorEastAsia" w:hAnsiTheme="minorEastAsia"/>
                <w:b/>
              </w:rPr>
            </w:pPr>
          </w:p>
          <w:p>
            <w:pPr>
              <w:pStyle w:val="BodyText"/>
            </w:pPr>
          </w:p>
          <w:p/>
          <w:p>
            <w:pPr>
              <w:widowControl/>
              <w:spacing w:line="360" w:lineRule="auto"/>
              <w:jc w:val="left"/>
              <w:rPr>
                <w:rFonts w:asciiTheme="minorEastAsia" w:eastAsiaTheme="minorEastAsia" w:hAnsiTheme="minorEastAsia" w:cs="宋体"/>
                <w:b/>
                <w:kern w:val="0"/>
              </w:rPr>
            </w:pPr>
            <w:r>
              <w:rPr>
                <w:rFonts w:asciiTheme="minorEastAsia" w:eastAsiaTheme="minorEastAsia" w:hAnsiTheme="minorEastAsia" w:hint="eastAsia"/>
                <w:b/>
              </w:rPr>
              <w:t>纤维支气管镜</w:t>
            </w: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1.软性电子支气管镜工作软管有效长度≥600mm</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b/>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2.▲插入部外径Ø≤5.8mm，先端部外径Ø≤5.8mm</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3.工作通道内径Ø≥2.8mm</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4.前端蛇骨弯曲角度：左右双向≥120°，向上≥180°，向下≥130°；</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5.视野角（FOV）≥120°，视野方向（DOV）直视</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6. ▲景深3mm~100mm</w:t>
            </w:r>
            <w:r>
              <w:rPr>
                <w:rFonts w:asciiTheme="minorEastAsia" w:eastAsiaTheme="minorEastAsia" w:hAnsiTheme="minorEastAsia" w:cstheme="minorEastAsia" w:hint="eastAsia"/>
                <w:b/>
                <w:bCs/>
                <w:sz w:val="21"/>
                <w:szCs w:val="21"/>
              </w:rPr>
              <w:t>（投标产品参数应同时包含此范围最大值及最小值）</w:t>
            </w:r>
            <w:r>
              <w:rPr>
                <w:rFonts w:asciiTheme="minorEastAsia" w:eastAsiaTheme="minorEastAsia" w:hAnsiTheme="minorEastAsia" w:cstheme="minorEastAsia" w:hint="eastAsia"/>
                <w:bCs/>
                <w:sz w:val="21"/>
                <w:szCs w:val="21"/>
                <w:lang w:eastAsia="zh-CN"/>
              </w:rPr>
              <w:t>；</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7.前置LED光源，光源寿命≥5000小时，前向内置全密封防水</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8.高功率LED光源光照度≥6000Lux，无频闪效应</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9.高清摄像头，前向内置CMOS高清摄像头,CMOS尺寸≤1.1025mm²</w:t>
            </w:r>
            <w:r>
              <w:rPr>
                <w:rFonts w:asciiTheme="minorEastAsia" w:eastAsiaTheme="minorEastAsia" w:hAnsiTheme="minorEastAsia" w:cstheme="minorEastAsia" w:hint="eastAsia"/>
                <w:bCs/>
                <w:sz w:val="21"/>
                <w:szCs w:val="21"/>
                <w:lang w:eastAsia="zh-CN"/>
              </w:rPr>
              <w:t>；</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10.高清CMOS像素≥400×400，输出≥1080P图像。</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11. 镜体旋转左右双向≥120°，进行支气管镜插入部在腔内自由旋转</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365"/>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12.镜体手柄弯曲操控部手控半径R≤30mm</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13. ▲操控部手柄遥控按钮≥2个功能按键，可进行</w:t>
            </w:r>
            <w:r>
              <w:rPr>
                <w:rFonts w:asciiTheme="minorEastAsia" w:eastAsiaTheme="minorEastAsia" w:hAnsiTheme="minorEastAsia" w:cstheme="minorEastAsia" w:hint="eastAsia"/>
                <w:sz w:val="21"/>
                <w:szCs w:val="21"/>
                <w:lang w:eastAsia="zh-CN"/>
              </w:rPr>
              <w:t>包含但不限于</w:t>
            </w:r>
            <w:r>
              <w:rPr>
                <w:rFonts w:asciiTheme="minorEastAsia" w:eastAsiaTheme="minorEastAsia" w:hAnsiTheme="minorEastAsia" w:cstheme="minorEastAsia" w:hint="eastAsia"/>
                <w:sz w:val="21"/>
                <w:szCs w:val="21"/>
              </w:rPr>
              <w:t>图像摄录，图像冻结，解除冻结，图像放大等预设功能。</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r>
        <w:tblPrEx>
          <w:tblW w:w="8399" w:type="dxa"/>
          <w:tblInd w:w="121" w:type="dxa"/>
          <w:tblLayout w:type="fixed"/>
          <w:tblCellMar>
            <w:top w:w="0" w:type="dxa"/>
            <w:left w:w="108" w:type="dxa"/>
            <w:bottom w:w="0" w:type="dxa"/>
            <w:right w:w="108" w:type="dxa"/>
          </w:tblCellMar>
        </w:tblPrEx>
        <w:trPr>
          <w:trHeight w:val="450"/>
        </w:trPr>
        <w:tc>
          <w:tcPr>
            <w:tcW w:w="646" w:type="dxa"/>
            <w:vMerge/>
            <w:vAlign w:val="center"/>
          </w:tcPr>
          <w:p>
            <w:pPr>
              <w:widowControl/>
              <w:spacing w:line="360" w:lineRule="auto"/>
              <w:jc w:val="center"/>
              <w:rPr>
                <w:rFonts w:asciiTheme="minorEastAsia" w:eastAsiaTheme="minorEastAsia" w:hAnsiTheme="minorEastAsia" w:cs="宋体"/>
                <w:b/>
                <w:kern w:val="0"/>
              </w:rPr>
            </w:pPr>
          </w:p>
        </w:tc>
        <w:tc>
          <w:tcPr>
            <w:tcW w:w="1020" w:type="dxa"/>
            <w:vMerge/>
          </w:tcPr>
          <w:p>
            <w:pPr>
              <w:widowControl/>
              <w:spacing w:line="360" w:lineRule="auto"/>
              <w:jc w:val="left"/>
              <w:rPr>
                <w:rFonts w:asciiTheme="minorEastAsia" w:eastAsiaTheme="minorEastAsia" w:hAnsiTheme="minorEastAsia" w:cs="宋体"/>
                <w:b/>
                <w:kern w:val="0"/>
              </w:rPr>
            </w:pPr>
          </w:p>
        </w:tc>
        <w:tc>
          <w:tcPr>
            <w:tcW w:w="3204" w:type="dxa"/>
          </w:tcPr>
          <w:p>
            <w:pPr>
              <w:widowControl/>
              <w:jc w:val="left"/>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14. ▲功能按键的图像缩放功能≥4种，缩小放大效果，在原默认国际标准图像（2.0倍）基础上，包含但不限于缩小至1.5倍，1.0倍，放大2.5倍，3.0倍。</w:t>
            </w:r>
            <w:r>
              <w:rPr>
                <w:rFonts w:asciiTheme="minorEastAsia" w:eastAsiaTheme="minorEastAsia" w:hAnsiTheme="minorEastAsia" w:cstheme="minorEastAsia" w:hint="eastAsia"/>
                <w:b/>
                <w:bCs/>
                <w:color w:val="FF0000"/>
                <w:sz w:val="21"/>
                <w:szCs w:val="21"/>
              </w:rPr>
              <w:t>（提供产品彩页或说明书或技术白皮书证明材料）</w:t>
            </w:r>
          </w:p>
        </w:tc>
        <w:tc>
          <w:tcPr>
            <w:tcW w:w="1500" w:type="dxa"/>
          </w:tcPr>
          <w:p>
            <w:pPr>
              <w:widowControl/>
              <w:jc w:val="left"/>
              <w:rPr>
                <w:rFonts w:asciiTheme="minorEastAsia" w:eastAsiaTheme="minorEastAsia" w:hAnsiTheme="minorEastAsia" w:cstheme="minorEastAsia" w:hint="eastAsia"/>
                <w:sz w:val="21"/>
                <w:szCs w:val="21"/>
              </w:rPr>
            </w:pPr>
          </w:p>
        </w:tc>
        <w:tc>
          <w:tcPr>
            <w:tcW w:w="1255" w:type="dxa"/>
          </w:tcPr>
          <w:p>
            <w:pPr>
              <w:widowControl/>
              <w:jc w:val="left"/>
              <w:rPr>
                <w:rFonts w:asciiTheme="minorEastAsia" w:eastAsiaTheme="minorEastAsia" w:hAnsiTheme="minorEastAsia" w:cstheme="minorEastAsia" w:hint="eastAsia"/>
                <w:sz w:val="21"/>
                <w:szCs w:val="21"/>
              </w:rPr>
            </w:pPr>
          </w:p>
        </w:tc>
        <w:tc>
          <w:tcPr>
            <w:tcW w:w="774" w:type="dxa"/>
          </w:tcPr>
          <w:p>
            <w:pPr>
              <w:widowControl/>
              <w:jc w:val="left"/>
              <w:rPr>
                <w:rFonts w:asciiTheme="minorEastAsia" w:eastAsiaTheme="minorEastAsia" w:hAnsiTheme="minorEastAsia" w:cstheme="minorEastAsia" w:hint="eastAsia"/>
                <w:sz w:val="21"/>
                <w:szCs w:val="21"/>
              </w:rPr>
            </w:pPr>
          </w:p>
        </w:tc>
      </w:tr>
    </w:tbl>
    <w:p>
      <w:pPr>
        <w:spacing w:line="360" w:lineRule="auto"/>
        <w:rPr>
          <w:rFonts w:ascii="宋体" w:hAnsi="宋体" w:cs="宋体"/>
          <w:sz w:val="24"/>
        </w:rPr>
      </w:pPr>
    </w:p>
    <w:p>
      <w:pPr>
        <w:spacing w:line="360" w:lineRule="auto"/>
        <w:rPr>
          <w:rFonts w:ascii="宋体" w:hAnsi="宋体" w:cs="宋体"/>
          <w:sz w:val="24"/>
        </w:rPr>
      </w:pPr>
      <w:bookmarkStart w:id="71" w:name="_Hlk72095977"/>
    </w:p>
    <w:p>
      <w:pPr>
        <w:spacing w:line="360" w:lineRule="auto"/>
        <w:rPr>
          <w:rFonts w:ascii="宋体" w:hAnsi="宋体" w:cs="宋体"/>
          <w:b/>
          <w:sz w:val="24"/>
        </w:rPr>
      </w:pPr>
      <w:r>
        <w:rPr>
          <w:rFonts w:ascii="宋体" w:hAnsi="宋体" w:cs="宋体" w:hint="eastAsia"/>
          <w:sz w:val="24"/>
        </w:rPr>
        <w:t>证明资料【如有的话，提供的证明资料应统一编号（排序），格式自定】</w:t>
      </w:r>
      <w:bookmarkEnd w:id="71"/>
      <w:r>
        <w:rPr>
          <w:rFonts w:ascii="宋体" w:hAnsi="宋体" w:cs="宋体" w:hint="eastAsia"/>
          <w:sz w:val="24"/>
        </w:rPr>
        <w:t>：</w:t>
      </w:r>
    </w:p>
    <w:p>
      <w:pPr>
        <w:spacing w:line="360" w:lineRule="auto"/>
        <w:rPr>
          <w:rFonts w:ascii="宋体" w:hAnsi="宋体" w:cs="宋体"/>
          <w:b/>
          <w:sz w:val="24"/>
        </w:rPr>
      </w:pPr>
    </w:p>
    <w:p>
      <w:pPr>
        <w:spacing w:line="360" w:lineRule="auto"/>
        <w:rPr>
          <w:rFonts w:ascii="宋体" w:hAnsi="宋体" w:cs="宋体"/>
          <w:b/>
          <w:sz w:val="24"/>
        </w:rPr>
      </w:pPr>
      <w:r>
        <w:rPr>
          <w:rFonts w:ascii="宋体" w:hAnsi="宋体" w:cs="宋体" w:hint="eastAsia"/>
          <w:b/>
          <w:sz w:val="24"/>
        </w:rPr>
        <w:t>《技术要求偏离表》编制指引：</w:t>
      </w:r>
    </w:p>
    <w:p>
      <w:pPr>
        <w:spacing w:line="360" w:lineRule="auto"/>
        <w:rPr>
          <w:rFonts w:ascii="宋体" w:hAnsi="宋体" w:cs="宋体"/>
          <w:b/>
          <w:sz w:val="24"/>
        </w:rPr>
      </w:pPr>
      <w:r>
        <w:rPr>
          <w:rFonts w:ascii="宋体" w:hAnsi="宋体" w:cs="宋体" w:hint="eastAsia"/>
          <w:b/>
          <w:sz w:val="24"/>
        </w:rPr>
        <w:t>1、技术要求偏离表的序号、货物名称、招标技术要求等栏目</w:t>
      </w:r>
      <w:bookmarkStart w:id="72" w:name="_Hlk72094407"/>
      <w:r>
        <w:rPr>
          <w:rFonts w:ascii="宋体" w:hAnsi="宋体" w:cs="宋体" w:hint="eastAsia"/>
          <w:b/>
          <w:sz w:val="24"/>
        </w:rPr>
        <w:t>对应“用户需求书”中的“技术要求”章节</w:t>
      </w:r>
      <w:bookmarkEnd w:id="72"/>
      <w:r>
        <w:rPr>
          <w:rFonts w:ascii="宋体" w:hAnsi="宋体" w:cs="宋体" w:hint="eastAsia"/>
          <w:b/>
          <w:sz w:val="24"/>
        </w:rPr>
        <w:t>相关内容。</w:t>
      </w:r>
    </w:p>
    <w:p>
      <w:pPr>
        <w:spacing w:line="360" w:lineRule="auto"/>
        <w:rPr>
          <w:rFonts w:ascii="宋体" w:hAnsi="宋体" w:cs="宋体"/>
          <w:b/>
          <w:sz w:val="24"/>
        </w:rPr>
      </w:pPr>
      <w:r>
        <w:rPr>
          <w:rFonts w:ascii="宋体" w:hAnsi="宋体" w:cs="宋体" w:hint="eastAsia"/>
          <w:b/>
          <w:sz w:val="24"/>
        </w:rPr>
        <w:t>2、“投标技术响应规格”一栏必须一一对照“招标技术要求”，详细填写投标人自身投标货物的具体参数，以体现具体响应情况。</w:t>
      </w:r>
    </w:p>
    <w:p>
      <w:pPr>
        <w:spacing w:line="360" w:lineRule="auto"/>
        <w:rPr>
          <w:rFonts w:ascii="宋体" w:hAnsi="宋体" w:cs="宋体"/>
          <w:b/>
          <w:sz w:val="24"/>
        </w:rPr>
      </w:pPr>
      <w:r>
        <w:rPr>
          <w:rFonts w:ascii="宋体" w:hAnsi="宋体" w:cs="宋体" w:hint="eastAsia"/>
          <w:b/>
          <w:sz w:val="24"/>
        </w:rPr>
        <w:t>3、</w:t>
      </w:r>
      <w:bookmarkStart w:id="73" w:name="_Hlk72158270"/>
      <w:r>
        <w:rPr>
          <w:rFonts w:ascii="宋体" w:hAnsi="宋体" w:cs="宋体" w:hint="eastAsia"/>
          <w:b/>
          <w:sz w:val="24"/>
        </w:rPr>
        <w:t>“偏离情况”</w:t>
      </w:r>
      <w:bookmarkEnd w:id="73"/>
      <w:r>
        <w:rPr>
          <w:rFonts w:ascii="宋体" w:hAnsi="宋体" w:cs="宋体" w:hint="eastAsia"/>
          <w:b/>
          <w:sz w:val="24"/>
        </w:rPr>
        <w:t>一栏填写如实填写“正偏离”、“负偏离”或“无偏离”，其中：</w:t>
      </w:r>
      <w:bookmarkStart w:id="74" w:name="_Hlk72093866"/>
      <w:r>
        <w:rPr>
          <w:rFonts w:ascii="宋体" w:hAnsi="宋体" w:cs="宋体" w:hint="eastAsia"/>
          <w:b/>
          <w:sz w:val="24"/>
        </w:rPr>
        <w:t>“正偏离”表示“投标响应优于招标技术要求”，“负偏离”表示“投标响应不满足招标技术要求”，“无偏离”表示“投标响应与招标技术要求一致”</w:t>
      </w:r>
      <w:bookmarkEnd w:id="74"/>
      <w:r>
        <w:rPr>
          <w:rFonts w:ascii="宋体" w:hAnsi="宋体" w:cs="宋体" w:hint="eastAsia"/>
          <w:b/>
          <w:sz w:val="24"/>
        </w:rPr>
        <w:t>。“投标技术响应规格”对比“招标技术要求”存在响应不全（包括未响应整项招标技术要求或者未响应一项招标技术要求的部分内容），均视为“负偏离”。</w:t>
      </w:r>
    </w:p>
    <w:p>
      <w:pPr>
        <w:spacing w:line="360" w:lineRule="auto"/>
        <w:rPr>
          <w:rFonts w:ascii="宋体" w:hAnsi="宋体" w:cs="宋体"/>
          <w:b/>
          <w:sz w:val="24"/>
        </w:rPr>
      </w:pPr>
      <w:r>
        <w:rPr>
          <w:rFonts w:ascii="宋体" w:hAnsi="宋体" w:cs="宋体" w:hint="eastAsia"/>
          <w:b/>
          <w:sz w:val="24"/>
        </w:rPr>
        <w:t>4、未要求提供证明资料的招标技术要求，可以不提供证明资料（如实响应即可）。</w:t>
      </w:r>
    </w:p>
    <w:p>
      <w:pPr>
        <w:spacing w:line="360" w:lineRule="auto"/>
        <w:rPr>
          <w:rFonts w:ascii="宋体" w:hAnsi="宋体" w:cs="宋体"/>
          <w:b/>
          <w:sz w:val="24"/>
        </w:rPr>
      </w:pPr>
      <w:r>
        <w:rPr>
          <w:rFonts w:ascii="宋体" w:hAnsi="宋体" w:cs="宋体" w:hint="eastAsia"/>
          <w:b/>
          <w:sz w:val="24"/>
        </w:rPr>
        <w:t>5、</w:t>
      </w:r>
      <w:bookmarkStart w:id="75" w:name="_Hlk72096106"/>
      <w:r>
        <w:rPr>
          <w:rFonts w:ascii="宋体" w:hAnsi="宋体" w:cs="宋体" w:hint="eastAsia"/>
          <w:b/>
          <w:sz w:val="24"/>
        </w:rPr>
        <w:t>证明资料条款响应要求</w:t>
      </w:r>
      <w:bookmarkEnd w:id="75"/>
      <w:r>
        <w:rPr>
          <w:rFonts w:ascii="宋体" w:hAnsi="宋体" w:cs="宋体" w:hint="eastAsia"/>
          <w:b/>
          <w:sz w:val="24"/>
        </w:rPr>
        <w:t>：要求提供证明资料（且已对证明资料的形式、内容作出明确要求）进行响应的条款，应当在“说明”一栏中列明是否提供了符合要求的证明资料，以及所提供证明资料在表后“证明资料”中的编号（位置）,以便评审；</w:t>
      </w:r>
      <w:bookmarkStart w:id="76" w:name="_Hlk73558782"/>
      <w:r>
        <w:rPr>
          <w:rFonts w:ascii="宋体" w:hAnsi="宋体" w:cs="宋体"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77" w:name="_Hlk73558164"/>
      <w:r>
        <w:rPr>
          <w:rFonts w:ascii="宋体" w:hAnsi="宋体" w:cs="宋体" w:hint="eastAsia"/>
          <w:b/>
          <w:sz w:val="24"/>
        </w:rPr>
        <w:t>且投标人在“偏离情况”一栏响应为“正偏离”或“无偏离”的，经评审委员会认定，将判定为负偏离。</w:t>
      </w:r>
      <w:bookmarkEnd w:id="76"/>
      <w:bookmarkEnd w:id="77"/>
    </w:p>
    <w:p>
      <w:pPr>
        <w:spacing w:line="360" w:lineRule="auto"/>
        <w:rPr>
          <w:rFonts w:ascii="宋体" w:hAnsi="宋体" w:cs="宋体"/>
          <w:b/>
          <w:sz w:val="24"/>
        </w:rPr>
      </w:pPr>
      <w:r>
        <w:rPr>
          <w:rFonts w:ascii="宋体" w:hAnsi="宋体" w:cs="宋体" w:hint="eastAsia"/>
          <w:b/>
          <w:sz w:val="24"/>
        </w:rPr>
        <w:t>6、</w:t>
      </w:r>
      <w:bookmarkStart w:id="78" w:name="_Hlk72096137"/>
      <w:r>
        <w:rPr>
          <w:rFonts w:ascii="宋体" w:hAnsi="宋体" w:cs="宋体" w:hint="eastAsia"/>
          <w:b/>
          <w:sz w:val="24"/>
        </w:rPr>
        <w:t>表后“证明资料”部分内容的编制</w:t>
      </w:r>
      <w:bookmarkEnd w:id="78"/>
      <w:r>
        <w:rPr>
          <w:rFonts w:ascii="宋体" w:hAnsi="宋体" w:cs="宋体" w:hint="eastAsia"/>
          <w:b/>
          <w:sz w:val="24"/>
        </w:rPr>
        <w:t>：提供的所有证明资料应当统一编号（排序），且证明资料的编号（顺序）、数量和名称（形式）均应与“说明”一栏所填内容保持一致（一一对应），以便评审委员会查看。</w:t>
      </w:r>
      <w:bookmarkStart w:id="79" w:name="_Hlk73558180"/>
      <w:r>
        <w:rPr>
          <w:rFonts w:ascii="宋体" w:hAnsi="宋体" w:cs="宋体" w:hint="eastAsia"/>
          <w:b/>
          <w:sz w:val="24"/>
        </w:rPr>
        <w:t>未按照招标文件要求在表后放置证明材料的供应商将承担不利后果，经评审委员会认定，相关技术要求将判定为负偏离。</w:t>
      </w:r>
      <w:bookmarkEnd w:id="79"/>
    </w:p>
    <w:p>
      <w:pPr>
        <w:spacing w:line="360" w:lineRule="auto"/>
        <w:rPr>
          <w:rFonts w:ascii="宋体" w:hAnsi="宋体" w:cs="宋体"/>
          <w:b/>
          <w:sz w:val="24"/>
        </w:rPr>
      </w:pPr>
      <w:r>
        <w:rPr>
          <w:rFonts w:ascii="宋体" w:hAnsi="宋体" w:cs="宋体" w:hint="eastAsia"/>
          <w:b/>
          <w:sz w:val="24"/>
        </w:rPr>
        <w:t>7、</w:t>
      </w:r>
      <w:bookmarkStart w:id="80" w:name="_Hlk72096176"/>
      <w:r>
        <w:rPr>
          <w:rFonts w:ascii="宋体" w:hAnsi="宋体" w:cs="宋体" w:hint="eastAsia"/>
          <w:b/>
          <w:sz w:val="24"/>
        </w:rPr>
        <w:t>证明资料的形式及其它具体要求</w:t>
      </w:r>
      <w:bookmarkEnd w:id="80"/>
      <w:r>
        <w:rPr>
          <w:rFonts w:ascii="宋体" w:hAnsi="宋体" w:cs="宋体" w:hint="eastAsia"/>
          <w:b/>
          <w:sz w:val="24"/>
        </w:rPr>
        <w:t>：</w:t>
      </w:r>
    </w:p>
    <w:p>
      <w:pPr>
        <w:spacing w:line="360" w:lineRule="auto"/>
        <w:rPr>
          <w:rFonts w:ascii="宋体" w:hAnsi="宋体" w:cs="宋体"/>
          <w:b/>
          <w:sz w:val="24"/>
        </w:rPr>
      </w:pPr>
      <w:r>
        <w:rPr>
          <w:rFonts w:ascii="宋体" w:hAnsi="宋体" w:cs="宋体" w:hint="eastAsia"/>
          <w:b/>
          <w:sz w:val="24"/>
        </w:rPr>
        <w:t>（1）除照片、图片（截图）及不需加盖公章的文字说明（技术说明）外，其它证明资料均要求为原件扫描件；</w:t>
      </w:r>
    </w:p>
    <w:p>
      <w:pPr>
        <w:spacing w:line="360" w:lineRule="auto"/>
        <w:rPr>
          <w:rFonts w:ascii="宋体" w:hAnsi="宋体" w:cs="宋体"/>
          <w:b/>
          <w:sz w:val="24"/>
        </w:rPr>
      </w:pPr>
      <w:r>
        <w:rPr>
          <w:rFonts w:ascii="宋体" w:hAnsi="宋体" w:cs="宋体" w:hint="eastAsia"/>
          <w:b/>
          <w:sz w:val="24"/>
        </w:rPr>
        <w:t>（2）提供证明资料的形式包括但不限于：a.制造商公布（出具）的产品说明书、产品彩页；b.我国政府机构出具的产品检验和核准证件等；c.第三方机构出具的检测（检验、测试）报告、认证证书等；已对证明资料的形式、内容作出具体要求的，必须严格按要求的形式、内容提供证明资料；</w:t>
      </w:r>
    </w:p>
    <w:p>
      <w:pPr>
        <w:spacing w:line="360" w:lineRule="auto"/>
        <w:rPr>
          <w:rFonts w:ascii="宋体" w:hAnsi="宋体" w:cs="宋体"/>
          <w:b/>
          <w:sz w:val="24"/>
        </w:rPr>
      </w:pPr>
      <w:r>
        <w:rPr>
          <w:rFonts w:ascii="宋体" w:hAnsi="宋体" w:cs="宋体" w:hint="eastAsia"/>
          <w:b/>
          <w:sz w:val="24"/>
        </w:rPr>
        <w:t>（3）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spacing w:line="360" w:lineRule="auto"/>
        <w:rPr>
          <w:rFonts w:ascii="宋体" w:hAnsi="宋体" w:cs="宋体"/>
          <w:b/>
          <w:sz w:val="24"/>
        </w:rPr>
      </w:pPr>
      <w:r>
        <w:rPr>
          <w:rFonts w:ascii="宋体" w:hAnsi="宋体" w:cs="宋体" w:hint="eastAsia"/>
          <w:b/>
          <w:sz w:val="24"/>
        </w:rPr>
        <w:t>我国政府机构出具的产品检验和核准证件应为证件正面、背面和附件标注的全部具体内容；产品检验和核准证件的尺寸和清晰度应该能够在电脑上被阅读、识别和判断；</w:t>
      </w:r>
    </w:p>
    <w:p>
      <w:pPr>
        <w:spacing w:line="360" w:lineRule="auto"/>
        <w:rPr>
          <w:rFonts w:ascii="宋体" w:hAnsi="宋体" w:cs="宋体"/>
          <w:b/>
          <w:sz w:val="24"/>
        </w:rPr>
      </w:pPr>
      <w:r>
        <w:rPr>
          <w:rFonts w:ascii="宋体" w:hAnsi="宋体" w:cs="宋体" w:hint="eastAsia"/>
          <w:b/>
          <w:sz w:val="24"/>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pPr>
        <w:spacing w:line="360" w:lineRule="auto"/>
        <w:rPr>
          <w:rFonts w:ascii="宋体" w:hAnsi="宋体" w:cs="宋体"/>
          <w:b/>
          <w:sz w:val="24"/>
        </w:rPr>
      </w:pPr>
      <w:r>
        <w:rPr>
          <w:rFonts w:ascii="宋体" w:hAnsi="宋体" w:cs="宋体" w:hint="eastAsia"/>
          <w:b/>
          <w:sz w:val="24"/>
        </w:rPr>
        <w:t>其它证明资料的形式要求参照以上要求执行；</w:t>
      </w:r>
    </w:p>
    <w:p>
      <w:pPr>
        <w:spacing w:line="360" w:lineRule="auto"/>
        <w:rPr>
          <w:rFonts w:ascii="宋体" w:hAnsi="宋体" w:cs="宋体"/>
          <w:b/>
          <w:sz w:val="24"/>
        </w:rPr>
      </w:pPr>
      <w:r>
        <w:rPr>
          <w:rFonts w:ascii="宋体" w:hAnsi="宋体" w:cs="宋体" w:hint="eastAsia"/>
          <w:b/>
          <w:sz w:val="24"/>
        </w:rPr>
        <w:t>（4）证明资料均要求原件备查。</w:t>
      </w:r>
    </w:p>
    <w:p>
      <w:pPr>
        <w:spacing w:line="360" w:lineRule="auto"/>
        <w:rPr>
          <w:rFonts w:ascii="宋体" w:hAnsi="宋体" w:cs="宋体"/>
          <w:b/>
          <w:sz w:val="24"/>
        </w:rPr>
      </w:pPr>
      <w:r>
        <w:rPr>
          <w:rFonts w:ascii="宋体" w:hAnsi="宋体" w:cs="宋体" w:hint="eastAsia"/>
          <w:b/>
          <w:sz w:val="24"/>
        </w:rPr>
        <w:t>8、其它注意事项：</w:t>
      </w:r>
    </w:p>
    <w:p>
      <w:pPr>
        <w:spacing w:line="360" w:lineRule="auto"/>
        <w:rPr>
          <w:rFonts w:ascii="宋体" w:hAnsi="宋体" w:cs="宋体"/>
          <w:b/>
          <w:sz w:val="24"/>
        </w:rPr>
      </w:pPr>
      <w:r>
        <w:rPr>
          <w:rFonts w:ascii="宋体" w:hAnsi="宋体" w:cs="宋体" w:hint="eastAsia"/>
          <w:b/>
          <w:sz w:val="24"/>
        </w:rPr>
        <w:t>（1）评审委员会有权对投标人的响应情况作出判断（评审结论）；</w:t>
      </w:r>
    </w:p>
    <w:p>
      <w:pPr>
        <w:spacing w:line="360" w:lineRule="auto"/>
        <w:rPr>
          <w:rFonts w:ascii="宋体" w:hAnsi="宋体" w:cs="宋体"/>
          <w:sz w:val="24"/>
        </w:rPr>
      </w:pPr>
      <w:r>
        <w:rPr>
          <w:rFonts w:ascii="宋体" w:hAnsi="宋体" w:cs="宋体" w:hint="eastAsia"/>
          <w:b/>
          <w:sz w:val="24"/>
        </w:rPr>
        <w:t>（2）</w:t>
      </w:r>
      <w:bookmarkStart w:id="81" w:name="_Hlk72158213"/>
      <w:r>
        <w:rPr>
          <w:rFonts w:ascii="宋体" w:hAnsi="宋体" w:cs="宋体" w:hint="eastAsia"/>
          <w:b/>
          <w:sz w:val="24"/>
        </w:rPr>
        <w:t>评审委员会有权对以谋取中标为目的的技术规格模糊响应（如有意不合理照搬照抄招标文件的技术要求）或虚假响应予以认定，并视情况经政府集中采购机构报主管部门进行处理。</w:t>
      </w:r>
      <w:bookmarkEnd w:id="81"/>
    </w:p>
    <w:p>
      <w:pPr>
        <w:rPr>
          <w:rFonts w:ascii="宋体" w:hAnsi="宋体" w:cs="宋体"/>
          <w:sz w:val="24"/>
          <w:szCs w:val="20"/>
        </w:rPr>
      </w:pPr>
      <w:r>
        <w:rPr>
          <w:rFonts w:ascii="宋体" w:hAnsi="宋体" w:cs="宋体" w:hint="eastAsia"/>
          <w:sz w:val="24"/>
          <w:szCs w:val="20"/>
        </w:rPr>
        <w:br w:type="page"/>
      </w:r>
    </w:p>
    <w:p>
      <w:pPr>
        <w:keepNext/>
        <w:keepLines/>
        <w:numPr>
          <w:ilvl w:val="0"/>
          <w:numId w:val="0"/>
        </w:numPr>
        <w:spacing w:line="360" w:lineRule="auto"/>
        <w:jc w:val="center"/>
        <w:outlineLvl w:val="2"/>
        <w:rPr>
          <w:rFonts w:ascii="宋体" w:hAnsi="宋体" w:cs="宋体" w:hint="eastAsia"/>
          <w:sz w:val="24"/>
          <w:szCs w:val="20"/>
        </w:rPr>
      </w:pPr>
      <w:r>
        <w:rPr>
          <w:rFonts w:ascii="宋体" w:eastAsia="宋体" w:hAnsi="宋体" w:cs="宋体" w:hint="eastAsia"/>
          <w:sz w:val="24"/>
          <w:szCs w:val="20"/>
          <w:lang w:eastAsia="zh-CN"/>
        </w:rPr>
        <w:t>八、</w:t>
      </w:r>
      <w:r>
        <w:rPr>
          <w:rFonts w:ascii="宋体" w:hAnsi="宋体" w:cs="宋体" w:hint="eastAsia"/>
          <w:sz w:val="24"/>
          <w:szCs w:val="20"/>
        </w:rPr>
        <w:t>商务要求偏离表</w:t>
      </w:r>
    </w:p>
    <w:tbl>
      <w:tblPr>
        <w:tblStyle w:val="TableNormal"/>
        <w:tblW w:w="88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93"/>
        <w:gridCol w:w="960"/>
        <w:gridCol w:w="2780"/>
        <w:gridCol w:w="1870"/>
        <w:gridCol w:w="1402"/>
        <w:gridCol w:w="1208"/>
      </w:tblGrid>
      <w:tr>
        <w:tblPrEx>
          <w:tblW w:w="88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67"/>
          <w:jc w:val="center"/>
        </w:trPr>
        <w:tc>
          <w:tcPr>
            <w:tcW w:w="593"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序号</w:t>
            </w:r>
          </w:p>
        </w:tc>
        <w:tc>
          <w:tcPr>
            <w:tcW w:w="960" w:type="dxa"/>
            <w:tcBorders>
              <w:top w:val="single" w:sz="4" w:space="0" w:color="auto"/>
              <w:left w:val="nil"/>
              <w:bottom w:val="single" w:sz="4" w:space="0" w:color="auto"/>
              <w:right w:val="single" w:sz="4" w:space="0" w:color="auto"/>
            </w:tcBorders>
            <w:vAlign w:val="center"/>
          </w:tcPr>
          <w:p>
            <w:pPr>
              <w:jc w:val="center"/>
              <w:rPr>
                <w:rFonts w:ascii="宋体" w:hAnsi="宋体"/>
                <w:b/>
                <w:bCs/>
              </w:rPr>
            </w:pPr>
            <w:r>
              <w:rPr>
                <w:rFonts w:ascii="宋体" w:hAnsi="宋体" w:hint="eastAsia"/>
                <w:b/>
                <w:bCs/>
              </w:rPr>
              <w:t>目录</w:t>
            </w:r>
          </w:p>
        </w:tc>
        <w:tc>
          <w:tcPr>
            <w:tcW w:w="2780" w:type="dxa"/>
            <w:tcBorders>
              <w:top w:val="single" w:sz="4" w:space="0" w:color="auto"/>
              <w:left w:val="nil"/>
              <w:bottom w:val="single" w:sz="4" w:space="0" w:color="auto"/>
              <w:right w:val="single" w:sz="4" w:space="0" w:color="auto"/>
            </w:tcBorders>
            <w:vAlign w:val="center"/>
          </w:tcPr>
          <w:p>
            <w:pPr>
              <w:jc w:val="center"/>
              <w:rPr>
                <w:rFonts w:ascii="宋体" w:hAnsi="宋体"/>
                <w:b/>
                <w:bCs/>
              </w:rPr>
            </w:pPr>
            <w:r>
              <w:rPr>
                <w:rFonts w:ascii="宋体" w:hAnsi="宋体" w:hint="eastAsia"/>
                <w:b/>
                <w:bCs/>
              </w:rPr>
              <w:t>商务要求</w:t>
            </w:r>
          </w:p>
        </w:tc>
        <w:tc>
          <w:tcPr>
            <w:tcW w:w="1870" w:type="dxa"/>
            <w:tcBorders>
              <w:top w:val="single" w:sz="4" w:space="0" w:color="auto"/>
              <w:left w:val="nil"/>
              <w:bottom w:val="single" w:sz="4" w:space="0" w:color="auto"/>
              <w:right w:val="single" w:sz="4" w:space="0" w:color="auto"/>
            </w:tcBorders>
            <w:vAlign w:val="center"/>
          </w:tcPr>
          <w:p>
            <w:pPr>
              <w:jc w:val="center"/>
              <w:rPr>
                <w:rFonts w:ascii="宋体" w:eastAsia="宋体" w:hAnsi="宋体" w:cs="Times New Roman" w:hint="eastAsia"/>
                <w:b/>
                <w:bCs/>
              </w:rPr>
            </w:pPr>
            <w:r>
              <w:rPr>
                <w:rFonts w:ascii="宋体" w:eastAsia="宋体" w:hAnsi="宋体" w:cs="Times New Roman" w:hint="eastAsia"/>
                <w:b/>
                <w:bCs/>
                <w:lang w:val="en-US" w:eastAsia="zh-CN"/>
              </w:rPr>
              <w:t>投标商务响应</w:t>
            </w:r>
          </w:p>
        </w:tc>
        <w:tc>
          <w:tcPr>
            <w:tcW w:w="1402" w:type="dxa"/>
            <w:tcBorders>
              <w:top w:val="single" w:sz="4" w:space="0" w:color="auto"/>
              <w:left w:val="nil"/>
              <w:bottom w:val="single" w:sz="4" w:space="0" w:color="auto"/>
              <w:right w:val="single" w:sz="4" w:space="0" w:color="auto"/>
            </w:tcBorders>
            <w:vAlign w:val="center"/>
          </w:tcPr>
          <w:p>
            <w:pPr>
              <w:jc w:val="center"/>
              <w:rPr>
                <w:rFonts w:ascii="宋体" w:eastAsia="宋体" w:hAnsi="宋体" w:cs="Times New Roman" w:hint="eastAsia"/>
                <w:b/>
                <w:bCs/>
              </w:rPr>
            </w:pPr>
            <w:r>
              <w:rPr>
                <w:rFonts w:ascii="宋体" w:eastAsia="宋体" w:hAnsi="宋体" w:cs="Times New Roman" w:hint="eastAsia"/>
                <w:b/>
                <w:bCs/>
                <w:lang w:val="en-US" w:eastAsia="zh-CN"/>
              </w:rPr>
              <w:t>偏离情况</w:t>
            </w:r>
          </w:p>
        </w:tc>
        <w:tc>
          <w:tcPr>
            <w:tcW w:w="1208" w:type="dxa"/>
            <w:tcBorders>
              <w:top w:val="single" w:sz="4" w:space="0" w:color="auto"/>
              <w:left w:val="nil"/>
              <w:bottom w:val="single" w:sz="4" w:space="0" w:color="auto"/>
              <w:right w:val="single" w:sz="4" w:space="0" w:color="auto"/>
            </w:tcBorders>
            <w:vAlign w:val="center"/>
          </w:tcPr>
          <w:p>
            <w:pPr>
              <w:jc w:val="center"/>
              <w:rPr>
                <w:rFonts w:ascii="宋体" w:eastAsia="宋体" w:hAnsi="宋体" w:cs="Times New Roman" w:hint="eastAsia"/>
                <w:b/>
                <w:bCs/>
              </w:rPr>
            </w:pPr>
            <w:r>
              <w:rPr>
                <w:rFonts w:ascii="宋体" w:eastAsia="宋体" w:hAnsi="宋体" w:cs="Times New Roman" w:hint="eastAsia"/>
                <w:b/>
                <w:bCs/>
                <w:lang w:val="en-US" w:eastAsia="zh-CN"/>
              </w:rPr>
              <w:t>说明</w:t>
            </w:r>
          </w:p>
        </w:tc>
      </w:tr>
      <w:tr>
        <w:tblPrEx>
          <w:tblW w:w="8813" w:type="dxa"/>
          <w:jc w:val="center"/>
          <w:tblInd w:w="0" w:type="dxa"/>
          <w:tblLayout w:type="fixed"/>
          <w:tblCellMar>
            <w:top w:w="0" w:type="dxa"/>
            <w:left w:w="108" w:type="dxa"/>
            <w:bottom w:w="0" w:type="dxa"/>
            <w:right w:w="108" w:type="dxa"/>
          </w:tblCellMar>
        </w:tblPrEx>
        <w:trPr>
          <w:trHeight w:val="454"/>
          <w:jc w:val="center"/>
        </w:trPr>
        <w:tc>
          <w:tcPr>
            <w:tcW w:w="8813" w:type="dxa"/>
            <w:gridSpan w:val="6"/>
            <w:tcBorders>
              <w:top w:val="single" w:sz="4" w:space="0" w:color="auto"/>
              <w:left w:val="single" w:sz="4" w:space="0" w:color="auto"/>
              <w:bottom w:val="single" w:sz="4" w:space="0" w:color="auto"/>
              <w:right w:val="single" w:sz="4" w:space="0" w:color="auto"/>
            </w:tcBorders>
            <w:vAlign w:val="center"/>
          </w:tcPr>
          <w:p>
            <w:pPr>
              <w:rPr>
                <w:rFonts w:ascii="宋体" w:hAnsi="宋体" w:hint="eastAsia"/>
                <w:b/>
                <w:bCs/>
              </w:rPr>
            </w:pPr>
            <w:r>
              <w:rPr>
                <w:rFonts w:ascii="宋体" w:hAnsi="宋体" w:hint="eastAsia"/>
                <w:b/>
                <w:bCs/>
              </w:rPr>
              <w:t>（一）免费保修期内售后服务要求</w:t>
            </w:r>
          </w:p>
        </w:tc>
      </w:tr>
      <w:tr>
        <w:tblPrEx>
          <w:tblW w:w="8813" w:type="dxa"/>
          <w:jc w:val="center"/>
          <w:tblInd w:w="0" w:type="dxa"/>
          <w:tblLayout w:type="fixed"/>
          <w:tblCellMar>
            <w:top w:w="0" w:type="dxa"/>
            <w:left w:w="108" w:type="dxa"/>
            <w:bottom w:w="0" w:type="dxa"/>
            <w:right w:w="108" w:type="dxa"/>
          </w:tblCellMar>
        </w:tblPrEx>
        <w:trPr>
          <w:trHeight w:val="770"/>
          <w:jc w:val="center"/>
        </w:trPr>
        <w:tc>
          <w:tcPr>
            <w:tcW w:w="593" w:type="dxa"/>
            <w:vMerge w:val="restart"/>
            <w:tcBorders>
              <w:top w:val="nil"/>
              <w:left w:val="single" w:sz="4" w:space="0" w:color="auto"/>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rPr>
              <w:t>1</w:t>
            </w:r>
          </w:p>
        </w:tc>
        <w:tc>
          <w:tcPr>
            <w:tcW w:w="960" w:type="dxa"/>
            <w:vMerge w:val="restart"/>
            <w:tcBorders>
              <w:top w:val="single" w:sz="4" w:space="0" w:color="auto"/>
              <w:left w:val="nil"/>
              <w:bottom w:val="single" w:sz="4" w:space="0" w:color="auto"/>
              <w:right w:val="single" w:sz="4" w:space="0" w:color="auto"/>
            </w:tcBorders>
            <w:vAlign w:val="center"/>
          </w:tcPr>
          <w:p>
            <w:pPr>
              <w:spacing w:line="300" w:lineRule="exact"/>
              <w:jc w:val="center"/>
              <w:rPr>
                <w:rFonts w:ascii="宋体" w:hAnsi="宋体"/>
              </w:rPr>
            </w:pPr>
            <w:r>
              <w:rPr>
                <w:rFonts w:ascii="宋体" w:hAnsi="宋体" w:hint="eastAsia"/>
                <w:b/>
                <w:bCs/>
                <w:kern w:val="0"/>
              </w:rPr>
              <w:t>维修及维护服务</w:t>
            </w: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b/>
                <w:bCs/>
              </w:rPr>
            </w:pPr>
            <w:r>
              <w:rPr>
                <w:rFonts w:ascii="宋体" w:hAnsi="宋体" w:hint="eastAsia"/>
                <w:color w:val="FF0000"/>
              </w:rPr>
              <w:t>★</w:t>
            </w:r>
            <w:r>
              <w:rPr>
                <w:rFonts w:ascii="宋体" w:hAnsi="宋体" w:hint="eastAsia"/>
                <w:b/>
                <w:bCs/>
                <w:color w:val="FF0000"/>
              </w:rPr>
              <w:t>1.1各投标人承诺提供主机及配件和易耗品的免费保修期≥</w:t>
            </w:r>
            <w:r>
              <w:rPr>
                <w:rFonts w:ascii="宋体" w:hAnsi="宋体" w:cs="宋体" w:hint="eastAsia"/>
                <w:b/>
                <w:bCs/>
                <w:color w:val="FF0000"/>
                <w:kern w:val="0"/>
                <w:u w:val="single"/>
              </w:rPr>
              <w:t xml:space="preserve"> 2  </w:t>
            </w:r>
            <w:r>
              <w:rPr>
                <w:rFonts w:ascii="宋体" w:hAnsi="宋体" w:cs="宋体" w:hint="eastAsia"/>
                <w:b/>
                <w:bCs/>
                <w:color w:val="FF0000"/>
                <w:kern w:val="0"/>
              </w:rPr>
              <w:t>年，保修期以验收合格，双方代表签署“性能验收报告”之日起计算。</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color w:val="FF0000"/>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color w:val="FF0000"/>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color w:val="FF0000"/>
              </w:rPr>
            </w:pPr>
          </w:p>
        </w:tc>
      </w:tr>
      <w:tr>
        <w:tblPrEx>
          <w:tblW w:w="8813" w:type="dxa"/>
          <w:jc w:val="center"/>
          <w:tblInd w:w="0" w:type="dxa"/>
          <w:tblLayout w:type="fixed"/>
          <w:tblCellMar>
            <w:top w:w="0" w:type="dxa"/>
            <w:left w:w="108" w:type="dxa"/>
            <w:bottom w:w="0" w:type="dxa"/>
            <w:right w:w="108" w:type="dxa"/>
          </w:tblCellMar>
        </w:tblPrEx>
        <w:trPr>
          <w:trHeight w:val="250"/>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kern w:val="0"/>
              </w:rPr>
              <w:t>1.2由生产厂家提供售后服务，</w:t>
            </w:r>
            <w:r>
              <w:rPr>
                <w:rFonts w:ascii="宋体" w:hAnsi="宋体" w:hint="eastAsia"/>
                <w:kern w:val="0"/>
                <w:u w:val="single"/>
              </w:rPr>
              <w:t xml:space="preserve">  2  </w:t>
            </w:r>
            <w:r>
              <w:rPr>
                <w:rFonts w:ascii="宋体" w:hAnsi="宋体" w:hint="eastAsia"/>
                <w:kern w:val="0"/>
              </w:rPr>
              <w:t>小时内响应，</w:t>
            </w:r>
            <w:r>
              <w:rPr>
                <w:rFonts w:ascii="宋体" w:hAnsi="宋体" w:hint="eastAsia"/>
                <w:kern w:val="0"/>
                <w:u w:val="single"/>
              </w:rPr>
              <w:t xml:space="preserve">  24  </w:t>
            </w:r>
            <w:r>
              <w:rPr>
                <w:rFonts w:ascii="宋体" w:hAnsi="宋体" w:hint="eastAsia"/>
                <w:kern w:val="0"/>
              </w:rPr>
              <w:t>小时维修到位。消耗品和零配件供应及时，特殊情况下可提供备用机。</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506"/>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kern w:val="0"/>
              </w:rPr>
              <w:t>1.3保修期内，生产厂家每年最少提供</w:t>
            </w:r>
            <w:r>
              <w:rPr>
                <w:rFonts w:ascii="宋体" w:hAnsi="宋体" w:hint="eastAsia"/>
                <w:kern w:val="0"/>
                <w:u w:val="single"/>
              </w:rPr>
              <w:t xml:space="preserve"> </w:t>
            </w:r>
            <w:r>
              <w:rPr>
                <w:rFonts w:ascii="宋体" w:hAnsi="宋体"/>
                <w:kern w:val="0"/>
                <w:u w:val="single"/>
              </w:rPr>
              <w:t>4</w:t>
            </w:r>
            <w:r>
              <w:rPr>
                <w:rFonts w:ascii="宋体" w:hAnsi="宋体" w:hint="eastAsia"/>
                <w:kern w:val="0"/>
                <w:u w:val="single"/>
              </w:rPr>
              <w:t xml:space="preserve"> </w:t>
            </w:r>
            <w:r>
              <w:rPr>
                <w:rFonts w:ascii="宋体" w:hAnsi="宋体" w:hint="eastAsia"/>
                <w:kern w:val="0"/>
              </w:rPr>
              <w:t>次免费保养，执行QA，按照厂家标准进行调校，以及对数据库或软件等进行清理和备份，确认各项技术指标及性能，保养中需更换的损耗品由生产厂家免费提供。</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402"/>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kern w:val="0"/>
              </w:rPr>
              <w:t>1.4保修期内，设备主机及配件免费维修、免费更换、免工时费，并免费提供软件升级。</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306"/>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kern w:val="0"/>
              </w:rPr>
              <w:t>1.5保修期内，由投标人免费提供该设备与医院PACS、HIS的数据接口服务，次数不限。</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1050"/>
          <w:jc w:val="center"/>
        </w:trPr>
        <w:tc>
          <w:tcPr>
            <w:tcW w:w="593"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rPr>
              <w:t>2</w:t>
            </w:r>
          </w:p>
        </w:tc>
        <w:tc>
          <w:tcPr>
            <w:tcW w:w="960" w:type="dxa"/>
            <w:tcBorders>
              <w:top w:val="single" w:sz="4" w:space="0" w:color="auto"/>
              <w:left w:val="nil"/>
              <w:bottom w:val="single" w:sz="4" w:space="0" w:color="auto"/>
              <w:right w:val="single" w:sz="4" w:space="0" w:color="auto"/>
            </w:tcBorders>
            <w:vAlign w:val="center"/>
          </w:tcPr>
          <w:p>
            <w:pPr>
              <w:spacing w:line="300" w:lineRule="exact"/>
              <w:jc w:val="center"/>
              <w:rPr>
                <w:rFonts w:ascii="宋体" w:hAnsi="宋体"/>
              </w:rPr>
            </w:pPr>
            <w:r>
              <w:rPr>
                <w:rFonts w:ascii="宋体" w:hAnsi="宋体" w:hint="eastAsia"/>
                <w:b/>
                <w:bCs/>
                <w:kern w:val="0"/>
              </w:rPr>
              <w:t>质量保证</w:t>
            </w: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kern w:val="0"/>
              </w:rPr>
              <w:t>2.1在保修期内，投标人保证设备的年开机率≥95%；若不能达到此开机率，将作以下处理：（1）年开机率在≥90%～＜95%之间按一赔二年延长保修期；（2）年开机率在≥85%～＜90%之间按一赔五年延长保修期；（3）开机率低于＜85%，供应商应无条件更换新机，并重新计算保修期，以及赔偿用户的直接经济损失和间接经济损失。注：年开机率=(365-停机天数)/365。</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454"/>
          <w:jc w:val="center"/>
        </w:trPr>
        <w:tc>
          <w:tcPr>
            <w:tcW w:w="4333"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rPr>
                <w:rFonts w:ascii="宋体" w:hAnsi="宋体"/>
                <w:b/>
                <w:bCs/>
              </w:rPr>
            </w:pPr>
            <w:r>
              <w:rPr>
                <w:rFonts w:ascii="宋体" w:hAnsi="宋体" w:hint="eastAsia"/>
                <w:b/>
                <w:bCs/>
              </w:rPr>
              <w:t>（二）免费保修期外售后服务要求</w:t>
            </w:r>
          </w:p>
        </w:tc>
        <w:tc>
          <w:tcPr>
            <w:tcW w:w="1870" w:type="dxa"/>
            <w:tcBorders>
              <w:top w:val="single" w:sz="4" w:space="0" w:color="auto"/>
              <w:left w:val="single" w:sz="4" w:space="0" w:color="auto"/>
              <w:bottom w:val="single" w:sz="4" w:space="0" w:color="auto"/>
              <w:right w:val="single" w:sz="4" w:space="0" w:color="auto"/>
            </w:tcBorders>
            <w:vAlign w:val="center"/>
          </w:tcPr>
          <w:p>
            <w:pPr>
              <w:spacing w:line="300" w:lineRule="exact"/>
              <w:rPr>
                <w:rFonts w:ascii="宋体" w:hAnsi="宋体" w:hint="eastAsia"/>
                <w:b/>
                <w:bCs/>
              </w:rPr>
            </w:pPr>
          </w:p>
        </w:tc>
        <w:tc>
          <w:tcPr>
            <w:tcW w:w="1402" w:type="dxa"/>
            <w:tcBorders>
              <w:top w:val="single" w:sz="4" w:space="0" w:color="auto"/>
              <w:left w:val="single" w:sz="4" w:space="0" w:color="auto"/>
              <w:bottom w:val="single" w:sz="4" w:space="0" w:color="auto"/>
              <w:right w:val="single" w:sz="4" w:space="0" w:color="auto"/>
            </w:tcBorders>
            <w:vAlign w:val="center"/>
          </w:tcPr>
          <w:p>
            <w:pPr>
              <w:spacing w:line="300" w:lineRule="exact"/>
              <w:rPr>
                <w:rFonts w:ascii="宋体" w:hAnsi="宋体" w:hint="eastAsia"/>
                <w:b/>
                <w:bCs/>
              </w:rPr>
            </w:pPr>
          </w:p>
        </w:tc>
        <w:tc>
          <w:tcPr>
            <w:tcW w:w="1208" w:type="dxa"/>
            <w:tcBorders>
              <w:top w:val="single" w:sz="4" w:space="0" w:color="auto"/>
              <w:left w:val="single" w:sz="4" w:space="0" w:color="auto"/>
              <w:bottom w:val="single" w:sz="4" w:space="0" w:color="auto"/>
              <w:right w:val="single" w:sz="4" w:space="0" w:color="auto"/>
            </w:tcBorders>
            <w:vAlign w:val="center"/>
          </w:tcPr>
          <w:p>
            <w:pPr>
              <w:spacing w:line="300" w:lineRule="exact"/>
              <w:rPr>
                <w:rFonts w:ascii="宋体" w:hAnsi="宋体" w:hint="eastAsia"/>
                <w:b/>
                <w:bCs/>
              </w:rPr>
            </w:pPr>
          </w:p>
        </w:tc>
      </w:tr>
      <w:tr>
        <w:tblPrEx>
          <w:tblW w:w="8813" w:type="dxa"/>
          <w:jc w:val="center"/>
          <w:tblInd w:w="0" w:type="dxa"/>
          <w:tblLayout w:type="fixed"/>
          <w:tblCellMar>
            <w:top w:w="0" w:type="dxa"/>
            <w:left w:w="108" w:type="dxa"/>
            <w:bottom w:w="0" w:type="dxa"/>
            <w:right w:w="108" w:type="dxa"/>
          </w:tblCellMar>
        </w:tblPrEx>
        <w:trPr>
          <w:trHeight w:val="340"/>
          <w:jc w:val="center"/>
        </w:trPr>
        <w:tc>
          <w:tcPr>
            <w:tcW w:w="593" w:type="dxa"/>
            <w:vMerge w:val="restart"/>
            <w:tcBorders>
              <w:top w:val="nil"/>
              <w:left w:val="single" w:sz="4" w:space="0" w:color="auto"/>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rPr>
              <w:t>1</w:t>
            </w:r>
          </w:p>
        </w:tc>
        <w:tc>
          <w:tcPr>
            <w:tcW w:w="960" w:type="dxa"/>
            <w:vMerge w:val="restart"/>
            <w:tcBorders>
              <w:top w:val="single" w:sz="4" w:space="0" w:color="auto"/>
              <w:left w:val="nil"/>
              <w:bottom w:val="single" w:sz="4" w:space="0" w:color="auto"/>
              <w:right w:val="single" w:sz="4" w:space="0" w:color="auto"/>
            </w:tcBorders>
            <w:vAlign w:val="center"/>
          </w:tcPr>
          <w:p>
            <w:pPr>
              <w:spacing w:line="300" w:lineRule="exact"/>
              <w:jc w:val="center"/>
              <w:rPr>
                <w:rFonts w:ascii="宋体" w:hAnsi="宋体"/>
                <w:b/>
                <w:bCs/>
              </w:rPr>
            </w:pPr>
            <w:r>
              <w:rPr>
                <w:rFonts w:ascii="宋体" w:hAnsi="宋体" w:hint="eastAsia"/>
                <w:b/>
                <w:bCs/>
                <w:kern w:val="0"/>
              </w:rPr>
              <w:t>维修服务和优惠价格</w:t>
            </w: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kern w:val="0"/>
              </w:rPr>
            </w:pPr>
            <w:r>
              <w:rPr>
                <w:rFonts w:ascii="宋体" w:hAnsi="宋体" w:hint="eastAsia"/>
              </w:rPr>
              <w:t>1.1由生产厂家提供售后服务，</w:t>
            </w:r>
            <w:r>
              <w:rPr>
                <w:rFonts w:ascii="宋体" w:hAnsi="宋体" w:hint="eastAsia"/>
                <w:kern w:val="0"/>
                <w:u w:val="single"/>
              </w:rPr>
              <w:t xml:space="preserve">  2  </w:t>
            </w:r>
            <w:r>
              <w:rPr>
                <w:rFonts w:ascii="宋体" w:hAnsi="宋体" w:hint="eastAsia"/>
                <w:kern w:val="0"/>
              </w:rPr>
              <w:t>小时内响应，</w:t>
            </w:r>
            <w:r>
              <w:rPr>
                <w:rFonts w:ascii="宋体" w:hAnsi="宋体" w:hint="eastAsia"/>
                <w:kern w:val="0"/>
                <w:u w:val="single"/>
              </w:rPr>
              <w:t xml:space="preserve">  24  </w:t>
            </w:r>
            <w:r>
              <w:rPr>
                <w:rFonts w:ascii="宋体" w:hAnsi="宋体" w:hint="eastAsia"/>
                <w:kern w:val="0"/>
              </w:rPr>
              <w:t>小时维修到位。消耗品和零配件供应及时，特殊情况下可提供备用机。</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370"/>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1.2</w:t>
            </w:r>
            <w:r>
              <w:rPr>
                <w:rFonts w:ascii="宋体" w:hAnsi="宋体" w:hint="eastAsia"/>
                <w:color w:val="000000"/>
              </w:rPr>
              <w:t>终身维修，保修期满后，生产厂家对用户进行的售后服务只收更换部件的成本费，提供</w:t>
            </w:r>
            <w:r>
              <w:rPr>
                <w:rFonts w:ascii="宋体" w:hAnsi="宋体" w:hint="eastAsia"/>
                <w:kern w:val="0"/>
              </w:rPr>
              <w:t>维修零配件、消耗品</w:t>
            </w:r>
            <w:r>
              <w:rPr>
                <w:rFonts w:ascii="宋体" w:hAnsi="宋体" w:hint="eastAsia"/>
                <w:color w:val="000000"/>
              </w:rPr>
              <w:t>优惠价格。</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374"/>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1.3采购人可与投标人就优惠价进行谈判，但优惠价不得高于投标人在投标文件中承诺的</w:t>
            </w:r>
            <w:r>
              <w:rPr>
                <w:rFonts w:ascii="宋体" w:hAnsi="宋体" w:hint="eastAsia"/>
                <w:kern w:val="0"/>
              </w:rPr>
              <w:t>消耗品、零配件</w:t>
            </w:r>
            <w:r>
              <w:rPr>
                <w:rFonts w:ascii="宋体" w:hAnsi="宋体" w:hint="eastAsia"/>
              </w:rPr>
              <w:t>报价。</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258"/>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1.4生产厂家维修的货物经采购人验收合格，且厂家提供维修专用发票后，采购人支付维修费用。</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898"/>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b/>
                <w:bCs/>
              </w:rPr>
            </w:pPr>
          </w:p>
        </w:tc>
        <w:tc>
          <w:tcPr>
            <w:tcW w:w="2780" w:type="dxa"/>
            <w:tcBorders>
              <w:top w:val="single" w:sz="4" w:space="0" w:color="auto"/>
              <w:left w:val="nil"/>
              <w:bottom w:val="single" w:sz="4" w:space="0" w:color="auto"/>
              <w:right w:val="single" w:sz="4" w:space="0" w:color="auto"/>
            </w:tcBorders>
          </w:tcPr>
          <w:p>
            <w:pPr>
              <w:autoSpaceDE w:val="0"/>
              <w:spacing w:line="320" w:lineRule="exact"/>
              <w:rPr>
                <w:rFonts w:ascii="宋体" w:hAnsi="宋体"/>
              </w:rPr>
            </w:pPr>
            <w:r>
              <w:rPr>
                <w:rFonts w:ascii="宋体" w:hAnsi="宋体" w:hint="eastAsia"/>
              </w:rPr>
              <w:t>1.5投标人及生产厂家不得以任何理由不按时进行维修，不得要求采购人购买所谓“保修服务”（即：不论设备有无故障，先买保修服务），不得在设备中嵌设任何不利于采购人使用与维修设备的障碍。</w:t>
            </w:r>
          </w:p>
        </w:tc>
        <w:tc>
          <w:tcPr>
            <w:tcW w:w="1870"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exac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454"/>
          <w:jc w:val="center"/>
        </w:trPr>
        <w:tc>
          <w:tcPr>
            <w:tcW w:w="4333" w:type="dxa"/>
            <w:gridSpan w:val="3"/>
            <w:tcBorders>
              <w:top w:val="single" w:sz="4" w:space="0" w:color="auto"/>
              <w:left w:val="single" w:sz="4" w:space="0" w:color="auto"/>
              <w:bottom w:val="single" w:sz="4" w:space="0" w:color="auto"/>
              <w:right w:val="single" w:sz="4" w:space="0" w:color="auto"/>
            </w:tcBorders>
            <w:vAlign w:val="center"/>
          </w:tcPr>
          <w:p>
            <w:pPr>
              <w:rPr>
                <w:rFonts w:ascii="宋体" w:hAnsi="宋体"/>
                <w:b/>
                <w:bCs/>
              </w:rPr>
            </w:pPr>
            <w:r>
              <w:rPr>
                <w:rFonts w:ascii="宋体" w:hAnsi="宋体" w:hint="eastAsia"/>
                <w:b/>
                <w:bCs/>
              </w:rPr>
              <w:t>（三）其他商务要求</w:t>
            </w:r>
          </w:p>
        </w:tc>
        <w:tc>
          <w:tcPr>
            <w:tcW w:w="1870" w:type="dxa"/>
            <w:tcBorders>
              <w:top w:val="single" w:sz="4" w:space="0" w:color="auto"/>
              <w:left w:val="single" w:sz="4" w:space="0" w:color="auto"/>
              <w:bottom w:val="single" w:sz="4" w:space="0" w:color="auto"/>
              <w:right w:val="single" w:sz="4" w:space="0" w:color="auto"/>
            </w:tcBorders>
            <w:vAlign w:val="center"/>
          </w:tcPr>
          <w:p>
            <w:pPr>
              <w:rPr>
                <w:rFonts w:ascii="宋体" w:hAnsi="宋体" w:hint="eastAsia"/>
                <w:b/>
                <w:bCs/>
              </w:rPr>
            </w:pPr>
          </w:p>
        </w:tc>
        <w:tc>
          <w:tcPr>
            <w:tcW w:w="1402" w:type="dxa"/>
            <w:tcBorders>
              <w:top w:val="single" w:sz="4" w:space="0" w:color="auto"/>
              <w:left w:val="single" w:sz="4" w:space="0" w:color="auto"/>
              <w:bottom w:val="single" w:sz="4" w:space="0" w:color="auto"/>
              <w:right w:val="single" w:sz="4" w:space="0" w:color="auto"/>
            </w:tcBorders>
            <w:vAlign w:val="center"/>
          </w:tcPr>
          <w:p>
            <w:pPr>
              <w:rPr>
                <w:rFonts w:ascii="宋体" w:hAnsi="宋体" w:hint="eastAsia"/>
                <w:b/>
                <w:bCs/>
              </w:rPr>
            </w:pPr>
          </w:p>
        </w:tc>
        <w:tc>
          <w:tcPr>
            <w:tcW w:w="1208" w:type="dxa"/>
            <w:tcBorders>
              <w:top w:val="single" w:sz="4" w:space="0" w:color="auto"/>
              <w:left w:val="single" w:sz="4" w:space="0" w:color="auto"/>
              <w:bottom w:val="single" w:sz="4" w:space="0" w:color="auto"/>
              <w:right w:val="single" w:sz="4" w:space="0" w:color="auto"/>
            </w:tcBorders>
            <w:vAlign w:val="center"/>
          </w:tcPr>
          <w:p>
            <w:pPr>
              <w:rPr>
                <w:rFonts w:ascii="宋体" w:hAnsi="宋体" w:hint="eastAsia"/>
                <w:b/>
                <w:bCs/>
              </w:rPr>
            </w:pPr>
          </w:p>
        </w:tc>
      </w:tr>
      <w:tr>
        <w:tblPrEx>
          <w:tblW w:w="8813" w:type="dxa"/>
          <w:jc w:val="center"/>
          <w:tblInd w:w="0" w:type="dxa"/>
          <w:tblLayout w:type="fixed"/>
          <w:tblCellMar>
            <w:top w:w="0" w:type="dxa"/>
            <w:left w:w="108" w:type="dxa"/>
            <w:bottom w:w="0" w:type="dxa"/>
            <w:right w:w="108" w:type="dxa"/>
          </w:tblCellMar>
        </w:tblPrEx>
        <w:trPr>
          <w:trHeight w:val="117"/>
          <w:jc w:val="center"/>
        </w:trPr>
        <w:tc>
          <w:tcPr>
            <w:tcW w:w="593" w:type="dxa"/>
            <w:vMerge w:val="restart"/>
            <w:tcBorders>
              <w:top w:val="nil"/>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1</w:t>
            </w:r>
          </w:p>
        </w:tc>
        <w:tc>
          <w:tcPr>
            <w:tcW w:w="960" w:type="dxa"/>
            <w:vMerge w:val="restart"/>
            <w:tcBorders>
              <w:top w:val="single" w:sz="4" w:space="0" w:color="auto"/>
              <w:left w:val="nil"/>
              <w:bottom w:val="single" w:sz="4" w:space="0" w:color="auto"/>
              <w:right w:val="single" w:sz="4" w:space="0" w:color="auto"/>
            </w:tcBorders>
            <w:vAlign w:val="center"/>
          </w:tcPr>
          <w:p>
            <w:pPr>
              <w:jc w:val="center"/>
              <w:rPr>
                <w:rFonts w:ascii="宋体" w:hAnsi="宋体"/>
              </w:rPr>
            </w:pPr>
            <w:r>
              <w:rPr>
                <w:rFonts w:ascii="宋体" w:hAnsi="宋体" w:hint="eastAsia"/>
                <w:b/>
                <w:bCs/>
              </w:rPr>
              <w:t>交货要求</w:t>
            </w: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b/>
                <w:bCs/>
              </w:rPr>
            </w:pPr>
            <w:r>
              <w:rPr>
                <w:rFonts w:ascii="宋体" w:hAnsi="宋体" w:hint="eastAsia"/>
                <w:b/>
                <w:bCs/>
                <w:color w:val="FF0000"/>
              </w:rPr>
              <w:t>★1.1</w:t>
            </w:r>
            <w:r>
              <w:rPr>
                <w:rFonts w:ascii="宋体" w:hAnsi="宋体" w:hint="eastAsia"/>
                <w:b/>
                <w:bCs/>
                <w:color w:val="FF0000"/>
                <w:kern w:val="0"/>
              </w:rPr>
              <w:t>投标人在签订合同之日起</w:t>
            </w:r>
            <w:r>
              <w:rPr>
                <w:rFonts w:ascii="宋体" w:hAnsi="宋体" w:hint="eastAsia"/>
                <w:b/>
                <w:bCs/>
                <w:color w:val="FF0000"/>
                <w:kern w:val="0"/>
                <w:u w:val="single"/>
              </w:rPr>
              <w:t xml:space="preserve">  </w:t>
            </w:r>
            <w:r>
              <w:rPr>
                <w:rFonts w:ascii="宋体" w:hAnsi="宋体"/>
                <w:b/>
                <w:bCs/>
                <w:color w:val="FF0000"/>
                <w:kern w:val="0"/>
                <w:u w:val="single"/>
              </w:rPr>
              <w:t>18</w:t>
            </w:r>
            <w:r>
              <w:rPr>
                <w:rFonts w:ascii="宋体" w:hAnsi="宋体" w:hint="eastAsia"/>
                <w:b/>
                <w:bCs/>
                <w:color w:val="FF0000"/>
                <w:kern w:val="0"/>
                <w:u w:val="single"/>
              </w:rPr>
              <w:t xml:space="preserve">0  </w:t>
            </w:r>
            <w:r>
              <w:rPr>
                <w:rFonts w:ascii="宋体" w:hAnsi="宋体" w:hint="eastAsia"/>
                <w:b/>
                <w:bCs/>
                <w:color w:val="FF0000"/>
                <w:kern w:val="0"/>
              </w:rPr>
              <w:t>天（日历日）内交货。</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b/>
                <w:bCs/>
                <w:color w:val="FF0000"/>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b/>
                <w:bCs/>
                <w:color w:val="FF0000"/>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b/>
                <w:bCs/>
                <w:color w:val="FF0000"/>
              </w:rPr>
            </w:pPr>
          </w:p>
        </w:tc>
      </w:tr>
      <w:tr>
        <w:tblPrEx>
          <w:tblW w:w="8813" w:type="dxa"/>
          <w:jc w:val="center"/>
          <w:tblInd w:w="0" w:type="dxa"/>
          <w:tblLayout w:type="fixed"/>
          <w:tblCellMar>
            <w:top w:w="0" w:type="dxa"/>
            <w:left w:w="108" w:type="dxa"/>
            <w:bottom w:w="0" w:type="dxa"/>
            <w:right w:w="108" w:type="dxa"/>
          </w:tblCellMar>
        </w:tblPrEx>
        <w:trPr>
          <w:trHeight w:val="1241"/>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rPr>
              <w:t>1.2投标人</w:t>
            </w:r>
            <w:r>
              <w:rPr>
                <w:rFonts w:ascii="宋体" w:hAnsi="宋体" w:hint="eastAsia"/>
                <w:kern w:val="0"/>
              </w:rPr>
              <w:t>应提供货物的技术文件，包括但不限于设备配置清单、产品说明书、图纸、操作手册、维护手册（含维修密码及接口数据）、质量证明文件（含生产厂家出具的出厂合格证）、服务指南等，所有外文资料须提供中文译本。文件应随货物一并交付至采购人指定地点。</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856"/>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single" w:sz="4" w:space="0" w:color="auto"/>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spacing w:val="-3"/>
              </w:rPr>
              <w:t>1.3提供的货物必须为全新、经检验合格的产品。产品如需要计量检定的应提供相关计量检定部门出具的合法检定报告。其中，进口设备必须提供相关进口资料。</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r>
      <w:tr>
        <w:tblPrEx>
          <w:tblW w:w="8813" w:type="dxa"/>
          <w:jc w:val="center"/>
          <w:tblInd w:w="0" w:type="dxa"/>
          <w:tblLayout w:type="fixed"/>
          <w:tblCellMar>
            <w:top w:w="0" w:type="dxa"/>
            <w:left w:w="108" w:type="dxa"/>
            <w:bottom w:w="0" w:type="dxa"/>
            <w:right w:w="108" w:type="dxa"/>
          </w:tblCellMar>
        </w:tblPrEx>
        <w:trPr>
          <w:trHeight w:val="626"/>
          <w:jc w:val="center"/>
        </w:trPr>
        <w:tc>
          <w:tcPr>
            <w:tcW w:w="593" w:type="dxa"/>
            <w:vMerge w:val="restart"/>
            <w:tcBorders>
              <w:top w:val="nil"/>
              <w:left w:val="single" w:sz="4" w:space="0" w:color="auto"/>
              <w:right w:val="single" w:sz="4" w:space="0" w:color="auto"/>
            </w:tcBorders>
            <w:vAlign w:val="center"/>
          </w:tcPr>
          <w:p>
            <w:pPr>
              <w:jc w:val="center"/>
              <w:rPr>
                <w:rFonts w:ascii="宋体" w:hAnsi="宋体"/>
                <w:b/>
                <w:bCs/>
              </w:rPr>
            </w:pPr>
            <w:r>
              <w:rPr>
                <w:rFonts w:ascii="宋体" w:hAnsi="宋体" w:hint="eastAsia"/>
                <w:b/>
                <w:bCs/>
              </w:rPr>
              <w:t>2</w:t>
            </w:r>
          </w:p>
        </w:tc>
        <w:tc>
          <w:tcPr>
            <w:tcW w:w="960" w:type="dxa"/>
            <w:vMerge w:val="restart"/>
            <w:tcBorders>
              <w:top w:val="nil"/>
              <w:left w:val="nil"/>
              <w:right w:val="single" w:sz="4" w:space="0" w:color="auto"/>
            </w:tcBorders>
            <w:vAlign w:val="center"/>
          </w:tcPr>
          <w:p>
            <w:pPr>
              <w:jc w:val="center"/>
              <w:rPr>
                <w:rFonts w:ascii="宋体" w:hAnsi="宋体"/>
              </w:rPr>
            </w:pPr>
            <w:r>
              <w:rPr>
                <w:rFonts w:ascii="宋体" w:hAnsi="宋体" w:hint="eastAsia"/>
                <w:b/>
                <w:bCs/>
                <w:kern w:val="0"/>
              </w:rPr>
              <w:t>运输、安装和验收</w:t>
            </w: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rPr>
              <w:t>2.1投标人</w:t>
            </w:r>
            <w:r>
              <w:rPr>
                <w:rFonts w:ascii="宋体" w:hAnsi="宋体" w:hint="eastAsia"/>
                <w:kern w:val="0"/>
              </w:rPr>
              <w:t>负责将货物安全无损运抵采购人指定地点，并承担设备的包装、运输、保险、装卸、安装调试、培训、商检及计量检测、关税、增值税和进口代理等费用。</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560"/>
          <w:jc w:val="center"/>
        </w:trPr>
        <w:tc>
          <w:tcPr>
            <w:tcW w:w="593" w:type="dxa"/>
            <w:vMerge/>
            <w:tcBorders>
              <w:left w:val="single" w:sz="4" w:space="0" w:color="auto"/>
              <w:right w:val="single" w:sz="4" w:space="0" w:color="auto"/>
            </w:tcBorders>
            <w:vAlign w:val="center"/>
          </w:tcPr>
          <w:p>
            <w:pPr>
              <w:widowControl/>
              <w:jc w:val="left"/>
              <w:rPr>
                <w:rFonts w:ascii="宋体" w:hAnsi="宋体"/>
                <w:b/>
                <w:bCs/>
              </w:rPr>
            </w:pPr>
          </w:p>
        </w:tc>
        <w:tc>
          <w:tcPr>
            <w:tcW w:w="960" w:type="dxa"/>
            <w:vMerge/>
            <w:tcBorders>
              <w:left w:val="nil"/>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rPr>
              <w:t>2.2</w:t>
            </w:r>
            <w:r>
              <w:rPr>
                <w:rFonts w:ascii="宋体" w:hAnsi="宋体" w:hint="eastAsia"/>
                <w:kern w:val="0"/>
              </w:rPr>
              <w:t>货物安装前厂家需派专业工程师到现场确认场地及安装环境是否符合该设备安装要求，在用户单位、中标人双方在场情况下开箱检验。在安装过程中若造成机器损坏，应由中标人负责修复，安装后保证产品质量。</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rPr>
            </w:pPr>
          </w:p>
        </w:tc>
      </w:tr>
      <w:tr>
        <w:tblPrEx>
          <w:tblW w:w="8813" w:type="dxa"/>
          <w:jc w:val="center"/>
          <w:tblInd w:w="0" w:type="dxa"/>
          <w:tblLayout w:type="fixed"/>
          <w:tblCellMar>
            <w:top w:w="0" w:type="dxa"/>
            <w:left w:w="108" w:type="dxa"/>
            <w:bottom w:w="0" w:type="dxa"/>
            <w:right w:w="108" w:type="dxa"/>
          </w:tblCellMar>
        </w:tblPrEx>
        <w:trPr>
          <w:trHeight w:val="434"/>
          <w:jc w:val="center"/>
        </w:trPr>
        <w:tc>
          <w:tcPr>
            <w:tcW w:w="593" w:type="dxa"/>
            <w:vMerge/>
            <w:tcBorders>
              <w:left w:val="single" w:sz="4" w:space="0" w:color="auto"/>
              <w:right w:val="single" w:sz="4" w:space="0" w:color="auto"/>
            </w:tcBorders>
            <w:vAlign w:val="center"/>
          </w:tcPr>
          <w:p>
            <w:pPr>
              <w:widowControl/>
              <w:jc w:val="left"/>
              <w:rPr>
                <w:rFonts w:ascii="宋体" w:hAnsi="宋体"/>
                <w:b/>
                <w:bCs/>
              </w:rPr>
            </w:pPr>
          </w:p>
        </w:tc>
        <w:tc>
          <w:tcPr>
            <w:tcW w:w="960" w:type="dxa"/>
            <w:vMerge/>
            <w:tcBorders>
              <w:left w:val="nil"/>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kern w:val="0"/>
              </w:rPr>
              <w:t>2.3采购人有权检验或测试货物，以确认货物是否符合合同规格的要求，并且不承担额外的费用。如果发现所交货物与投标文件中所承诺的不符或存在质量、技术缺陷等，采购人可以拒绝接收该货物，投标人应在</w:t>
            </w:r>
            <w:r>
              <w:rPr>
                <w:rFonts w:ascii="宋体" w:hAnsi="宋体" w:hint="eastAsia"/>
                <w:kern w:val="0"/>
                <w:u w:val="single"/>
              </w:rPr>
              <w:t xml:space="preserve">  30  </w:t>
            </w:r>
            <w:r>
              <w:rPr>
                <w:rFonts w:ascii="宋体" w:hAnsi="宋体" w:hint="eastAsia"/>
                <w:kern w:val="0"/>
              </w:rPr>
              <w:t>天（日历日）内采取补足、更换或退货等措施，以满足规格的要求，由此发生的一切损失和费用由投标人承担。</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538"/>
          <w:jc w:val="center"/>
        </w:trPr>
        <w:tc>
          <w:tcPr>
            <w:tcW w:w="593" w:type="dxa"/>
            <w:vMerge/>
            <w:tcBorders>
              <w:left w:val="single" w:sz="4" w:space="0" w:color="auto"/>
              <w:right w:val="single" w:sz="4" w:space="0" w:color="auto"/>
            </w:tcBorders>
            <w:vAlign w:val="center"/>
          </w:tcPr>
          <w:p>
            <w:pPr>
              <w:widowControl/>
              <w:jc w:val="left"/>
              <w:rPr>
                <w:rFonts w:ascii="宋体" w:hAnsi="宋体"/>
                <w:b/>
                <w:bCs/>
              </w:rPr>
            </w:pPr>
          </w:p>
        </w:tc>
        <w:tc>
          <w:tcPr>
            <w:tcW w:w="960" w:type="dxa"/>
            <w:vMerge/>
            <w:tcBorders>
              <w:left w:val="nil"/>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spacing w:val="-3"/>
              </w:rPr>
              <w:t>2.4供货时须确保产品外观清洁，标记编号以及盘面显示等字体清晰、明确，能够准确无误地表示产品的型号、规格、制造商等，并保证所提供的产品的可追溯性。</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r>
      <w:tr>
        <w:tblPrEx>
          <w:tblW w:w="8813" w:type="dxa"/>
          <w:jc w:val="center"/>
          <w:tblInd w:w="0" w:type="dxa"/>
          <w:tblLayout w:type="fixed"/>
          <w:tblCellMar>
            <w:top w:w="0" w:type="dxa"/>
            <w:left w:w="108" w:type="dxa"/>
            <w:bottom w:w="0" w:type="dxa"/>
            <w:right w:w="108" w:type="dxa"/>
          </w:tblCellMar>
        </w:tblPrEx>
        <w:trPr>
          <w:trHeight w:val="466"/>
          <w:jc w:val="center"/>
        </w:trPr>
        <w:tc>
          <w:tcPr>
            <w:tcW w:w="593" w:type="dxa"/>
            <w:vMerge/>
            <w:tcBorders>
              <w:left w:val="single" w:sz="4" w:space="0" w:color="auto"/>
              <w:right w:val="single" w:sz="4" w:space="0" w:color="auto"/>
            </w:tcBorders>
            <w:vAlign w:val="center"/>
          </w:tcPr>
          <w:p>
            <w:pPr>
              <w:widowControl/>
              <w:jc w:val="left"/>
              <w:rPr>
                <w:rFonts w:ascii="宋体" w:hAnsi="宋体"/>
                <w:b/>
                <w:bCs/>
              </w:rPr>
            </w:pPr>
          </w:p>
        </w:tc>
        <w:tc>
          <w:tcPr>
            <w:tcW w:w="960" w:type="dxa"/>
            <w:vMerge/>
            <w:tcBorders>
              <w:left w:val="nil"/>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rPr>
            </w:pPr>
            <w:r>
              <w:rPr>
                <w:rFonts w:ascii="宋体" w:hAnsi="宋体" w:hint="eastAsia"/>
                <w:spacing w:val="-3"/>
              </w:rPr>
              <w:t>2.5投标人负责货物的现场安装和调试，提供货物安装、调试和维修所需的专用工具和辅助材料。投标人应在货物运至指定地点后一周内开始安装调试，并在</w:t>
            </w:r>
            <w:r>
              <w:rPr>
                <w:rFonts w:ascii="宋体" w:hAnsi="宋体" w:hint="eastAsia"/>
                <w:kern w:val="0"/>
                <w:sz w:val="24"/>
                <w:u w:val="single"/>
              </w:rPr>
              <w:t xml:space="preserve">  </w:t>
            </w:r>
            <w:r>
              <w:rPr>
                <w:rFonts w:ascii="宋体" w:hAnsi="宋体" w:hint="eastAsia"/>
                <w:kern w:val="0"/>
                <w:u w:val="single"/>
              </w:rPr>
              <w:t>15</w:t>
            </w:r>
            <w:r>
              <w:rPr>
                <w:rFonts w:ascii="宋体" w:hAnsi="宋体" w:hint="eastAsia"/>
                <w:kern w:val="0"/>
                <w:sz w:val="24"/>
                <w:u w:val="single"/>
              </w:rPr>
              <w:t> </w:t>
            </w:r>
            <w:r>
              <w:rPr>
                <w:rFonts w:ascii="宋体" w:hAnsi="宋体" w:hint="eastAsia"/>
                <w:kern w:val="0"/>
                <w:u w:val="single"/>
              </w:rPr>
              <w:t> </w:t>
            </w:r>
            <w:r>
              <w:rPr>
                <w:rFonts w:ascii="宋体" w:hAnsi="宋体" w:hint="eastAsia"/>
                <w:spacing w:val="-3"/>
              </w:rPr>
              <w:t>天（日历日）内完成安装调试工作。</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r>
      <w:tr>
        <w:tblPrEx>
          <w:tblW w:w="8813" w:type="dxa"/>
          <w:jc w:val="center"/>
          <w:tblInd w:w="0" w:type="dxa"/>
          <w:tblLayout w:type="fixed"/>
          <w:tblCellMar>
            <w:top w:w="0" w:type="dxa"/>
            <w:left w:w="108" w:type="dxa"/>
            <w:bottom w:w="0" w:type="dxa"/>
            <w:right w:w="108" w:type="dxa"/>
          </w:tblCellMar>
        </w:tblPrEx>
        <w:trPr>
          <w:trHeight w:val="710"/>
          <w:jc w:val="center"/>
        </w:trPr>
        <w:tc>
          <w:tcPr>
            <w:tcW w:w="593" w:type="dxa"/>
            <w:vMerge/>
            <w:tcBorders>
              <w:left w:val="single" w:sz="4" w:space="0" w:color="auto"/>
              <w:right w:val="single" w:sz="4" w:space="0" w:color="auto"/>
            </w:tcBorders>
            <w:vAlign w:val="center"/>
          </w:tcPr>
          <w:p>
            <w:pPr>
              <w:widowControl/>
              <w:jc w:val="left"/>
              <w:rPr>
                <w:rFonts w:ascii="宋体" w:hAnsi="宋体"/>
                <w:b/>
                <w:bCs/>
              </w:rPr>
            </w:pPr>
          </w:p>
        </w:tc>
        <w:tc>
          <w:tcPr>
            <w:tcW w:w="960" w:type="dxa"/>
            <w:vMerge/>
            <w:tcBorders>
              <w:left w:val="nil"/>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spacing w:val="-3"/>
              </w:rPr>
              <w:t>2.6由投标人代表、厂家代表和采购人组成验收小组对产品进行验收。验收标准按照产品技术参数要求和合同约定执行。经检验设备正常运作后签署性能验收报告，产品保修期自性能验收合格之日起算。</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spacing w:val="-3"/>
              </w:rPr>
            </w:pPr>
          </w:p>
        </w:tc>
      </w:tr>
      <w:tr>
        <w:tblPrEx>
          <w:tblW w:w="8813" w:type="dxa"/>
          <w:jc w:val="center"/>
          <w:tblInd w:w="0" w:type="dxa"/>
          <w:tblLayout w:type="fixed"/>
          <w:tblCellMar>
            <w:top w:w="0" w:type="dxa"/>
            <w:left w:w="108" w:type="dxa"/>
            <w:bottom w:w="0" w:type="dxa"/>
            <w:right w:w="108" w:type="dxa"/>
          </w:tblCellMar>
        </w:tblPrEx>
        <w:trPr>
          <w:trHeight w:val="710"/>
          <w:jc w:val="center"/>
        </w:trPr>
        <w:tc>
          <w:tcPr>
            <w:tcW w:w="593" w:type="dxa"/>
            <w:vMerge/>
            <w:tcBorders>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left w:val="nil"/>
              <w:bottom w:val="single" w:sz="4" w:space="0" w:color="auto"/>
              <w:right w:val="single" w:sz="4" w:space="0" w:color="auto"/>
            </w:tcBorders>
            <w:vAlign w:val="center"/>
          </w:tcPr>
          <w:p>
            <w:pPr>
              <w:widowControl/>
              <w:jc w:val="left"/>
              <w:rPr>
                <w:rFonts w:ascii="宋体" w:hAnsi="宋体"/>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spacing w:val="-3"/>
              </w:rPr>
            </w:pPr>
            <w:r>
              <w:rPr>
                <w:rFonts w:ascii="宋体" w:hAnsi="宋体" w:hint="eastAsia"/>
                <w:color w:val="FF0000"/>
              </w:rPr>
              <w:t>★</w:t>
            </w:r>
            <w:r>
              <w:rPr>
                <w:rFonts w:ascii="宋体" w:hAnsi="宋体" w:hint="eastAsia"/>
                <w:b/>
                <w:bCs/>
                <w:color w:val="FF0000"/>
                <w:spacing w:val="-3"/>
              </w:rPr>
              <w:t>2.7设备安装，若须进行场地装修改造，涉及的所有费用，由中标人负责承担。</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color w:val="FF0000"/>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color w:val="FF0000"/>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color w:val="FF0000"/>
              </w:rPr>
            </w:pPr>
          </w:p>
        </w:tc>
      </w:tr>
      <w:tr>
        <w:tblPrEx>
          <w:tblW w:w="8813" w:type="dxa"/>
          <w:jc w:val="center"/>
          <w:tblInd w:w="0" w:type="dxa"/>
          <w:tblLayout w:type="fixed"/>
          <w:tblCellMar>
            <w:top w:w="0" w:type="dxa"/>
            <w:left w:w="108" w:type="dxa"/>
            <w:bottom w:w="0" w:type="dxa"/>
            <w:right w:w="108" w:type="dxa"/>
          </w:tblCellMar>
        </w:tblPrEx>
        <w:trPr>
          <w:trHeight w:val="498"/>
          <w:jc w:val="center"/>
        </w:trPr>
        <w:tc>
          <w:tcPr>
            <w:tcW w:w="593"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3</w:t>
            </w:r>
          </w:p>
        </w:tc>
        <w:tc>
          <w:tcPr>
            <w:tcW w:w="960" w:type="dxa"/>
            <w:tcBorders>
              <w:top w:val="single" w:sz="4" w:space="0" w:color="auto"/>
              <w:left w:val="nil"/>
              <w:bottom w:val="single" w:sz="4" w:space="0" w:color="auto"/>
              <w:right w:val="single" w:sz="4" w:space="0" w:color="auto"/>
            </w:tcBorders>
            <w:vAlign w:val="center"/>
          </w:tcPr>
          <w:p>
            <w:pPr>
              <w:jc w:val="center"/>
              <w:rPr>
                <w:rFonts w:ascii="宋体" w:hAnsi="宋体"/>
                <w:b/>
                <w:bCs/>
              </w:rPr>
            </w:pPr>
            <w:r>
              <w:rPr>
                <w:rFonts w:ascii="宋体" w:hAnsi="宋体" w:hint="eastAsia"/>
                <w:b/>
                <w:bCs/>
                <w:kern w:val="0"/>
              </w:rPr>
              <w:t>培训</w:t>
            </w: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b/>
                <w:bCs/>
              </w:rPr>
            </w:pPr>
            <w:r>
              <w:rPr>
                <w:rFonts w:ascii="宋体" w:hAnsi="宋体" w:hint="eastAsia"/>
                <w:kern w:val="0"/>
              </w:rPr>
              <w:t>3.1中标人应派专业技术人员免费对采购单位制定人员进行定期培训及指导，直至其完全掌握设备的基本故障处理技术。</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386"/>
          <w:jc w:val="center"/>
        </w:trPr>
        <w:tc>
          <w:tcPr>
            <w:tcW w:w="593" w:type="dxa"/>
            <w:vMerge w:val="restart"/>
            <w:tcBorders>
              <w:top w:val="nil"/>
              <w:left w:val="single" w:sz="4" w:space="0" w:color="auto"/>
              <w:bottom w:val="single" w:sz="4" w:space="0" w:color="auto"/>
              <w:right w:val="single" w:sz="4" w:space="0" w:color="auto"/>
            </w:tcBorders>
            <w:vAlign w:val="center"/>
          </w:tcPr>
          <w:p>
            <w:pPr>
              <w:jc w:val="center"/>
              <w:rPr>
                <w:rFonts w:ascii="宋体" w:hAnsi="宋体"/>
                <w:b/>
                <w:bCs/>
              </w:rPr>
            </w:pPr>
            <w:r>
              <w:rPr>
                <w:rFonts w:ascii="宋体" w:hAnsi="宋体" w:hint="eastAsia"/>
                <w:b/>
                <w:bCs/>
              </w:rPr>
              <w:t>4</w:t>
            </w:r>
          </w:p>
        </w:tc>
        <w:tc>
          <w:tcPr>
            <w:tcW w:w="960" w:type="dxa"/>
            <w:vMerge w:val="restart"/>
            <w:tcBorders>
              <w:top w:val="nil"/>
              <w:left w:val="nil"/>
              <w:bottom w:val="single" w:sz="4" w:space="0" w:color="auto"/>
              <w:right w:val="single" w:sz="4" w:space="0" w:color="auto"/>
            </w:tcBorders>
            <w:vAlign w:val="center"/>
          </w:tcPr>
          <w:p>
            <w:pPr>
              <w:jc w:val="center"/>
              <w:rPr>
                <w:rFonts w:ascii="宋体" w:hAnsi="宋体"/>
                <w:b/>
                <w:bCs/>
                <w:kern w:val="0"/>
              </w:rPr>
            </w:pPr>
            <w:r>
              <w:rPr>
                <w:rFonts w:ascii="宋体" w:hAnsi="宋体" w:hint="eastAsia"/>
                <w:b/>
                <w:bCs/>
                <w:kern w:val="0"/>
              </w:rPr>
              <w:t>知识产权</w:t>
            </w: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kern w:val="0"/>
              </w:rPr>
            </w:pPr>
            <w:r>
              <w:rPr>
                <w:rFonts w:ascii="宋体" w:hAnsi="宋体" w:hint="eastAsia"/>
                <w:kern w:val="0"/>
              </w:rPr>
              <w:t>4.1投标人应保证采购人在使用该货物或其任何一部分时，免受第三方提出的侵犯其专利权、商标权、著作权或其他知识产权的起诉。投标人保证所提供软件的合法性，所发生的任何知识产权纠纷与采购人无关。</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306"/>
          <w:jc w:val="center"/>
        </w:trPr>
        <w:tc>
          <w:tcPr>
            <w:tcW w:w="593" w:type="dxa"/>
            <w:vMerge/>
            <w:tcBorders>
              <w:top w:val="nil"/>
              <w:left w:val="single" w:sz="4" w:space="0" w:color="auto"/>
              <w:bottom w:val="single" w:sz="4" w:space="0" w:color="auto"/>
              <w:right w:val="single" w:sz="4" w:space="0" w:color="auto"/>
            </w:tcBorders>
            <w:vAlign w:val="center"/>
          </w:tcPr>
          <w:p>
            <w:pPr>
              <w:widowControl/>
              <w:jc w:val="left"/>
              <w:rPr>
                <w:rFonts w:ascii="宋体" w:hAnsi="宋体"/>
                <w:b/>
                <w:bCs/>
              </w:rPr>
            </w:pPr>
          </w:p>
        </w:tc>
        <w:tc>
          <w:tcPr>
            <w:tcW w:w="960" w:type="dxa"/>
            <w:vMerge/>
            <w:tcBorders>
              <w:top w:val="nil"/>
              <w:left w:val="nil"/>
              <w:bottom w:val="single" w:sz="4" w:space="0" w:color="auto"/>
              <w:right w:val="single" w:sz="4" w:space="0" w:color="auto"/>
            </w:tcBorders>
            <w:vAlign w:val="center"/>
          </w:tcPr>
          <w:p>
            <w:pPr>
              <w:widowControl/>
              <w:jc w:val="left"/>
              <w:rPr>
                <w:rFonts w:ascii="宋体" w:hAnsi="宋体"/>
                <w:b/>
                <w:bCs/>
                <w:kern w:val="0"/>
              </w:rPr>
            </w:pPr>
          </w:p>
        </w:tc>
        <w:tc>
          <w:tcPr>
            <w:tcW w:w="278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kern w:val="0"/>
              </w:rPr>
            </w:pPr>
            <w:r>
              <w:rPr>
                <w:rFonts w:ascii="宋体" w:hAnsi="宋体" w:hint="eastAsia"/>
                <w:kern w:val="0"/>
              </w:rPr>
              <w:t>4.2采购人购买产品后，有权对该产品与其他设备进行配套、整合或适当改进，而免受侵犯专利权的起诉。</w:t>
            </w:r>
          </w:p>
        </w:tc>
        <w:tc>
          <w:tcPr>
            <w:tcW w:w="1870"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402"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c>
          <w:tcPr>
            <w:tcW w:w="1208" w:type="dxa"/>
            <w:tcBorders>
              <w:top w:val="single" w:sz="4" w:space="0" w:color="auto"/>
              <w:left w:val="nil"/>
              <w:bottom w:val="single" w:sz="4" w:space="0" w:color="auto"/>
              <w:right w:val="single" w:sz="4" w:space="0" w:color="auto"/>
            </w:tcBorders>
          </w:tcPr>
          <w:p>
            <w:pPr>
              <w:autoSpaceDE w:val="0"/>
              <w:spacing w:line="320" w:lineRule="atLeast"/>
              <w:rPr>
                <w:rFonts w:ascii="宋体" w:hAnsi="宋体" w:hint="eastAsia"/>
                <w:kern w:val="0"/>
              </w:rPr>
            </w:pPr>
          </w:p>
        </w:tc>
      </w:tr>
      <w:tr>
        <w:tblPrEx>
          <w:tblW w:w="8813" w:type="dxa"/>
          <w:jc w:val="center"/>
          <w:tblInd w:w="0" w:type="dxa"/>
          <w:tblLayout w:type="fixed"/>
          <w:tblCellMar>
            <w:top w:w="0" w:type="dxa"/>
            <w:left w:w="108" w:type="dxa"/>
            <w:bottom w:w="0" w:type="dxa"/>
            <w:right w:w="108" w:type="dxa"/>
          </w:tblCellMar>
        </w:tblPrEx>
        <w:trPr>
          <w:trHeight w:val="144"/>
          <w:jc w:val="center"/>
        </w:trPr>
        <w:tc>
          <w:tcPr>
            <w:tcW w:w="593" w:type="dxa"/>
            <w:vMerge w:val="restart"/>
            <w:tcBorders>
              <w:left w:val="single" w:sz="4" w:space="0" w:color="auto"/>
              <w:right w:val="single" w:sz="4" w:space="0" w:color="auto"/>
            </w:tcBorders>
            <w:vAlign w:val="center"/>
          </w:tcPr>
          <w:p>
            <w:pPr>
              <w:jc w:val="center"/>
              <w:rPr>
                <w:rFonts w:ascii="宋体" w:hAnsi="宋体"/>
                <w:b/>
                <w:bCs/>
              </w:rPr>
            </w:pPr>
            <w:r>
              <w:rPr>
                <w:rFonts w:ascii="宋体" w:hAnsi="宋体" w:hint="eastAsia"/>
                <w:b/>
                <w:bCs/>
              </w:rPr>
              <w:t>5</w:t>
            </w:r>
          </w:p>
        </w:tc>
        <w:tc>
          <w:tcPr>
            <w:tcW w:w="960" w:type="dxa"/>
            <w:vMerge w:val="restart"/>
            <w:tcBorders>
              <w:left w:val="nil"/>
              <w:right w:val="single" w:sz="4" w:space="0" w:color="auto"/>
            </w:tcBorders>
            <w:vAlign w:val="center"/>
          </w:tcPr>
          <w:p>
            <w:pPr>
              <w:jc w:val="center"/>
              <w:rPr>
                <w:rFonts w:ascii="宋体" w:hAnsi="宋体"/>
                <w:b/>
                <w:bCs/>
                <w:kern w:val="0"/>
              </w:rPr>
            </w:pPr>
            <w:r>
              <w:rPr>
                <w:rFonts w:ascii="宋体" w:hAnsi="宋体" w:hint="eastAsia"/>
                <w:b/>
                <w:bCs/>
                <w:kern w:val="0"/>
              </w:rPr>
              <w:t>违约责任</w:t>
            </w:r>
          </w:p>
        </w:tc>
        <w:tc>
          <w:tcPr>
            <w:tcW w:w="2780"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5.1、如投标人未按照投标文件中承诺的时间交货或提供服务，投标人应承担延期交货和延期服务的违约责任，并赔偿采购人因此造成的实际经济损失。实际经济损失超出履约保证金（合同总金额5%）金额，采购人有权依法终止合同。</w:t>
            </w:r>
          </w:p>
        </w:tc>
        <w:tc>
          <w:tcPr>
            <w:tcW w:w="1870"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402"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208"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r>
      <w:tr>
        <w:tblPrEx>
          <w:tblW w:w="8813" w:type="dxa"/>
          <w:jc w:val="center"/>
          <w:tblInd w:w="0" w:type="dxa"/>
          <w:tblLayout w:type="fixed"/>
          <w:tblCellMar>
            <w:top w:w="0" w:type="dxa"/>
            <w:left w:w="108" w:type="dxa"/>
            <w:bottom w:w="0" w:type="dxa"/>
            <w:right w:w="108" w:type="dxa"/>
          </w:tblCellMar>
        </w:tblPrEx>
        <w:trPr>
          <w:trHeight w:val="144"/>
          <w:jc w:val="center"/>
        </w:trPr>
        <w:tc>
          <w:tcPr>
            <w:tcW w:w="593" w:type="dxa"/>
            <w:vMerge/>
            <w:tcBorders>
              <w:left w:val="single" w:sz="4" w:space="0" w:color="auto"/>
              <w:right w:val="single" w:sz="4" w:space="0" w:color="auto"/>
            </w:tcBorders>
            <w:vAlign w:val="center"/>
          </w:tcPr>
          <w:p>
            <w:pPr>
              <w:jc w:val="center"/>
              <w:rPr>
                <w:rFonts w:ascii="宋体" w:hAnsi="宋体"/>
                <w:b/>
                <w:bCs/>
              </w:rPr>
            </w:pPr>
          </w:p>
        </w:tc>
        <w:tc>
          <w:tcPr>
            <w:tcW w:w="960" w:type="dxa"/>
            <w:vMerge/>
            <w:tcBorders>
              <w:left w:val="nil"/>
              <w:right w:val="single" w:sz="4" w:space="0" w:color="auto"/>
            </w:tcBorders>
            <w:vAlign w:val="center"/>
          </w:tcPr>
          <w:p>
            <w:pPr>
              <w:jc w:val="center"/>
              <w:rPr>
                <w:rFonts w:ascii="宋体" w:hAnsi="宋体"/>
                <w:b/>
                <w:bCs/>
                <w:kern w:val="0"/>
              </w:rPr>
            </w:pPr>
          </w:p>
        </w:tc>
        <w:tc>
          <w:tcPr>
            <w:tcW w:w="2780"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5.2、中标人所交设备的品种、型号、规格、质量、功能、技术参数等方面不能实质性满足招标文件要约的，采购人有权拒绝收货，中标人向采购人偿付项目采购金额</w:t>
            </w:r>
            <w:r>
              <w:rPr>
                <w:rFonts w:ascii="宋体" w:hAnsi="宋体" w:cs="宋体" w:hint="eastAsia"/>
                <w:b/>
                <w:kern w:val="0"/>
                <w:szCs w:val="21"/>
              </w:rPr>
              <w:t>10%</w:t>
            </w:r>
            <w:r>
              <w:rPr>
                <w:rFonts w:ascii="宋体" w:hAnsi="宋体" w:cs="宋体" w:hint="eastAsia"/>
                <w:kern w:val="0"/>
                <w:szCs w:val="21"/>
              </w:rPr>
              <w:t>的违约金；造成严重后果的，根据《深圳经济特区政府采购条例》第五十七条第（二）款规定，由主管部门对中标人进行处罚。</w:t>
            </w:r>
          </w:p>
        </w:tc>
        <w:tc>
          <w:tcPr>
            <w:tcW w:w="1870"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402"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208"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r>
      <w:tr>
        <w:tblPrEx>
          <w:tblW w:w="8813" w:type="dxa"/>
          <w:jc w:val="center"/>
          <w:tblInd w:w="0" w:type="dxa"/>
          <w:tblLayout w:type="fixed"/>
          <w:tblCellMar>
            <w:top w:w="0" w:type="dxa"/>
            <w:left w:w="108" w:type="dxa"/>
            <w:bottom w:w="0" w:type="dxa"/>
            <w:right w:w="108" w:type="dxa"/>
          </w:tblCellMar>
        </w:tblPrEx>
        <w:trPr>
          <w:trHeight w:val="144"/>
          <w:jc w:val="center"/>
        </w:trPr>
        <w:tc>
          <w:tcPr>
            <w:tcW w:w="593" w:type="dxa"/>
            <w:vMerge/>
            <w:tcBorders>
              <w:left w:val="single" w:sz="4" w:space="0" w:color="auto"/>
              <w:right w:val="single" w:sz="4" w:space="0" w:color="auto"/>
            </w:tcBorders>
            <w:vAlign w:val="center"/>
          </w:tcPr>
          <w:p>
            <w:pPr>
              <w:jc w:val="center"/>
              <w:rPr>
                <w:rFonts w:ascii="宋体" w:hAnsi="宋体"/>
                <w:b/>
                <w:bCs/>
              </w:rPr>
            </w:pPr>
          </w:p>
        </w:tc>
        <w:tc>
          <w:tcPr>
            <w:tcW w:w="960" w:type="dxa"/>
            <w:vMerge/>
            <w:tcBorders>
              <w:left w:val="nil"/>
              <w:right w:val="single" w:sz="4" w:space="0" w:color="auto"/>
            </w:tcBorders>
            <w:vAlign w:val="center"/>
          </w:tcPr>
          <w:p>
            <w:pPr>
              <w:jc w:val="center"/>
              <w:rPr>
                <w:rFonts w:ascii="宋体" w:hAnsi="宋体"/>
                <w:b/>
                <w:bCs/>
                <w:kern w:val="0"/>
              </w:rPr>
            </w:pPr>
          </w:p>
        </w:tc>
        <w:tc>
          <w:tcPr>
            <w:tcW w:w="2780"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5.3、投标人不能交付设备的，投标人向采购人偿付项目采购金额</w:t>
            </w:r>
            <w:r>
              <w:rPr>
                <w:rFonts w:ascii="宋体" w:hAnsi="宋体" w:cs="宋体" w:hint="eastAsia"/>
                <w:b/>
                <w:kern w:val="0"/>
                <w:szCs w:val="21"/>
              </w:rPr>
              <w:t>10%</w:t>
            </w:r>
            <w:r>
              <w:rPr>
                <w:rFonts w:ascii="宋体" w:hAnsi="宋体" w:cs="宋体" w:hint="eastAsia"/>
                <w:kern w:val="0"/>
                <w:szCs w:val="21"/>
              </w:rPr>
              <w:t xml:space="preserve">违约金，并且甲方有权依法解除合同；造成严重后果的，根据《深圳经济特区政府采购条例》第五十七条第（二）款规定，由主管部门对中标人进行处罚。 </w:t>
            </w:r>
          </w:p>
        </w:tc>
        <w:tc>
          <w:tcPr>
            <w:tcW w:w="1870"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402"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208"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r>
      <w:tr>
        <w:tblPrEx>
          <w:tblW w:w="8813" w:type="dxa"/>
          <w:jc w:val="center"/>
          <w:tblInd w:w="0" w:type="dxa"/>
          <w:tblLayout w:type="fixed"/>
          <w:tblCellMar>
            <w:top w:w="0" w:type="dxa"/>
            <w:left w:w="108" w:type="dxa"/>
            <w:bottom w:w="0" w:type="dxa"/>
            <w:right w:w="108" w:type="dxa"/>
          </w:tblCellMar>
        </w:tblPrEx>
        <w:trPr>
          <w:trHeight w:val="144"/>
          <w:jc w:val="center"/>
        </w:trPr>
        <w:tc>
          <w:tcPr>
            <w:tcW w:w="593" w:type="dxa"/>
            <w:vMerge/>
            <w:tcBorders>
              <w:left w:val="single" w:sz="4" w:space="0" w:color="auto"/>
              <w:right w:val="single" w:sz="4" w:space="0" w:color="auto"/>
            </w:tcBorders>
            <w:vAlign w:val="center"/>
          </w:tcPr>
          <w:p>
            <w:pPr>
              <w:jc w:val="center"/>
              <w:rPr>
                <w:rFonts w:ascii="宋体" w:hAnsi="宋体"/>
                <w:b/>
                <w:bCs/>
              </w:rPr>
            </w:pPr>
          </w:p>
        </w:tc>
        <w:tc>
          <w:tcPr>
            <w:tcW w:w="960" w:type="dxa"/>
            <w:vMerge/>
            <w:tcBorders>
              <w:left w:val="nil"/>
              <w:right w:val="single" w:sz="4" w:space="0" w:color="auto"/>
            </w:tcBorders>
            <w:vAlign w:val="center"/>
          </w:tcPr>
          <w:p>
            <w:pPr>
              <w:jc w:val="center"/>
              <w:rPr>
                <w:rFonts w:ascii="宋体" w:hAnsi="宋体"/>
                <w:b/>
                <w:bCs/>
                <w:kern w:val="0"/>
              </w:rPr>
            </w:pPr>
          </w:p>
        </w:tc>
        <w:tc>
          <w:tcPr>
            <w:tcW w:w="2780"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5.4、投标人逾期未交设备的，投标人向采购人每日偿付设备款10‰的违约金。投标人超过交货期限</w:t>
            </w:r>
            <w:r>
              <w:rPr>
                <w:rFonts w:ascii="宋体" w:hAnsi="宋体" w:cs="宋体" w:hint="eastAsia"/>
                <w:kern w:val="0"/>
                <w:szCs w:val="21"/>
                <w:u w:val="single"/>
              </w:rPr>
              <w:t>30</w:t>
            </w:r>
            <w:r>
              <w:rPr>
                <w:rFonts w:ascii="宋体" w:hAnsi="宋体" w:cs="宋体" w:hint="eastAsia"/>
                <w:kern w:val="0"/>
                <w:szCs w:val="21"/>
              </w:rPr>
              <w:t>日仍未交货，采购人有权依法解除合同。</w:t>
            </w:r>
          </w:p>
        </w:tc>
        <w:tc>
          <w:tcPr>
            <w:tcW w:w="1870"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402"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208"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r>
      <w:tr>
        <w:tblPrEx>
          <w:tblW w:w="8813" w:type="dxa"/>
          <w:jc w:val="center"/>
          <w:tblInd w:w="0" w:type="dxa"/>
          <w:tblLayout w:type="fixed"/>
          <w:tblCellMar>
            <w:top w:w="0" w:type="dxa"/>
            <w:left w:w="108" w:type="dxa"/>
            <w:bottom w:w="0" w:type="dxa"/>
            <w:right w:w="108" w:type="dxa"/>
          </w:tblCellMar>
        </w:tblPrEx>
        <w:trPr>
          <w:trHeight w:val="144"/>
          <w:jc w:val="center"/>
        </w:trPr>
        <w:tc>
          <w:tcPr>
            <w:tcW w:w="593" w:type="dxa"/>
            <w:vMerge/>
            <w:tcBorders>
              <w:left w:val="single" w:sz="4" w:space="0" w:color="auto"/>
              <w:right w:val="single" w:sz="4" w:space="0" w:color="auto"/>
            </w:tcBorders>
            <w:vAlign w:val="center"/>
          </w:tcPr>
          <w:p>
            <w:pPr>
              <w:jc w:val="center"/>
              <w:rPr>
                <w:rFonts w:ascii="宋体" w:hAnsi="宋体"/>
                <w:b/>
                <w:bCs/>
              </w:rPr>
            </w:pPr>
          </w:p>
        </w:tc>
        <w:tc>
          <w:tcPr>
            <w:tcW w:w="960" w:type="dxa"/>
            <w:vMerge/>
            <w:tcBorders>
              <w:left w:val="nil"/>
              <w:right w:val="single" w:sz="4" w:space="0" w:color="auto"/>
            </w:tcBorders>
            <w:vAlign w:val="center"/>
          </w:tcPr>
          <w:p>
            <w:pPr>
              <w:jc w:val="center"/>
              <w:rPr>
                <w:rFonts w:ascii="宋体" w:hAnsi="宋体"/>
                <w:b/>
                <w:bCs/>
                <w:kern w:val="0"/>
              </w:rPr>
            </w:pPr>
          </w:p>
        </w:tc>
        <w:tc>
          <w:tcPr>
            <w:tcW w:w="2780" w:type="dxa"/>
            <w:tcBorders>
              <w:top w:val="single" w:sz="4" w:space="0" w:color="auto"/>
              <w:left w:val="nil"/>
              <w:bottom w:val="single" w:sz="4" w:space="0" w:color="auto"/>
              <w:right w:val="single" w:sz="4" w:space="0" w:color="auto"/>
            </w:tcBorders>
          </w:tcPr>
          <w:p>
            <w:pPr>
              <w:rPr>
                <w:rFonts w:ascii="宋体" w:hAnsi="宋体"/>
                <w:color w:val="FF0000"/>
                <w:kern w:val="0"/>
              </w:rPr>
            </w:pPr>
            <w:r>
              <w:rPr>
                <w:rFonts w:ascii="宋体" w:hAnsi="宋体" w:cs="宋体" w:hint="eastAsia"/>
                <w:kern w:val="0"/>
                <w:szCs w:val="21"/>
              </w:rPr>
              <w:t>5.5、违约金先从中标人履约保证金（合同总金额5%）中扣除，若有不足部分则由中标人补齐</w:t>
            </w:r>
          </w:p>
        </w:tc>
        <w:tc>
          <w:tcPr>
            <w:tcW w:w="1870"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402"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c>
          <w:tcPr>
            <w:tcW w:w="1208" w:type="dxa"/>
            <w:tcBorders>
              <w:top w:val="single" w:sz="4" w:space="0" w:color="auto"/>
              <w:left w:val="nil"/>
              <w:bottom w:val="single" w:sz="4" w:space="0" w:color="auto"/>
              <w:right w:val="single" w:sz="4" w:space="0" w:color="auto"/>
            </w:tcBorders>
          </w:tcPr>
          <w:p>
            <w:pPr>
              <w:rPr>
                <w:rFonts w:ascii="宋体" w:hAnsi="宋体" w:cs="宋体" w:hint="eastAsia"/>
                <w:kern w:val="0"/>
                <w:szCs w:val="21"/>
              </w:rPr>
            </w:pPr>
          </w:p>
        </w:tc>
      </w:tr>
      <w:tr>
        <w:tblPrEx>
          <w:tblW w:w="8813" w:type="dxa"/>
          <w:jc w:val="center"/>
          <w:tblInd w:w="0" w:type="dxa"/>
          <w:tblLayout w:type="fixed"/>
          <w:tblCellMar>
            <w:top w:w="0" w:type="dxa"/>
            <w:left w:w="108" w:type="dxa"/>
            <w:bottom w:w="0" w:type="dxa"/>
            <w:right w:w="108" w:type="dxa"/>
          </w:tblCellMar>
        </w:tblPrEx>
        <w:trPr>
          <w:trHeight w:val="614"/>
          <w:jc w:val="center"/>
        </w:trPr>
        <w:tc>
          <w:tcPr>
            <w:tcW w:w="593" w:type="dxa"/>
            <w:tcBorders>
              <w:left w:val="single" w:sz="4" w:space="0" w:color="auto"/>
              <w:right w:val="single" w:sz="4" w:space="0" w:color="auto"/>
            </w:tcBorders>
            <w:vAlign w:val="center"/>
          </w:tcPr>
          <w:p>
            <w:pPr>
              <w:jc w:val="center"/>
              <w:rPr>
                <w:rFonts w:ascii="宋体" w:hAnsi="宋体"/>
                <w:b/>
                <w:bCs/>
              </w:rPr>
            </w:pPr>
            <w:r>
              <w:rPr>
                <w:rFonts w:ascii="宋体" w:hAnsi="宋体" w:hint="eastAsia"/>
                <w:b/>
                <w:bCs/>
              </w:rPr>
              <w:t>6</w:t>
            </w:r>
          </w:p>
        </w:tc>
        <w:tc>
          <w:tcPr>
            <w:tcW w:w="960" w:type="dxa"/>
            <w:tcBorders>
              <w:left w:val="nil"/>
              <w:right w:val="single" w:sz="4" w:space="0" w:color="auto"/>
            </w:tcBorders>
            <w:vAlign w:val="center"/>
          </w:tcPr>
          <w:p>
            <w:pPr>
              <w:jc w:val="center"/>
              <w:rPr>
                <w:rFonts w:ascii="宋体" w:hAnsi="宋体"/>
                <w:b/>
                <w:bCs/>
                <w:kern w:val="0"/>
              </w:rPr>
            </w:pPr>
            <w:r>
              <w:rPr>
                <w:rFonts w:ascii="宋体" w:hAnsi="宋体" w:hint="eastAsia"/>
                <w:b/>
                <w:bCs/>
                <w:kern w:val="0"/>
              </w:rPr>
              <w:t>其他</w:t>
            </w:r>
          </w:p>
        </w:tc>
        <w:tc>
          <w:tcPr>
            <w:tcW w:w="2780" w:type="dxa"/>
            <w:tcBorders>
              <w:top w:val="single" w:sz="4" w:space="0" w:color="auto"/>
              <w:left w:val="nil"/>
              <w:bottom w:val="single" w:sz="4" w:space="0" w:color="auto"/>
              <w:right w:val="single" w:sz="4" w:space="0" w:color="auto"/>
            </w:tcBorders>
            <w:vAlign w:val="center"/>
          </w:tcPr>
          <w:p>
            <w:pPr>
              <w:rPr>
                <w:rFonts w:ascii="宋体" w:hAnsi="宋体"/>
                <w:color w:val="FF0000"/>
                <w:kern w:val="0"/>
              </w:rPr>
            </w:pPr>
            <w:r>
              <w:rPr>
                <w:rFonts w:ascii="宋体" w:hAnsi="宋体" w:cs="宋体" w:hint="eastAsia"/>
                <w:kern w:val="0"/>
                <w:szCs w:val="21"/>
              </w:rPr>
              <w:t>6.1投标人应按其投标文件中的承诺，保障售后服务工作。</w:t>
            </w:r>
          </w:p>
        </w:tc>
        <w:tc>
          <w:tcPr>
            <w:tcW w:w="1870" w:type="dxa"/>
            <w:tcBorders>
              <w:top w:val="single" w:sz="4" w:space="0" w:color="auto"/>
              <w:left w:val="nil"/>
              <w:bottom w:val="single" w:sz="4" w:space="0" w:color="auto"/>
              <w:right w:val="single" w:sz="4" w:space="0" w:color="auto"/>
            </w:tcBorders>
            <w:vAlign w:val="center"/>
          </w:tcPr>
          <w:p>
            <w:pPr>
              <w:rPr>
                <w:rFonts w:ascii="宋体" w:hAnsi="宋体" w:cs="宋体" w:hint="eastAsia"/>
                <w:kern w:val="0"/>
                <w:szCs w:val="21"/>
              </w:rPr>
            </w:pPr>
          </w:p>
        </w:tc>
        <w:tc>
          <w:tcPr>
            <w:tcW w:w="1402" w:type="dxa"/>
            <w:tcBorders>
              <w:top w:val="single" w:sz="4" w:space="0" w:color="auto"/>
              <w:left w:val="nil"/>
              <w:bottom w:val="single" w:sz="4" w:space="0" w:color="auto"/>
              <w:right w:val="single" w:sz="4" w:space="0" w:color="auto"/>
            </w:tcBorders>
            <w:vAlign w:val="center"/>
          </w:tcPr>
          <w:p>
            <w:pPr>
              <w:rPr>
                <w:rFonts w:ascii="宋体" w:hAnsi="宋体" w:cs="宋体" w:hint="eastAsia"/>
                <w:kern w:val="0"/>
                <w:szCs w:val="21"/>
              </w:rPr>
            </w:pPr>
          </w:p>
        </w:tc>
        <w:tc>
          <w:tcPr>
            <w:tcW w:w="1208" w:type="dxa"/>
            <w:tcBorders>
              <w:top w:val="single" w:sz="4" w:space="0" w:color="auto"/>
              <w:left w:val="nil"/>
              <w:bottom w:val="single" w:sz="4" w:space="0" w:color="auto"/>
              <w:right w:val="single" w:sz="4" w:space="0" w:color="auto"/>
            </w:tcBorders>
            <w:vAlign w:val="center"/>
          </w:tcPr>
          <w:p>
            <w:pPr>
              <w:rPr>
                <w:rFonts w:ascii="宋体" w:hAnsi="宋体" w:cs="宋体" w:hint="eastAsia"/>
                <w:kern w:val="0"/>
                <w:szCs w:val="21"/>
              </w:rPr>
            </w:pPr>
          </w:p>
        </w:tc>
      </w:tr>
      <w:tr>
        <w:tblPrEx>
          <w:tblW w:w="8813" w:type="dxa"/>
          <w:jc w:val="center"/>
          <w:tblInd w:w="0" w:type="dxa"/>
          <w:tblLayout w:type="fixed"/>
          <w:tblCellMar>
            <w:top w:w="0" w:type="dxa"/>
            <w:left w:w="108" w:type="dxa"/>
            <w:bottom w:w="0" w:type="dxa"/>
            <w:right w:w="108" w:type="dxa"/>
          </w:tblCellMar>
        </w:tblPrEx>
        <w:trPr>
          <w:trHeight w:val="614"/>
          <w:jc w:val="center"/>
        </w:trPr>
        <w:tc>
          <w:tcPr>
            <w:tcW w:w="593" w:type="dxa"/>
            <w:tcBorders>
              <w:left w:val="single" w:sz="4" w:space="0" w:color="auto"/>
              <w:right w:val="single" w:sz="4" w:space="0" w:color="auto"/>
            </w:tcBorders>
            <w:vAlign w:val="center"/>
          </w:tcPr>
          <w:p>
            <w:pPr>
              <w:jc w:val="center"/>
              <w:rPr>
                <w:rFonts w:ascii="宋体" w:hAnsi="宋体"/>
                <w:b/>
                <w:bCs/>
              </w:rPr>
            </w:pPr>
            <w:r>
              <w:rPr>
                <w:rFonts w:ascii="宋体" w:hAnsi="宋体" w:hint="eastAsia"/>
                <w:b/>
                <w:bCs/>
              </w:rPr>
              <w:t>7</w:t>
            </w:r>
          </w:p>
        </w:tc>
        <w:tc>
          <w:tcPr>
            <w:tcW w:w="960" w:type="dxa"/>
            <w:tcBorders>
              <w:left w:val="nil"/>
              <w:right w:val="single" w:sz="4" w:space="0" w:color="auto"/>
            </w:tcBorders>
            <w:vAlign w:val="center"/>
          </w:tcPr>
          <w:p>
            <w:pPr>
              <w:jc w:val="center"/>
              <w:rPr>
                <w:rFonts w:ascii="宋体" w:hAnsi="宋体"/>
                <w:b/>
                <w:bCs/>
                <w:kern w:val="0"/>
              </w:rPr>
            </w:pPr>
            <w:r>
              <w:rPr>
                <w:rFonts w:ascii="宋体" w:hAnsi="宋体" w:hint="eastAsia"/>
                <w:color w:val="FF0000"/>
              </w:rPr>
              <w:t>★</w:t>
            </w:r>
            <w:r>
              <w:rPr>
                <w:rFonts w:ascii="宋体" w:hAnsi="宋体" w:hint="eastAsia"/>
                <w:b/>
                <w:bCs/>
                <w:kern w:val="0"/>
              </w:rPr>
              <w:t>付款方式</w:t>
            </w:r>
          </w:p>
        </w:tc>
        <w:tc>
          <w:tcPr>
            <w:tcW w:w="2780" w:type="dxa"/>
            <w:tcBorders>
              <w:top w:val="single" w:sz="4" w:space="0" w:color="auto"/>
              <w:left w:val="nil"/>
              <w:bottom w:val="single" w:sz="4" w:space="0" w:color="auto"/>
              <w:right w:val="single" w:sz="4" w:space="0" w:color="auto"/>
            </w:tcBorders>
            <w:vAlign w:val="center"/>
          </w:tcPr>
          <w:p>
            <w:pPr>
              <w:autoSpaceDE w:val="0"/>
              <w:rPr>
                <w:rFonts w:ascii="宋体" w:hAnsi="宋体" w:cs="宋体"/>
                <w:kern w:val="0"/>
                <w:szCs w:val="21"/>
              </w:rPr>
            </w:pPr>
            <w:r>
              <w:rPr>
                <w:rFonts w:ascii="宋体" w:hAnsi="宋体" w:cs="宋体" w:hint="eastAsia"/>
                <w:b/>
                <w:bCs/>
                <w:color w:val="FF0000"/>
                <w:kern w:val="0"/>
                <w:szCs w:val="21"/>
              </w:rPr>
              <w:t>7.1本合同分两期付款。1.设备到货后甲方向</w:t>
            </w:r>
            <w:r>
              <w:rPr>
                <w:rFonts w:ascii="宋体" w:hAnsi="宋体" w:cs="宋体" w:hint="eastAsia"/>
                <w:b/>
                <w:bCs/>
                <w:color w:val="FF0000"/>
                <w:kern w:val="0"/>
                <w:szCs w:val="21"/>
                <w:lang w:eastAsia="zh-CN"/>
              </w:rPr>
              <w:t>乙方</w:t>
            </w:r>
            <w:r>
              <w:rPr>
                <w:rFonts w:ascii="宋体" w:hAnsi="宋体" w:cs="宋体" w:hint="eastAsia"/>
                <w:b/>
                <w:bCs/>
                <w:color w:val="FF0000"/>
                <w:kern w:val="0"/>
                <w:szCs w:val="21"/>
              </w:rPr>
              <w:t>支付合同总价款70%。2.设备安装验收后提交合同总价款5%履约</w:t>
            </w:r>
            <w:r>
              <w:rPr>
                <w:rFonts w:ascii="宋体" w:hAnsi="宋体" w:cs="宋体" w:hint="eastAsia"/>
                <w:b/>
                <w:bCs/>
                <w:color w:val="FF0000"/>
                <w:kern w:val="0"/>
                <w:szCs w:val="21"/>
                <w:lang w:eastAsia="zh-CN"/>
              </w:rPr>
              <w:t>保证金（应当以支票、汇票、本票或保函等非现金形式提交（具体形式以双方协商为准））</w:t>
            </w:r>
            <w:r>
              <w:rPr>
                <w:rFonts w:ascii="宋体" w:hAnsi="宋体" w:cs="宋体" w:hint="eastAsia"/>
                <w:b/>
                <w:bCs/>
                <w:color w:val="FF0000"/>
                <w:kern w:val="0"/>
                <w:szCs w:val="21"/>
              </w:rPr>
              <w:t>，甲方向乙方支付合同总价款30%。3.在设备验收合格后，甲方归还5%履约保函给乙方。因财政资金拨款未到位而导致甲方未在约定期限内支付合同费用的，乙方不得要求甲方承担逾期付款的违约责任。每次付款前，乙方应需先提供相应额度的正规发票给甲方，以便办理支付手续。具体付款方式按深圳市龙华区财政局有关规定执行。</w:t>
            </w:r>
          </w:p>
        </w:tc>
        <w:tc>
          <w:tcPr>
            <w:tcW w:w="1870" w:type="dxa"/>
            <w:tcBorders>
              <w:top w:val="single" w:sz="4" w:space="0" w:color="auto"/>
              <w:left w:val="nil"/>
              <w:bottom w:val="single" w:sz="4" w:space="0" w:color="auto"/>
              <w:right w:val="single" w:sz="4" w:space="0" w:color="auto"/>
            </w:tcBorders>
            <w:vAlign w:val="center"/>
          </w:tcPr>
          <w:p>
            <w:pPr>
              <w:autoSpaceDE w:val="0"/>
              <w:rPr>
                <w:rFonts w:ascii="宋体" w:hAnsi="宋体" w:cs="宋体" w:hint="eastAsia"/>
                <w:b/>
                <w:bCs/>
                <w:color w:val="FF0000"/>
                <w:kern w:val="0"/>
                <w:szCs w:val="21"/>
              </w:rPr>
            </w:pPr>
          </w:p>
        </w:tc>
        <w:tc>
          <w:tcPr>
            <w:tcW w:w="1402" w:type="dxa"/>
            <w:tcBorders>
              <w:top w:val="single" w:sz="4" w:space="0" w:color="auto"/>
              <w:left w:val="nil"/>
              <w:bottom w:val="single" w:sz="4" w:space="0" w:color="auto"/>
              <w:right w:val="single" w:sz="4" w:space="0" w:color="auto"/>
            </w:tcBorders>
            <w:vAlign w:val="center"/>
          </w:tcPr>
          <w:p>
            <w:pPr>
              <w:autoSpaceDE w:val="0"/>
              <w:rPr>
                <w:rFonts w:ascii="宋体" w:hAnsi="宋体" w:cs="宋体" w:hint="eastAsia"/>
                <w:b/>
                <w:bCs/>
                <w:color w:val="FF0000"/>
                <w:kern w:val="0"/>
                <w:szCs w:val="21"/>
              </w:rPr>
            </w:pPr>
          </w:p>
        </w:tc>
        <w:tc>
          <w:tcPr>
            <w:tcW w:w="1208" w:type="dxa"/>
            <w:tcBorders>
              <w:top w:val="single" w:sz="4" w:space="0" w:color="auto"/>
              <w:left w:val="nil"/>
              <w:bottom w:val="single" w:sz="4" w:space="0" w:color="auto"/>
              <w:right w:val="single" w:sz="4" w:space="0" w:color="auto"/>
            </w:tcBorders>
            <w:vAlign w:val="center"/>
          </w:tcPr>
          <w:p>
            <w:pPr>
              <w:autoSpaceDE w:val="0"/>
              <w:rPr>
                <w:rFonts w:ascii="宋体" w:hAnsi="宋体" w:cs="宋体" w:hint="eastAsia"/>
                <w:b/>
                <w:bCs/>
                <w:color w:val="FF0000"/>
                <w:kern w:val="0"/>
                <w:szCs w:val="21"/>
              </w:rPr>
            </w:pPr>
          </w:p>
        </w:tc>
      </w:tr>
    </w:tbl>
    <w:p>
      <w:pPr>
        <w:keepNext/>
        <w:keepLines/>
        <w:widowControl w:val="0"/>
        <w:numPr>
          <w:ilvl w:val="0"/>
          <w:numId w:val="0"/>
        </w:numPr>
        <w:spacing w:line="360" w:lineRule="auto"/>
        <w:jc w:val="both"/>
        <w:outlineLvl w:val="2"/>
        <w:rPr>
          <w:rFonts w:ascii="宋体" w:hAnsi="宋体" w:cs="宋体" w:hint="eastAsia"/>
          <w:sz w:val="24"/>
          <w:szCs w:val="20"/>
        </w:rPr>
      </w:pPr>
    </w:p>
    <w:p>
      <w:pPr>
        <w:spacing w:line="360" w:lineRule="auto"/>
        <w:rPr>
          <w:rFonts w:ascii="宋体" w:hAnsi="宋体" w:cs="宋体"/>
          <w:b/>
          <w:sz w:val="24"/>
        </w:rPr>
      </w:pPr>
    </w:p>
    <w:p>
      <w:pPr>
        <w:spacing w:line="360" w:lineRule="auto"/>
        <w:rPr>
          <w:rFonts w:ascii="宋体" w:hAnsi="宋体" w:cs="宋体"/>
          <w:b/>
          <w:sz w:val="24"/>
        </w:rPr>
      </w:pPr>
      <w:r>
        <w:rPr>
          <w:rFonts w:ascii="宋体" w:hAnsi="宋体" w:cs="宋体" w:hint="eastAsia"/>
          <w:b/>
          <w:sz w:val="24"/>
        </w:rPr>
        <w:t>《商务要求偏离表》编制指引：</w:t>
      </w:r>
    </w:p>
    <w:p>
      <w:pPr>
        <w:spacing w:line="360" w:lineRule="auto"/>
        <w:rPr>
          <w:rFonts w:ascii="宋体" w:hAnsi="宋体" w:cs="宋体"/>
          <w:b/>
          <w:sz w:val="24"/>
        </w:rPr>
      </w:pPr>
      <w:r>
        <w:rPr>
          <w:rFonts w:ascii="宋体" w:hAnsi="宋体" w:cs="宋体" w:hint="eastAsia"/>
          <w:b/>
          <w:sz w:val="24"/>
        </w:rPr>
        <w:t>1、商务要求偏离表的序号、商务需求项、招标商务要求等栏目对应“用户需求书”中的“商务要求”章节相关内容。</w:t>
      </w:r>
    </w:p>
    <w:p>
      <w:pPr>
        <w:spacing w:line="360" w:lineRule="auto"/>
        <w:rPr>
          <w:rFonts w:ascii="宋体" w:hAnsi="宋体" w:cs="宋体"/>
          <w:b/>
          <w:sz w:val="24"/>
        </w:rPr>
      </w:pPr>
      <w:r>
        <w:rPr>
          <w:rFonts w:ascii="宋体" w:hAnsi="宋体" w:cs="宋体" w:hint="eastAsia"/>
          <w:b/>
          <w:sz w:val="24"/>
        </w:rPr>
        <w:t>2、“投标商务响应”一栏必须一一对照“招标商务要求”，详细填写自身响应情况，以体现具体响应情况。</w:t>
      </w:r>
    </w:p>
    <w:p>
      <w:pPr>
        <w:spacing w:line="360" w:lineRule="auto"/>
        <w:rPr>
          <w:rFonts w:ascii="宋体" w:hAnsi="宋体" w:cs="宋体"/>
          <w:color w:val="FF0000"/>
          <w:sz w:val="24"/>
        </w:rPr>
      </w:pPr>
      <w:r>
        <w:rPr>
          <w:rFonts w:ascii="宋体" w:hAnsi="宋体" w:cs="宋体" w:hint="eastAsia"/>
          <w:b/>
          <w:sz w:val="24"/>
        </w:rPr>
        <w:t>3、“偏离情况”一栏填写如实填写“正偏离”、“负偏离”或“无偏离”，其中：“正偏离”表示“投标响应优于招标商务要求”，“负偏离”表示“投标响应不满足招标商务要求”，“无偏离”表示“投标响应与招标商务要求一致”。</w:t>
      </w:r>
    </w:p>
    <w:p>
      <w:pPr>
        <w:spacing w:line="360" w:lineRule="auto"/>
        <w:rPr>
          <w:rFonts w:ascii="宋体" w:hAnsi="宋体" w:cs="宋体"/>
          <w:sz w:val="24"/>
        </w:rPr>
      </w:pPr>
      <w:r>
        <w:rPr>
          <w:rFonts w:ascii="宋体" w:hAnsi="宋体" w:cs="宋体" w:hint="eastAsia"/>
          <w:b/>
          <w:sz w:val="24"/>
        </w:rPr>
        <w:t>“投标商务响应”对比“招标商务要求”存在响应不全（包括未响应整项招标商务要求或者未响应一项招标商务要求的部分内容），均视为“负偏离”。</w:t>
      </w:r>
    </w:p>
    <w:p>
      <w:pPr>
        <w:spacing w:line="360" w:lineRule="auto"/>
        <w:rPr>
          <w:rFonts w:ascii="宋体" w:hAnsi="宋体" w:cs="宋体"/>
          <w:sz w:val="24"/>
        </w:rPr>
      </w:pPr>
    </w:p>
    <w:p>
      <w:pPr>
        <w:spacing w:line="360" w:lineRule="auto"/>
        <w:rPr>
          <w:rFonts w:ascii="宋体" w:hAnsi="宋体" w:cs="宋体"/>
          <w:sz w:val="24"/>
        </w:rPr>
      </w:pPr>
    </w:p>
    <w:p>
      <w:pPr>
        <w:keepNext/>
        <w:keepLines/>
        <w:spacing w:line="360" w:lineRule="auto"/>
        <w:jc w:val="center"/>
        <w:outlineLvl w:val="2"/>
        <w:rPr>
          <w:rFonts w:ascii="宋体" w:hAnsi="宋体" w:cs="宋体"/>
          <w:sz w:val="24"/>
          <w:szCs w:val="20"/>
        </w:rPr>
      </w:pPr>
      <w:bookmarkStart w:id="82" w:name="_Hlk72260576"/>
      <w:r>
        <w:rPr>
          <w:rFonts w:ascii="宋体" w:eastAsia="宋体" w:hAnsi="宋体" w:cs="宋体" w:hint="eastAsia"/>
          <w:sz w:val="24"/>
          <w:szCs w:val="20"/>
          <w:lang w:eastAsia="zh-CN"/>
        </w:rPr>
        <w:t>九</w:t>
      </w:r>
      <w:r>
        <w:rPr>
          <w:rFonts w:ascii="宋体" w:hAnsi="宋体" w:cs="宋体" w:hint="eastAsia"/>
          <w:sz w:val="24"/>
          <w:szCs w:val="20"/>
        </w:rPr>
        <w:t>、</w:t>
      </w:r>
      <w:bookmarkStart w:id="83" w:name="_Hlk72062872"/>
      <w:r>
        <w:rPr>
          <w:rFonts w:ascii="宋体" w:hAnsi="宋体" w:cs="宋体" w:hint="eastAsia"/>
          <w:sz w:val="24"/>
          <w:szCs w:val="20"/>
        </w:rPr>
        <w:t>投标人认为需要加以说明的其他内容</w:t>
      </w:r>
      <w:bookmarkEnd w:id="83"/>
    </w:p>
    <w:p>
      <w:pPr>
        <w:spacing w:line="360" w:lineRule="auto"/>
        <w:rPr>
          <w:rFonts w:ascii="宋体" w:hAnsi="宋体" w:cs="宋体"/>
        </w:rPr>
      </w:pPr>
      <w:bookmarkEnd w:id="82"/>
    </w:p>
    <w:p>
      <w:pPr>
        <w:spacing w:line="360" w:lineRule="auto"/>
        <w:rPr>
          <w:rFonts w:ascii="宋体" w:hAnsi="宋体" w:cs="宋体"/>
        </w:rPr>
      </w:pPr>
    </w:p>
    <w:p>
      <w:pPr>
        <w:spacing w:line="360" w:lineRule="auto"/>
        <w:rPr>
          <w:rFonts w:ascii="宋体" w:hAnsi="宋体" w:cs="宋体"/>
        </w:rPr>
      </w:pPr>
    </w:p>
    <w:p>
      <w:pPr>
        <w:rPr>
          <w:rFonts w:ascii="宋体" w:hAnsi="宋体" w:cs="宋体"/>
        </w:rPr>
      </w:pPr>
      <w:r>
        <w:rPr>
          <w:rFonts w:ascii="宋体" w:hAnsi="宋体" w:cs="宋体" w:hint="eastAsia"/>
        </w:rPr>
        <w:br w:type="page"/>
      </w:r>
    </w:p>
    <w:p>
      <w:pPr>
        <w:adjustRightInd w:val="0"/>
        <w:spacing w:line="360" w:lineRule="auto"/>
        <w:jc w:val="center"/>
        <w:textAlignment w:val="baseline"/>
        <w:outlineLvl w:val="1"/>
        <w:rPr>
          <w:rFonts w:ascii="宋体" w:hAnsi="宋体" w:cs="宋体"/>
          <w:kern w:val="0"/>
          <w:sz w:val="24"/>
          <w:szCs w:val="20"/>
        </w:rPr>
      </w:pPr>
      <w:bookmarkStart w:id="84" w:name="_Hlk72439706"/>
      <w:r>
        <w:rPr>
          <w:rFonts w:ascii="宋体" w:hAnsi="宋体" w:cs="宋体" w:hint="eastAsia"/>
          <w:kern w:val="0"/>
          <w:sz w:val="24"/>
          <w:szCs w:val="20"/>
        </w:rPr>
        <w:t>第五章  合同条款及格式</w:t>
      </w:r>
    </w:p>
    <w:p>
      <w:pPr>
        <w:spacing w:line="360" w:lineRule="auto"/>
        <w:rPr>
          <w:rFonts w:ascii="宋体" w:hAnsi="宋体" w:cs="宋体"/>
        </w:rPr>
      </w:pPr>
    </w:p>
    <w:p>
      <w:pPr>
        <w:spacing w:line="360" w:lineRule="auto"/>
        <w:jc w:val="center"/>
        <w:outlineLvl w:val="0"/>
        <w:rPr>
          <w:rFonts w:ascii="宋体" w:hAnsi="宋体" w:cs="宋体"/>
        </w:rPr>
      </w:pPr>
      <w:bookmarkStart w:id="85" w:name="_Hlk72574405"/>
      <w:bookmarkStart w:id="86" w:name="_Hlk72260917"/>
      <w:r>
        <w:rPr>
          <w:rFonts w:ascii="宋体" w:hAnsi="宋体" w:cs="宋体" w:hint="eastAsia"/>
          <w:b/>
          <w:sz w:val="24"/>
        </w:rPr>
        <w:t>（仅供参考，具体以项目需求及采购结果为准）</w:t>
      </w:r>
      <w:bookmarkEnd w:id="85"/>
    </w:p>
    <w:p>
      <w:pPr>
        <w:pStyle w:val="BodyText"/>
        <w:ind w:right="-900" w:firstLine="1901" w:rightChars="-375" w:firstLineChars="792"/>
        <w:rPr>
          <w:rFonts w:ascii="黑体" w:eastAsia="黑体" w:hAnsi="黑体" w:cs="黑体"/>
          <w:b w:val="0"/>
          <w:sz w:val="32"/>
          <w:szCs w:val="32"/>
        </w:rPr>
      </w:pPr>
      <w:bookmarkEnd w:id="86"/>
      <w:r>
        <w:rPr>
          <w:rFonts w:ascii="黑体" w:eastAsia="黑体" w:hAnsi="黑体" w:cs="黑体" w:hint="eastAsia"/>
          <w:b w:val="0"/>
          <w:sz w:val="32"/>
          <w:szCs w:val="32"/>
        </w:rPr>
        <w:t>医疗设备器械购销合同</w:t>
      </w:r>
    </w:p>
    <w:p>
      <w:pPr>
        <w:pStyle w:val="BodyText"/>
        <w:ind w:right="-900" w:firstLine="1901" w:rightChars="-375" w:firstLineChars="792"/>
        <w:rPr>
          <w:rFonts w:ascii="宋体" w:hAnsi="宋体"/>
          <w:b w:val="0"/>
          <w:sz w:val="21"/>
          <w:szCs w:val="21"/>
        </w:rPr>
      </w:pPr>
      <w:r>
        <w:rPr>
          <w:rFonts w:ascii="宋体" w:hAnsi="宋体" w:hint="eastAsia"/>
          <w:b w:val="0"/>
          <w:sz w:val="21"/>
          <w:szCs w:val="21"/>
        </w:rPr>
        <w:t xml:space="preserve">                                     合同编号：xxxxxxxxxxx</w:t>
      </w:r>
    </w:p>
    <w:p>
      <w:pPr>
        <w:pStyle w:val="IndexHeading"/>
        <w:spacing w:before="120" w:beforeLines="50" w:after="120" w:afterLines="50" w:line="360" w:lineRule="auto"/>
        <w:rPr>
          <w:rFonts w:ascii="宋体" w:hAnsi="宋体" w:cs="宋体"/>
          <w:sz w:val="24"/>
        </w:rPr>
      </w:pPr>
      <w:r>
        <w:rPr>
          <w:rFonts w:ascii="宋体" w:hAnsi="宋体" w:cs="宋体" w:hint="eastAsia"/>
          <w:sz w:val="24"/>
        </w:rPr>
        <w:t>甲方：深圳市龙华区卫生健康局</w:t>
      </w:r>
    </w:p>
    <w:p>
      <w:pPr>
        <w:pStyle w:val="IndexHeading"/>
        <w:spacing w:before="120" w:beforeLines="50" w:after="120" w:afterLines="50" w:line="360" w:lineRule="auto"/>
        <w:rPr>
          <w:rFonts w:ascii="宋体" w:hAnsi="宋体" w:cs="宋体"/>
          <w:sz w:val="24"/>
        </w:rPr>
      </w:pPr>
      <w:r>
        <w:rPr>
          <w:rFonts w:ascii="宋体" w:hAnsi="宋体" w:cs="宋体" w:hint="eastAsia"/>
          <w:sz w:val="24"/>
        </w:rPr>
        <w:t>乙方（供货商）：xxxxxxxx</w:t>
      </w:r>
    </w:p>
    <w:p>
      <w:pPr>
        <w:pStyle w:val="Index1"/>
        <w:rPr>
          <w:rFonts w:cs="宋体"/>
          <w:szCs w:val="20"/>
        </w:rPr>
      </w:pPr>
      <w:r>
        <w:rPr>
          <w:rFonts w:cs="宋体" w:hint="eastAsia"/>
          <w:szCs w:val="20"/>
        </w:rPr>
        <w:t>统一社会信用代码：</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合同签订双方根据 2022年xx月xx 日， xxxxxx   采购项目（项目编号： xxxxx ）招投标的结果和“招标文件”的要求，按照《中华人民共和国民法典》和《深圳经济特区政府采购条例》等法律法规的规定，经双方协商一致，达成以下购销合同：</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一、货物标的</w:t>
      </w:r>
    </w:p>
    <w:tbl>
      <w:tblPr>
        <w:tblStyle w:val="TableNormal"/>
        <w:tblW w:w="9653" w:type="dxa"/>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904"/>
        <w:gridCol w:w="1333"/>
        <w:gridCol w:w="1311"/>
        <w:gridCol w:w="1133"/>
        <w:gridCol w:w="708"/>
        <w:gridCol w:w="732"/>
        <w:gridCol w:w="1257"/>
        <w:gridCol w:w="1275"/>
      </w:tblGrid>
      <w:tr>
        <w:tblPrEx>
          <w:tblW w:w="9653" w:type="dxa"/>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851"/>
        </w:trPr>
        <w:tc>
          <w:tcPr>
            <w:tcW w:w="1904" w:type="dxa"/>
            <w:tcBorders>
              <w:left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货物名称</w:t>
            </w:r>
          </w:p>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（注册证名称）</w:t>
            </w:r>
          </w:p>
        </w:tc>
        <w:tc>
          <w:tcPr>
            <w:tcW w:w="1333"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规格型号</w:t>
            </w:r>
          </w:p>
        </w:tc>
        <w:tc>
          <w:tcPr>
            <w:tcW w:w="1311"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品牌</w:t>
            </w:r>
          </w:p>
        </w:tc>
        <w:tc>
          <w:tcPr>
            <w:tcW w:w="1133"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原产地</w:t>
            </w:r>
          </w:p>
        </w:tc>
        <w:tc>
          <w:tcPr>
            <w:tcW w:w="708"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数量</w:t>
            </w:r>
          </w:p>
        </w:tc>
        <w:tc>
          <w:tcPr>
            <w:tcW w:w="732"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单位</w:t>
            </w:r>
          </w:p>
        </w:tc>
        <w:tc>
          <w:tcPr>
            <w:tcW w:w="1257"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单价（元）</w:t>
            </w:r>
          </w:p>
        </w:tc>
        <w:tc>
          <w:tcPr>
            <w:tcW w:w="1275" w:type="dxa"/>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成交金额（元）</w:t>
            </w:r>
          </w:p>
        </w:tc>
      </w:tr>
      <w:tr>
        <w:tblPrEx>
          <w:tblW w:w="9653" w:type="dxa"/>
          <w:tblInd w:w="-581" w:type="dxa"/>
          <w:tblLayout w:type="fixed"/>
          <w:tblCellMar>
            <w:top w:w="0" w:type="dxa"/>
            <w:left w:w="108" w:type="dxa"/>
            <w:bottom w:w="0" w:type="dxa"/>
            <w:right w:w="108" w:type="dxa"/>
          </w:tblCellMar>
        </w:tblPrEx>
        <w:trPr>
          <w:trHeight w:val="507"/>
        </w:trPr>
        <w:tc>
          <w:tcPr>
            <w:tcW w:w="1904" w:type="dxa"/>
            <w:tcBorders>
              <w:left w:val="single" w:sz="4" w:space="0" w:color="auto"/>
              <w:bottom w:val="single" w:sz="4" w:space="0" w:color="auto"/>
            </w:tcBorders>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xxxx</w:t>
            </w:r>
          </w:p>
        </w:tc>
        <w:tc>
          <w:tcPr>
            <w:tcW w:w="1333"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xxx</w:t>
            </w:r>
          </w:p>
        </w:tc>
        <w:tc>
          <w:tcPr>
            <w:tcW w:w="1311"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xxx</w:t>
            </w:r>
          </w:p>
        </w:tc>
        <w:tc>
          <w:tcPr>
            <w:tcW w:w="1133"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w:t>
            </w:r>
          </w:p>
        </w:tc>
        <w:tc>
          <w:tcPr>
            <w:tcW w:w="708"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w:t>
            </w:r>
          </w:p>
        </w:tc>
        <w:tc>
          <w:tcPr>
            <w:tcW w:w="732"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w:t>
            </w:r>
          </w:p>
        </w:tc>
        <w:tc>
          <w:tcPr>
            <w:tcW w:w="1257"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w:t>
            </w:r>
          </w:p>
        </w:tc>
        <w:tc>
          <w:tcPr>
            <w:tcW w:w="1275" w:type="dxa"/>
            <w:tcBorders>
              <w:bottom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xx</w:t>
            </w:r>
          </w:p>
        </w:tc>
      </w:tr>
      <w:tr>
        <w:tblPrEx>
          <w:tblW w:w="9653" w:type="dxa"/>
          <w:tblInd w:w="-581" w:type="dxa"/>
          <w:tblLayout w:type="fixed"/>
          <w:tblCellMar>
            <w:top w:w="0" w:type="dxa"/>
            <w:left w:w="108" w:type="dxa"/>
            <w:bottom w:w="0" w:type="dxa"/>
            <w:right w:w="108" w:type="dxa"/>
          </w:tblCellMar>
        </w:tblPrEx>
        <w:trPr>
          <w:trHeight w:val="564"/>
        </w:trPr>
        <w:tc>
          <w:tcPr>
            <w:tcW w:w="7121" w:type="dxa"/>
            <w:gridSpan w:val="6"/>
            <w:tcBorders>
              <w:left w:val="single" w:sz="4" w:space="0" w:color="auto"/>
            </w:tcBorders>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合计成交金额（大写）：xxxxxxx元整</w:t>
            </w:r>
          </w:p>
        </w:tc>
        <w:tc>
          <w:tcPr>
            <w:tcW w:w="2532" w:type="dxa"/>
            <w:gridSpan w:val="2"/>
            <w:vAlign w:val="center"/>
          </w:tcPr>
          <w:p>
            <w:pPr>
              <w:pStyle w:val="IndexHeading"/>
              <w:spacing w:before="120" w:beforeLines="50" w:after="120" w:afterLines="50" w:line="360" w:lineRule="auto"/>
              <w:jc w:val="center"/>
              <w:rPr>
                <w:rFonts w:ascii="宋体" w:hAnsi="宋体" w:cs="宋体"/>
                <w:sz w:val="24"/>
              </w:rPr>
            </w:pPr>
            <w:r>
              <w:rPr>
                <w:rFonts w:ascii="宋体" w:hAnsi="宋体" w:cs="宋体" w:hint="eastAsia"/>
                <w:sz w:val="24"/>
              </w:rPr>
              <w:t>合计：xxxx元</w:t>
            </w:r>
          </w:p>
        </w:tc>
      </w:tr>
    </w:tbl>
    <w:p>
      <w:pPr>
        <w:ind w:firstLine="480" w:firstLineChars="200"/>
        <w:rPr>
          <w:rFonts w:ascii="宋体" w:hAnsi="宋体" w:cs="宋体"/>
          <w:sz w:val="24"/>
          <w:szCs w:val="20"/>
        </w:rPr>
      </w:pP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二、合同总价：￥xxxxx 元（大写人民币xxxxxx元整）。</w:t>
      </w:r>
    </w:p>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（此价包含设备的包装费、运费、装卸费、仓储费、保险费、安装调试费、培训费、商检及计量检测费、关税、增值税和进口代理费等到达目的地相关所有费用）。 </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三、交货、 验收时间和地点</w:t>
      </w:r>
    </w:p>
    <w:p>
      <w:pPr>
        <w:pStyle w:val="IndexHeading"/>
        <w:spacing w:before="120" w:beforeLines="50" w:after="120" w:afterLines="50" w:line="360" w:lineRule="auto"/>
        <w:ind w:firstLine="480" w:firstLineChars="200"/>
        <w:rPr>
          <w:rFonts w:ascii="宋体" w:hAnsi="宋体" w:cs="宋体"/>
          <w:sz w:val="24"/>
          <w:szCs w:val="24"/>
        </w:rPr>
      </w:pPr>
      <w:r>
        <w:rPr>
          <w:rFonts w:ascii="宋体" w:hAnsi="宋体" w:cs="宋体"/>
          <w:sz w:val="24"/>
          <w:szCs w:val="24"/>
        </w:rPr>
        <w:t>1.交货时间：自合同签订日起180天（日历日）完成交货；具体安装时间以甲方通知时间为准。</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2.验收地点：深圳市龙华区平安医院。</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四、设备质量及包装要求：</w:t>
      </w:r>
    </w:p>
    <w:p>
      <w:pPr>
        <w:pStyle w:val="IndexHeading"/>
        <w:numPr>
          <w:ilvl w:val="0"/>
          <w:numId w:val="5"/>
        </w:numPr>
        <w:spacing w:before="120" w:beforeLines="50" w:after="120" w:afterLines="50" w:line="360" w:lineRule="auto"/>
        <w:rPr>
          <w:rFonts w:ascii="宋体" w:hAnsi="宋体" w:cs="宋体"/>
          <w:sz w:val="24"/>
        </w:rPr>
      </w:pPr>
      <w:r>
        <w:rPr>
          <w:rFonts w:ascii="宋体" w:hAnsi="宋体" w:cs="宋体" w:hint="eastAsia"/>
          <w:sz w:val="24"/>
        </w:rPr>
        <w:t>乙方应提供货物的技术文件，包括但不限于设备配置清单、产品说明书、图纸、操作手册、维护手册（含维修密码及接口数据）、质量保证文件、服务指南等，所有外文资料须提供中文译本。文件（附电子版PDF）应随货物一并交付至甲方指定地点。</w:t>
      </w:r>
    </w:p>
    <w:p>
      <w:pPr>
        <w:pStyle w:val="IndexHeading"/>
        <w:numPr>
          <w:ilvl w:val="0"/>
          <w:numId w:val="5"/>
        </w:numPr>
        <w:spacing w:before="120" w:beforeLines="50" w:after="120" w:afterLines="50" w:line="360" w:lineRule="auto"/>
        <w:rPr>
          <w:rFonts w:ascii="宋体" w:hAnsi="宋体" w:cs="宋体"/>
          <w:sz w:val="24"/>
        </w:rPr>
      </w:pPr>
      <w:r>
        <w:rPr>
          <w:rFonts w:ascii="宋体" w:hAnsi="宋体" w:cs="宋体" w:hint="eastAsia"/>
          <w:sz w:val="24"/>
        </w:rPr>
        <w:t>提供的货物必须为全新、经检验合格的产品。产品如需要计量检定的应提供相关计量检定部门出具的合法检定报告。其中，进口设备必须具有报关证明文件、原产地证明和商检合格证明文件。</w:t>
      </w:r>
    </w:p>
    <w:p>
      <w:pPr>
        <w:pStyle w:val="IndexHeading"/>
        <w:numPr>
          <w:ilvl w:val="0"/>
          <w:numId w:val="5"/>
        </w:numPr>
        <w:spacing w:before="120" w:beforeLines="50" w:after="120" w:afterLines="50" w:line="360" w:lineRule="auto"/>
        <w:rPr>
          <w:rFonts w:ascii="宋体" w:hAnsi="宋体" w:cs="宋体"/>
          <w:sz w:val="24"/>
        </w:rPr>
      </w:pPr>
      <w:r>
        <w:rPr>
          <w:rFonts w:ascii="宋体" w:hAnsi="宋体" w:cs="宋体" w:hint="eastAsia"/>
          <w:sz w:val="24"/>
        </w:rPr>
        <w:t>设备运输过程中产生的风险由乙方承担，要求使用国际通用的标准包装，适合于长途运输，外包装到货时应完好无损。</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五、验收、培训</w:t>
      </w:r>
    </w:p>
    <w:p>
      <w:pPr>
        <w:pStyle w:val="IndexHeading"/>
        <w:numPr>
          <w:ilvl w:val="0"/>
          <w:numId w:val="6"/>
        </w:numPr>
        <w:spacing w:before="120" w:beforeLines="50" w:after="120" w:afterLines="50" w:line="360" w:lineRule="auto"/>
        <w:rPr>
          <w:rFonts w:ascii="宋体" w:hAnsi="宋体" w:cs="宋体"/>
          <w:sz w:val="24"/>
        </w:rPr>
      </w:pPr>
      <w:r>
        <w:rPr>
          <w:rFonts w:ascii="宋体" w:hAnsi="宋体" w:cs="宋体" w:hint="eastAsia"/>
          <w:sz w:val="24"/>
        </w:rPr>
        <w:t>设备到达后，乙方向甲方或甲方指定医院提供全套的材料/设备配置清单及检验产品合格证、使用说明书及其它的技术资料。</w:t>
      </w:r>
    </w:p>
    <w:p>
      <w:pPr>
        <w:pStyle w:val="IndexHeading"/>
        <w:numPr>
          <w:ilvl w:val="0"/>
          <w:numId w:val="6"/>
        </w:numPr>
        <w:spacing w:before="120" w:beforeLines="50" w:after="120" w:afterLines="50" w:line="360" w:lineRule="auto"/>
        <w:rPr>
          <w:rFonts w:ascii="宋体" w:hAnsi="宋体" w:cs="宋体"/>
          <w:sz w:val="24"/>
        </w:rPr>
      </w:pPr>
      <w:r>
        <w:rPr>
          <w:rFonts w:ascii="宋体" w:hAnsi="宋体" w:cs="宋体" w:hint="eastAsia"/>
          <w:sz w:val="24"/>
        </w:rPr>
        <w:t>进口设备还需提供正常报关证明和商检合格证明。</w:t>
      </w:r>
    </w:p>
    <w:p>
      <w:pPr>
        <w:pStyle w:val="IndexHeading"/>
        <w:numPr>
          <w:ilvl w:val="0"/>
          <w:numId w:val="6"/>
        </w:numPr>
        <w:spacing w:before="120" w:beforeLines="50" w:after="120" w:afterLines="50" w:line="360" w:lineRule="auto"/>
        <w:rPr>
          <w:rFonts w:ascii="宋体" w:hAnsi="宋体" w:cs="宋体"/>
          <w:sz w:val="24"/>
        </w:rPr>
      </w:pPr>
      <w:r>
        <w:rPr>
          <w:rFonts w:ascii="宋体" w:hAnsi="宋体" w:cs="宋体" w:hint="eastAsia"/>
          <w:sz w:val="24"/>
        </w:rPr>
        <w:t>甲方有权检验或测试货物，以确认货物是否符合合同规格的要求，并且不承担额外的费用。如果发现所交货物与投标文件中所承诺的不符或存在质量、技术缺陷等,甲方可以拒绝接收该货物,乙方应在30天内采取补足、更换或退货等措施,以满足规格的要求，由此发生的一切损失和费用由乙方承担。对于货物隐蔽性质量问题，由乙方及厂家承担法律责任。</w:t>
      </w:r>
    </w:p>
    <w:p>
      <w:pPr>
        <w:pStyle w:val="IndexHeading"/>
        <w:numPr>
          <w:ilvl w:val="0"/>
          <w:numId w:val="6"/>
        </w:numPr>
        <w:spacing w:before="120" w:beforeLines="50" w:after="120" w:afterLines="50" w:line="360" w:lineRule="auto"/>
        <w:rPr>
          <w:rFonts w:ascii="宋体" w:hAnsi="宋体" w:cs="宋体"/>
          <w:sz w:val="24"/>
        </w:rPr>
      </w:pPr>
      <w:r>
        <w:rPr>
          <w:rFonts w:ascii="宋体" w:hAnsi="宋体" w:cs="宋体" w:hint="eastAsia"/>
          <w:sz w:val="24"/>
        </w:rPr>
        <w:t>乙方负责货物的现场安装和调试,提供货物安装、调试和维修所需的专用工具和辅助材料。乙方应在货物运至指定地点后一周内开始安装调试,并在30天内安装调试完毕。</w:t>
      </w:r>
    </w:p>
    <w:p>
      <w:pPr>
        <w:pStyle w:val="IndexHeading"/>
        <w:numPr>
          <w:ilvl w:val="0"/>
          <w:numId w:val="6"/>
        </w:numPr>
        <w:spacing w:before="120" w:beforeLines="50" w:after="120" w:afterLines="50" w:line="360" w:lineRule="auto"/>
        <w:rPr>
          <w:rFonts w:ascii="宋体" w:hAnsi="宋体" w:cs="宋体"/>
          <w:sz w:val="24"/>
        </w:rPr>
      </w:pPr>
      <w:r>
        <w:rPr>
          <w:rFonts w:ascii="宋体" w:hAnsi="宋体" w:cs="宋体" w:hint="eastAsia"/>
          <w:sz w:val="24"/>
        </w:rPr>
        <w:t>由乙方代表和甲方组成验收小组对产品进行验收。验收标准按照国家规定标准执行。设备经检验正常运作后签署验收报告，产品保修期自验收合格之日起算。</w:t>
      </w:r>
    </w:p>
    <w:p>
      <w:pPr>
        <w:pStyle w:val="BodyText"/>
        <w:ind w:firstLine="480" w:firstLineChars="200"/>
        <w:rPr>
          <w:rFonts w:ascii="宋体" w:hAnsi="宋体" w:cs="宋体"/>
          <w:b w:val="0"/>
          <w:bCs w:val="0"/>
          <w:szCs w:val="20"/>
        </w:rPr>
      </w:pPr>
      <w:r>
        <w:rPr>
          <w:rFonts w:ascii="宋体" w:hAnsi="宋体" w:cs="宋体" w:hint="eastAsia"/>
          <w:b w:val="0"/>
          <w:bCs w:val="0"/>
          <w:szCs w:val="20"/>
        </w:rPr>
        <w:t xml:space="preserve">（六）乙方应派合格的专业技术人员免费对甲方指定人员进行培训及指导，直至其完全掌握设备使用及设备的基本故障处理技术。  </w:t>
      </w:r>
    </w:p>
    <w:p>
      <w:pPr>
        <w:pStyle w:val="BodyText"/>
        <w:ind w:firstLine="240" w:firstLineChars="100"/>
        <w:rPr>
          <w:rFonts w:ascii="宋体" w:hAnsi="宋体" w:cs="宋体"/>
          <w:b w:val="0"/>
          <w:bCs w:val="0"/>
          <w:szCs w:val="20"/>
        </w:rPr>
      </w:pPr>
      <w:r>
        <w:rPr>
          <w:rFonts w:ascii="宋体" w:hAnsi="宋体" w:cs="宋体" w:hint="eastAsia"/>
          <w:b w:val="0"/>
          <w:bCs w:val="0"/>
          <w:szCs w:val="20"/>
        </w:rPr>
        <w:t>（七）甲方资产转移或调拨使用单位（医院）时，使用单位仍享有本合同项下原有的免费维保服务。</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六、售后服务：</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设备验收合格之日起，免费保修  年，终身维修。保修期内,年度定期预防性 维护保养次数应不少于次。保修期内免费更换零配件、免工时费。</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乙方承诺保证10年以上供应维修配件，终身免费提供甲方或甲方指定使用单位软件升级到最新功能。</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乙方必须提供由设备生产原厂签署承诺的合法、有效的保修、维修证明。</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乙方保证提供保修、维修、免费技术培训服务的工程师及技术人员，必须是原厂工程师及技术人员。</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不得以任何理由不按时进行维修，不得要求甲方购买所谓“保修服务”（即：不论设备有无故障先买保修服务），不得在设备中嵌设任何不利于甲方或甲方指定使用单位使用与维修设备的障碍。乙方维修的设备经甲方指定使用单位验收合格，且甲方收到乙方提供维修专用发票后，甲方指定使用单位支付维修费用。</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乙方接到报障通知（包括但不限于电话、传真、电子邮件、邮政寄送等通知方式，并以这些方式的记载时间为通知时间）后，乙方应在2小时内响应，并派出有资质的工程师在 24 小时到达现场处理事故（不可抗力情况除外），48小时维修到位。易耗品和零配件供应及时，特殊情况下可提供备用机。</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在免费保修期内，乙方负责包修、包换或者包退，并承担修理、调换或退货的实际费用。免费保修期满后，乙方维修只收零配件费用，不收取人工费及其他费用。乙方应以优惠价供应维修易耗品及零配件。价格最高的前5项易耗品及零配件报价明细必须填写于《易耗品及零配件优惠价格表》中。甲方或甲方指定使用单位可与乙方就优惠价进行谈判，但优惠价不得高于乙方在投标文件的《易耗品及零配件优惠价格表》中承诺的维修易耗品及零配件的报价。</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乙方承诺提供易耗品及零配件优惠价格（详见附页）。</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乙方在接到甲方或甲方指定使用单位关于消耗品/零配件需求的通知后，没有按照规定的时间进行供货，每拖延一日，按合同总金额的0．5%支付给甲方违约金或按实际损失进行赔偿。拖延时间超过七日，视为严重违约，甲方有权单方解除合同并予以退货，由此造成的一切经济损失由乙方承担。</w:t>
      </w:r>
    </w:p>
    <w:p>
      <w:pPr>
        <w:pStyle w:val="IndexHeading"/>
        <w:numPr>
          <w:ilvl w:val="0"/>
          <w:numId w:val="7"/>
        </w:numPr>
        <w:spacing w:before="120" w:beforeLines="50" w:after="120" w:afterLines="50" w:line="360" w:lineRule="auto"/>
        <w:rPr>
          <w:rFonts w:ascii="宋体" w:hAnsi="宋体" w:cs="宋体"/>
          <w:sz w:val="24"/>
        </w:rPr>
      </w:pPr>
      <w:r>
        <w:rPr>
          <w:rFonts w:ascii="宋体" w:hAnsi="宋体" w:cs="宋体" w:hint="eastAsia"/>
          <w:sz w:val="24"/>
        </w:rPr>
        <w:t>在免费保修期内，乙方应确保年开机率在95%以上, 若不能达到此开机率，将作以下处理：</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a. 若年开机率在90-95%之间，则延长一年免费保修期；</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b. 若年开机率在85-90%之间，则延长二年免费保修期；</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c. 若年开机率低于85%，乙方必须无条件更换新机，并重新计算免费保修期，以及赔偿甲方的直接经济损失和间接经济损失。</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注：（1）年开机率=（365-停机天数）/365）；</w:t>
      </w:r>
    </w:p>
    <w:p>
      <w:pPr>
        <w:pStyle w:val="IndexHeading"/>
        <w:spacing w:before="120" w:beforeLines="50" w:after="120" w:afterLines="50" w:line="360" w:lineRule="auto"/>
        <w:ind w:firstLine="960" w:firstLineChars="400"/>
        <w:rPr>
          <w:rFonts w:ascii="宋体" w:hAnsi="宋体" w:cs="宋体"/>
          <w:sz w:val="24"/>
        </w:rPr>
      </w:pPr>
      <w:r>
        <w:rPr>
          <w:rFonts w:ascii="宋体" w:hAnsi="宋体" w:cs="宋体" w:hint="eastAsia"/>
          <w:sz w:val="24"/>
        </w:rPr>
        <w:t>（2）以上a、b两项可累计延长。</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七、付款条件及方式：</w:t>
      </w:r>
    </w:p>
    <w:p>
      <w:pPr>
        <w:ind w:firstLine="478" w:firstLineChars="199"/>
        <w:rPr>
          <w:rFonts w:ascii="宋体" w:hAnsi="宋体" w:cs="宋体"/>
          <w:sz w:val="24"/>
          <w:szCs w:val="20"/>
        </w:rPr>
      </w:pPr>
      <w:r>
        <w:rPr>
          <w:rFonts w:ascii="宋体" w:hAnsi="宋体" w:cs="宋体" w:hint="eastAsia"/>
          <w:sz w:val="24"/>
          <w:szCs w:val="20"/>
        </w:rPr>
        <w:t>（一）本合同分两期付款。1.设备到货后甲方向支付合同总价款70%。2.设备安装验收后提交合同总价款5%银行履约保函，甲方向乙方支付合同总价款30%。3.在设备验收合格满12个月后，甲方归还5%履约保函给乙方。</w:t>
      </w:r>
    </w:p>
    <w:p>
      <w:pPr>
        <w:ind w:firstLine="478" w:firstLineChars="199"/>
        <w:rPr>
          <w:rFonts w:ascii="宋体" w:hAnsi="宋体" w:cs="宋体"/>
          <w:sz w:val="24"/>
          <w:szCs w:val="20"/>
        </w:rPr>
      </w:pPr>
      <w:r>
        <w:rPr>
          <w:rFonts w:ascii="宋体" w:hAnsi="宋体" w:cs="宋体" w:hint="eastAsia"/>
          <w:sz w:val="24"/>
          <w:szCs w:val="20"/>
        </w:rPr>
        <w:t>（二）因财政资金拨款未到位而导致甲方未在约定期限内支付合同费用的，乙方不得要求甲方承担逾期付款的违约责任。每次付款前，乙方应需先提供相应额度的正规发票给甲方，以便办理支付手续。具体付款方式按深圳市龙华区财政局有关规定执行。</w:t>
      </w:r>
    </w:p>
    <w:p>
      <w:pPr>
        <w:ind w:firstLine="478" w:firstLineChars="199"/>
        <w:rPr>
          <w:rFonts w:ascii="宋体" w:hAnsi="宋体" w:cs="宋体"/>
          <w:sz w:val="24"/>
          <w:szCs w:val="20"/>
        </w:rPr>
      </w:pPr>
      <w:r>
        <w:rPr>
          <w:rFonts w:ascii="宋体" w:hAnsi="宋体" w:cs="宋体" w:hint="eastAsia"/>
          <w:sz w:val="24"/>
          <w:szCs w:val="20"/>
        </w:rPr>
        <w:t>八、违约责任：</w:t>
      </w:r>
    </w:p>
    <w:p>
      <w:pPr>
        <w:pStyle w:val="IndexHeading"/>
        <w:numPr>
          <w:ilvl w:val="0"/>
          <w:numId w:val="8"/>
        </w:numPr>
        <w:spacing w:before="120" w:beforeLines="50" w:after="120" w:afterLines="50" w:line="360" w:lineRule="auto"/>
        <w:rPr>
          <w:rFonts w:ascii="宋体" w:hAnsi="宋体" w:cs="宋体"/>
          <w:sz w:val="24"/>
        </w:rPr>
      </w:pPr>
      <w:r>
        <w:rPr>
          <w:rFonts w:ascii="宋体" w:hAnsi="宋体" w:cs="宋体" w:hint="eastAsia"/>
          <w:sz w:val="24"/>
        </w:rPr>
        <w:t>如乙方未按照投标文件中承诺的时间或本合同约定时间交货或提供服务，乙方应承担延期交货和延期服务的违约责任，并赔偿甲方因此造成的实际经济损失。实际经济损失超出余款（合同总金额的5%），甲方有权终止合同。</w:t>
      </w:r>
    </w:p>
    <w:p>
      <w:pPr>
        <w:pStyle w:val="IndexHeading"/>
        <w:numPr>
          <w:ilvl w:val="0"/>
          <w:numId w:val="8"/>
        </w:numPr>
        <w:spacing w:before="120" w:beforeLines="50" w:after="120" w:afterLines="50" w:line="360" w:lineRule="auto"/>
        <w:rPr>
          <w:rFonts w:ascii="宋体" w:hAnsi="宋体" w:cs="宋体"/>
          <w:sz w:val="24"/>
        </w:rPr>
      </w:pPr>
      <w:r>
        <w:rPr>
          <w:rFonts w:ascii="宋体" w:hAnsi="宋体" w:cs="宋体" w:hint="eastAsia"/>
          <w:sz w:val="24"/>
        </w:rPr>
        <w:t>乙方所交设备的品种、型号、规格、质量、功能、技术参数等方面不能实质性满足招标文件要约的，甲方有权拒绝收货，乙方向甲方偿付项目采购金额百分之十的违约金；造成严重后果的，根据《深圳经济特区政府采购条例》第五十七条第（二）款规定，由主管部门对乙方进行处罚。</w:t>
      </w:r>
    </w:p>
    <w:p>
      <w:pPr>
        <w:pStyle w:val="IndexHeading"/>
        <w:numPr>
          <w:ilvl w:val="0"/>
          <w:numId w:val="8"/>
        </w:numPr>
        <w:spacing w:before="120" w:beforeLines="50" w:after="120" w:afterLines="50" w:line="360" w:lineRule="auto"/>
        <w:rPr>
          <w:rFonts w:ascii="宋体" w:hAnsi="宋体" w:cs="宋体"/>
          <w:sz w:val="24"/>
        </w:rPr>
      </w:pPr>
      <w:r>
        <w:rPr>
          <w:rFonts w:ascii="宋体" w:hAnsi="宋体" w:cs="宋体" w:hint="eastAsia"/>
          <w:sz w:val="24"/>
        </w:rPr>
        <w:t>乙方不能交付设备的，乙方向甲方偿付项目采购金额百分之十的违约金，并且甲方有权解除合同；造成严重后果的，根据《深圳经济特区政府采购条例》第五十七条第（二）款规定，由主管部门对乙方进行处罚。</w:t>
      </w:r>
    </w:p>
    <w:p>
      <w:pPr>
        <w:pStyle w:val="IndexHeading"/>
        <w:numPr>
          <w:ilvl w:val="0"/>
          <w:numId w:val="8"/>
        </w:numPr>
        <w:spacing w:before="120" w:beforeLines="50" w:after="120" w:afterLines="50" w:line="360" w:lineRule="auto"/>
        <w:rPr>
          <w:rFonts w:ascii="宋体" w:hAnsi="宋体" w:cs="宋体"/>
          <w:sz w:val="24"/>
        </w:rPr>
      </w:pPr>
      <w:r>
        <w:rPr>
          <w:rFonts w:ascii="宋体" w:hAnsi="宋体" w:cs="宋体" w:hint="eastAsia"/>
          <w:sz w:val="24"/>
        </w:rPr>
        <w:t>乙方逾期未交设备的，乙方向甲方每日偿付设备款千分之十的违约金。乙方超过交货期限30日仍未交货，甲方有权解除合同。</w:t>
      </w:r>
    </w:p>
    <w:p>
      <w:pPr>
        <w:pStyle w:val="IndexHeading"/>
        <w:numPr>
          <w:ilvl w:val="0"/>
          <w:numId w:val="8"/>
        </w:numPr>
        <w:spacing w:before="120" w:beforeLines="50" w:after="120" w:afterLines="50" w:line="360" w:lineRule="auto"/>
        <w:rPr>
          <w:rFonts w:ascii="宋体" w:hAnsi="宋体" w:cs="宋体"/>
          <w:sz w:val="24"/>
        </w:rPr>
      </w:pPr>
      <w:r>
        <w:rPr>
          <w:rFonts w:ascii="宋体" w:hAnsi="宋体" w:cs="宋体" w:hint="eastAsia"/>
          <w:sz w:val="24"/>
        </w:rPr>
        <w:t>乙方如违反本合同第五条和第六条的约定，乙方向甲方偿付设备采购金额百分之十的违约金。</w:t>
      </w:r>
    </w:p>
    <w:p>
      <w:pPr>
        <w:pStyle w:val="IndexHeading"/>
        <w:numPr>
          <w:ilvl w:val="0"/>
          <w:numId w:val="8"/>
        </w:numPr>
        <w:spacing w:before="120" w:beforeLines="50" w:after="120" w:afterLines="50" w:line="360" w:lineRule="auto"/>
        <w:rPr>
          <w:rFonts w:ascii="宋体" w:hAnsi="宋体" w:cs="宋体"/>
          <w:sz w:val="24"/>
        </w:rPr>
      </w:pPr>
      <w:r>
        <w:rPr>
          <w:rFonts w:ascii="宋体" w:hAnsi="宋体" w:cs="宋体" w:hint="eastAsia"/>
          <w:sz w:val="24"/>
        </w:rPr>
        <w:t>违约金先从由乙方余款（合同总金额的5%）中扣除，若有不足部分则由乙方补齐。</w:t>
      </w:r>
    </w:p>
    <w:p>
      <w:pPr>
        <w:pStyle w:val="Index1"/>
        <w:numPr>
          <w:ilvl w:val="0"/>
          <w:numId w:val="8"/>
        </w:numPr>
        <w:topLinePunct/>
        <w:ind w:left="419" w:hanging="314"/>
        <w:rPr>
          <w:rFonts w:cs="宋体"/>
          <w:szCs w:val="20"/>
        </w:rPr>
      </w:pPr>
      <w:r>
        <w:rPr>
          <w:rFonts w:cs="宋体" w:hint="eastAsia"/>
          <w:szCs w:val="20"/>
        </w:rPr>
        <w:t>守约方为维护合法权益追究违约方责任所产生的一切费用（包括但不限于律师费、诉讼费、鉴定费、保全费、交通费等）由违约方承担。</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九、 因设备的质量问题发生争议，由甲方所在地相关职责部门进行质量鉴定，该鉴定结论是终局的，甲乙双方应当接受。</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十、该项目的招标文件、投标文件和乙方在投标中的各种承诺，均作为本合同的附件，具有同等效力。</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一、乙方保证所交付使用软件的合法性，保证甲方使用该设备或设备的任何一部分及配件时，无侵犯第三方的著作权、商标权、专利权和商业秘密等知识产权，如因乙方因素侵犯第三方知识产权而发生纠纷及经济责任，由乙方全部承担，甲方由此受到的损失（包括诉讼费、律师费、鉴定费及其他与纠纷相关的费用）由乙方予以赔偿。甲方购买设备后，甲方或甲方指定使用单位有权对设备进行配套、整合或适当改进，而免受侵犯知识产权的起诉。</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十二、除《中华人民共和国政府采购法》第49条、第50条第二款规定的情形或者协商一致外本合同一经签订，甲乙双方不得擅自变更、中止或终止合同。</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十三、本合同一式伍份，甲方肆份、乙方壹份。</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十四、本合同在甲、乙双方签字盖章后生效。</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十五、凡因本合同的履行发生的任何纠纷及合同未尽事宜，由双方协商处理。若协商不成，应向甲方所在地法院提起诉讼。</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十六、合同附件</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合同附件是合同的不可分割的组成部分，与合同具有同等法律效力。</w:t>
      </w:r>
    </w:p>
    <w:p>
      <w:pPr>
        <w:pStyle w:val="IndexHeading"/>
        <w:numPr>
          <w:ilvl w:val="0"/>
          <w:numId w:val="9"/>
        </w:numPr>
        <w:spacing w:before="120" w:beforeLines="50" w:after="120" w:afterLines="50" w:line="360" w:lineRule="auto"/>
        <w:rPr>
          <w:rFonts w:ascii="宋体" w:hAnsi="宋体" w:cs="宋体"/>
          <w:sz w:val="24"/>
        </w:rPr>
      </w:pPr>
      <w:r>
        <w:rPr>
          <w:rFonts w:ascii="宋体" w:hAnsi="宋体" w:cs="宋体" w:hint="eastAsia"/>
          <w:sz w:val="24"/>
        </w:rPr>
        <w:t>设备器械的配置清单</w:t>
      </w:r>
    </w:p>
    <w:p>
      <w:pPr>
        <w:pStyle w:val="IndexHeading"/>
        <w:numPr>
          <w:ilvl w:val="0"/>
          <w:numId w:val="9"/>
        </w:numPr>
        <w:spacing w:before="120" w:beforeLines="50" w:after="120" w:afterLines="50" w:line="360" w:lineRule="auto"/>
        <w:rPr>
          <w:rFonts w:ascii="宋体" w:hAnsi="宋体" w:cs="宋体"/>
          <w:sz w:val="24"/>
        </w:rPr>
      </w:pPr>
      <w:r>
        <w:rPr>
          <w:rFonts w:ascii="宋体" w:hAnsi="宋体" w:cs="宋体" w:hint="eastAsia"/>
          <w:sz w:val="24"/>
        </w:rPr>
        <w:t>设备器械技术说明</w:t>
      </w:r>
    </w:p>
    <w:p>
      <w:pPr>
        <w:pStyle w:val="IndexHeading"/>
        <w:numPr>
          <w:ilvl w:val="0"/>
          <w:numId w:val="9"/>
        </w:numPr>
        <w:spacing w:before="120" w:beforeLines="50" w:after="120" w:afterLines="50" w:line="360" w:lineRule="auto"/>
        <w:rPr>
          <w:rFonts w:ascii="宋体" w:hAnsi="宋体" w:cs="宋体"/>
          <w:sz w:val="24"/>
        </w:rPr>
      </w:pPr>
      <w:r>
        <w:rPr>
          <w:rFonts w:ascii="宋体" w:hAnsi="宋体" w:cs="宋体" w:hint="eastAsia"/>
          <w:sz w:val="24"/>
        </w:rPr>
        <w:t>售后服务承诺</w:t>
      </w:r>
    </w:p>
    <w:p>
      <w:pPr>
        <w:pStyle w:val="IndexHeading"/>
        <w:numPr>
          <w:ilvl w:val="0"/>
          <w:numId w:val="9"/>
        </w:numPr>
        <w:spacing w:before="120" w:beforeLines="50" w:after="120" w:afterLines="50" w:line="360" w:lineRule="auto"/>
        <w:rPr>
          <w:rFonts w:ascii="宋体" w:hAnsi="宋体" w:cs="宋体"/>
          <w:sz w:val="24"/>
        </w:rPr>
      </w:pPr>
      <w:r>
        <w:rPr>
          <w:rFonts w:ascii="宋体" w:hAnsi="宋体" w:cs="宋体" w:hint="eastAsia"/>
          <w:sz w:val="24"/>
        </w:rPr>
        <w:t>零配件和延续保修合同优惠价格表</w:t>
      </w:r>
    </w:p>
    <w:p>
      <w:pPr>
        <w:pStyle w:val="IndexHeading"/>
        <w:numPr>
          <w:ilvl w:val="0"/>
          <w:numId w:val="9"/>
        </w:numPr>
        <w:spacing w:before="120" w:beforeLines="50" w:after="120" w:afterLines="50" w:line="360" w:lineRule="auto"/>
        <w:rPr>
          <w:rFonts w:ascii="宋体" w:hAnsi="宋体" w:cs="宋体"/>
          <w:sz w:val="24"/>
        </w:rPr>
      </w:pPr>
      <w:r>
        <w:rPr>
          <w:rFonts w:ascii="宋体" w:hAnsi="宋体" w:cs="宋体" w:hint="eastAsia"/>
          <w:sz w:val="24"/>
        </w:rPr>
        <w:t>配套耗材、试剂报价表</w:t>
      </w:r>
    </w:p>
    <w:p>
      <w:pPr>
        <w:pStyle w:val="IndexHeading"/>
        <w:spacing w:before="120" w:beforeLines="50" w:after="120" w:afterLines="50" w:line="360" w:lineRule="auto"/>
        <w:ind w:firstLine="480" w:firstLineChars="200"/>
        <w:rPr>
          <w:rFonts w:ascii="宋体" w:hAnsi="宋体" w:cs="宋体"/>
          <w:sz w:val="24"/>
        </w:rPr>
      </w:pPr>
      <w:r>
        <w:rPr>
          <w:rFonts w:ascii="宋体" w:hAnsi="宋体" w:cs="宋体" w:hint="eastAsia"/>
          <w:sz w:val="24"/>
        </w:rPr>
        <w:t>十六、特别约定   所提供的硬件设备需要具备常规标准数据传输接口，附带业务软件需要与使用医院HL7集成平台、HIS、LIS、PACS、HRP等系统连接，产生的软件接口开发、调试等费用由中标方承担。</w:t>
      </w:r>
    </w:p>
    <w:p>
      <w:pPr>
        <w:pStyle w:val="IndexHeading"/>
        <w:spacing w:before="120" w:beforeLines="50" w:after="120" w:afterLines="50" w:line="360" w:lineRule="auto"/>
        <w:rPr>
          <w:rFonts w:ascii="宋体" w:hAnsi="宋体" w:cs="宋体"/>
          <w:sz w:val="24"/>
        </w:rPr>
      </w:pPr>
      <w:r>
        <w:rPr>
          <w:rFonts w:ascii="宋体" w:hAnsi="宋体" w:cs="宋体" w:hint="eastAsia"/>
          <w:sz w:val="24"/>
        </w:rPr>
        <w:t>（以下无正文仅供签署）</w:t>
      </w:r>
    </w:p>
    <w:tbl>
      <w:tblPr>
        <w:tblStyle w:val="TableNormal"/>
        <w:tblW w:w="8834" w:type="dxa"/>
        <w:tblInd w:w="0" w:type="dxa"/>
        <w:tblLayout w:type="fixed"/>
        <w:tblCellMar>
          <w:top w:w="0" w:type="dxa"/>
          <w:left w:w="108" w:type="dxa"/>
          <w:bottom w:w="0" w:type="dxa"/>
          <w:right w:w="108" w:type="dxa"/>
        </w:tblCellMar>
      </w:tblPr>
      <w:tblGrid>
        <w:gridCol w:w="4417"/>
        <w:gridCol w:w="4417"/>
      </w:tblGrid>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甲方（公章）：</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乙方（公章）：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地址：</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地址：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法定代表人：</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法定代表人：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p>
        </w:tc>
        <w:tc>
          <w:tcPr>
            <w:tcW w:w="4417" w:type="dxa"/>
          </w:tcPr>
          <w:p>
            <w:pPr>
              <w:pStyle w:val="IndexHeading"/>
              <w:spacing w:before="120" w:beforeLines="50" w:after="120" w:afterLines="50" w:line="360" w:lineRule="auto"/>
              <w:rPr>
                <w:rFonts w:ascii="宋体" w:hAnsi="宋体" w:cs="宋体"/>
                <w:sz w:val="24"/>
              </w:rPr>
            </w:pP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经办人：</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经办人：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电话：</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电话（手机）：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开户银行： </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开户银行：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帐号：</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 xml:space="preserve">帐号：  </w:t>
            </w:r>
          </w:p>
        </w:tc>
      </w:tr>
      <w:tr>
        <w:tblPrEx>
          <w:tblW w:w="8834" w:type="dxa"/>
          <w:tblInd w:w="0" w:type="dxa"/>
          <w:tblLayout w:type="fixed"/>
          <w:tblCellMar>
            <w:top w:w="0" w:type="dxa"/>
            <w:left w:w="108" w:type="dxa"/>
            <w:bottom w:w="0" w:type="dxa"/>
            <w:right w:w="108" w:type="dxa"/>
          </w:tblCellMar>
        </w:tblPrEx>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日期：</w:t>
            </w:r>
          </w:p>
        </w:tc>
        <w:tc>
          <w:tcPr>
            <w:tcW w:w="4417" w:type="dxa"/>
          </w:tcPr>
          <w:p>
            <w:pPr>
              <w:pStyle w:val="IndexHeading"/>
              <w:spacing w:before="120" w:beforeLines="50" w:after="120" w:afterLines="50" w:line="360" w:lineRule="auto"/>
              <w:rPr>
                <w:rFonts w:ascii="宋体" w:hAnsi="宋体" w:cs="宋体"/>
                <w:sz w:val="24"/>
              </w:rPr>
            </w:pPr>
            <w:r>
              <w:rPr>
                <w:rFonts w:ascii="宋体" w:hAnsi="宋体" w:cs="宋体" w:hint="eastAsia"/>
                <w:sz w:val="24"/>
              </w:rPr>
              <w:t>日期：</w:t>
            </w:r>
          </w:p>
        </w:tc>
      </w:tr>
    </w:tbl>
    <w:p>
      <w:pPr>
        <w:rPr>
          <w:rFonts w:ascii="宋体" w:hAnsi="宋体" w:cs="宋体"/>
          <w:sz w:val="24"/>
          <w:szCs w:val="20"/>
        </w:rPr>
      </w:pPr>
      <w:r>
        <w:rPr>
          <w:rFonts w:ascii="宋体" w:hAnsi="宋体" w:cs="宋体" w:hint="eastAsia"/>
          <w:sz w:val="24"/>
          <w:szCs w:val="20"/>
        </w:rPr>
        <w:br w:type="page"/>
      </w:r>
    </w:p>
    <w:p>
      <w:pPr>
        <w:rPr>
          <w:rFonts w:ascii="宋体" w:hAnsi="宋体" w:cs="宋体"/>
          <w:sz w:val="24"/>
          <w:szCs w:val="20"/>
        </w:rPr>
      </w:pPr>
      <w:r>
        <w:rPr>
          <w:rFonts w:ascii="宋体" w:hAnsi="宋体" w:cs="宋体" w:hint="eastAsia"/>
          <w:sz w:val="24"/>
          <w:szCs w:val="20"/>
        </w:rPr>
        <w:t>附件1：设备器械配置清单</w:t>
      </w:r>
    </w:p>
    <w:p>
      <w:pPr>
        <w:rPr>
          <w:rFonts w:ascii="宋体" w:hAnsi="宋体" w:cs="宋体"/>
          <w:sz w:val="24"/>
          <w:szCs w:val="20"/>
        </w:rPr>
      </w:pPr>
    </w:p>
    <w:tbl>
      <w:tblPr>
        <w:tblStyle w:val="TableNormal"/>
        <w:tblpPr w:leftFromText="180" w:rightFromText="180" w:vertAnchor="text" w:horzAnchor="page" w:tblpX="1396" w:tblpY="323"/>
        <w:tblOverlap w:val="never"/>
        <w:tblW w:w="8320" w:type="dxa"/>
        <w:tblInd w:w="0" w:type="dxa"/>
        <w:tblBorders>
          <w:top w:val="single" w:sz="4" w:space="0" w:color="auto"/>
          <w:left w:val="single" w:sz="4" w:space="0" w:color="auto"/>
          <w:bottom w:val="single" w:sz="4" w:space="0" w:color="auto"/>
          <w:right w:val="single" w:sz="4" w:space="0" w:color="auto"/>
          <w:insideH w:val="nil"/>
          <w:insideV w:val="nil"/>
        </w:tblBorders>
        <w:tblLayout w:type="fixed"/>
        <w:tblCellMar>
          <w:top w:w="0" w:type="dxa"/>
          <w:left w:w="108" w:type="dxa"/>
          <w:bottom w:w="0" w:type="dxa"/>
          <w:right w:w="108" w:type="dxa"/>
        </w:tblCellMar>
      </w:tblPr>
      <w:tblGrid>
        <w:gridCol w:w="642"/>
        <w:gridCol w:w="1957"/>
        <w:gridCol w:w="825"/>
        <w:gridCol w:w="905"/>
        <w:gridCol w:w="1152"/>
        <w:gridCol w:w="1402"/>
        <w:gridCol w:w="621"/>
        <w:gridCol w:w="816"/>
      </w:tblGrid>
      <w:tr>
        <w:tblPrEx>
          <w:tblW w:w="8320" w:type="dxa"/>
          <w:tblInd w:w="0" w:type="dxa"/>
          <w:tblBorders>
            <w:top w:val="single" w:sz="4" w:space="0" w:color="auto"/>
            <w:left w:val="single" w:sz="4" w:space="0" w:color="auto"/>
            <w:bottom w:val="single" w:sz="4" w:space="0" w:color="auto"/>
            <w:right w:val="single" w:sz="4" w:space="0" w:color="auto"/>
            <w:insideH w:val="nil"/>
            <w:insideV w:val="nil"/>
          </w:tblBorders>
          <w:tblLayout w:type="fixed"/>
          <w:tblCellMar>
            <w:top w:w="0" w:type="dxa"/>
            <w:left w:w="108" w:type="dxa"/>
            <w:bottom w:w="0" w:type="dxa"/>
            <w:right w:w="108" w:type="dxa"/>
          </w:tblCellMar>
        </w:tblPrEx>
        <w:trPr>
          <w:trHeight w:val="43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ind w:right="-93"/>
              <w:jc w:val="center"/>
              <w:rPr>
                <w:rFonts w:ascii="宋体" w:hAnsi="宋体" w:cs="宋体"/>
                <w:sz w:val="24"/>
                <w:szCs w:val="20"/>
                <w:lang w:val="zh-CN"/>
              </w:rPr>
            </w:pPr>
            <w:r>
              <w:rPr>
                <w:rFonts w:ascii="宋体" w:hAnsi="宋体" w:cs="宋体" w:hint="eastAsia"/>
                <w:sz w:val="24"/>
                <w:szCs w:val="20"/>
                <w:lang w:val="zh-CN"/>
              </w:rPr>
              <w:t>序号</w:t>
            </w:r>
          </w:p>
        </w:tc>
        <w:tc>
          <w:tcPr>
            <w:tcW w:w="1957" w:type="dxa"/>
            <w:tcBorders>
              <w:top w:val="single" w:sz="4" w:space="0" w:color="auto"/>
              <w:left w:val="single" w:sz="4" w:space="0" w:color="auto"/>
              <w:bottom w:val="single" w:sz="4" w:space="0" w:color="auto"/>
              <w:right w:val="single" w:sz="4" w:space="0" w:color="auto"/>
            </w:tcBorders>
            <w:vAlign w:val="center"/>
          </w:tcPr>
          <w:p>
            <w:pPr>
              <w:tabs>
                <w:tab w:val="left" w:pos="837"/>
              </w:tabs>
              <w:spacing w:line="360" w:lineRule="auto"/>
              <w:ind w:right="-108"/>
              <w:jc w:val="center"/>
              <w:rPr>
                <w:rFonts w:ascii="宋体" w:hAnsi="宋体" w:cs="宋体"/>
                <w:sz w:val="24"/>
                <w:szCs w:val="20"/>
                <w:lang w:val="zh-CN"/>
              </w:rPr>
            </w:pPr>
            <w:r>
              <w:rPr>
                <w:rFonts w:ascii="宋体" w:hAnsi="宋体" w:cs="宋体" w:hint="eastAsia"/>
                <w:sz w:val="24"/>
                <w:szCs w:val="20"/>
                <w:lang w:val="zh-CN"/>
              </w:rPr>
              <w:t>货物名称</w:t>
            </w:r>
          </w:p>
        </w:tc>
        <w:tc>
          <w:tcPr>
            <w:tcW w:w="82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lang w:val="zh-CN"/>
              </w:rPr>
              <w:t>品 牌</w:t>
            </w: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ind w:left="41" w:hanging="9"/>
              <w:jc w:val="center"/>
              <w:rPr>
                <w:rFonts w:ascii="宋体" w:hAnsi="宋体" w:cs="宋体"/>
                <w:sz w:val="24"/>
                <w:szCs w:val="20"/>
                <w:lang w:val="zh-CN"/>
              </w:rPr>
            </w:pPr>
            <w:r>
              <w:rPr>
                <w:rFonts w:ascii="宋体" w:hAnsi="宋体" w:cs="宋体" w:hint="eastAsia"/>
                <w:sz w:val="24"/>
                <w:szCs w:val="20"/>
                <w:lang w:val="zh-CN"/>
              </w:rPr>
              <w:t>原产地</w:t>
            </w: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ind w:right="-49"/>
              <w:jc w:val="center"/>
              <w:rPr>
                <w:rFonts w:ascii="宋体" w:hAnsi="宋体" w:cs="宋体"/>
                <w:sz w:val="24"/>
                <w:szCs w:val="20"/>
                <w:lang w:val="zh-CN"/>
              </w:rPr>
            </w:pPr>
            <w:r>
              <w:rPr>
                <w:rFonts w:ascii="宋体" w:hAnsi="宋体" w:cs="宋体" w:hint="eastAsia"/>
                <w:sz w:val="24"/>
                <w:szCs w:val="20"/>
                <w:lang w:val="zh-CN"/>
              </w:rPr>
              <w:t>规格型号</w:t>
            </w:r>
          </w:p>
        </w:tc>
        <w:tc>
          <w:tcPr>
            <w:tcW w:w="140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lang w:val="zh-CN"/>
              </w:rPr>
              <w:t>制造商名称</w:t>
            </w: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ind w:right="-26"/>
              <w:jc w:val="center"/>
              <w:rPr>
                <w:rFonts w:ascii="宋体" w:hAnsi="宋体" w:cs="宋体"/>
                <w:sz w:val="24"/>
                <w:szCs w:val="20"/>
                <w:lang w:val="zh-CN"/>
              </w:rPr>
            </w:pPr>
            <w:r>
              <w:rPr>
                <w:rFonts w:ascii="宋体" w:hAnsi="宋体" w:cs="宋体" w:hint="eastAsia"/>
                <w:sz w:val="24"/>
                <w:szCs w:val="20"/>
                <w:lang w:val="zh-CN"/>
              </w:rPr>
              <w:t>数量</w:t>
            </w: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lang w:val="zh-CN"/>
              </w:rPr>
              <w:t>单位</w:t>
            </w: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bookmarkStart w:id="87" w:name="OLE_LINK1" w:colFirst="6" w:colLast="9"/>
            <w:bookmarkStart w:id="88" w:name="OLE_LINK2" w:colFirst="6" w:colLast="9"/>
            <w:bookmarkStart w:id="89" w:name="_Hlk46236630"/>
            <w:r>
              <w:rPr>
                <w:rFonts w:ascii="宋体" w:hAnsi="宋体" w:cs="宋体" w:hint="eastAsia"/>
                <w:sz w:val="24"/>
                <w:szCs w:val="20"/>
              </w:rPr>
              <w:t>1</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ind w:left="46" w:hanging="14"/>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ind w:right="-49"/>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vAlign w:val="center"/>
          </w:tcPr>
          <w:p>
            <w:pPr>
              <w:spacing w:line="360" w:lineRule="auto"/>
              <w:ind w:right="-108"/>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2</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3</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4</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5</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6</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7</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8</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78"/>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9</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r>
        <w:tblPrEx>
          <w:tblW w:w="8320" w:type="dxa"/>
          <w:tblInd w:w="0" w:type="dxa"/>
          <w:tblLayout w:type="fixed"/>
          <w:tblCellMar>
            <w:top w:w="0" w:type="dxa"/>
            <w:left w:w="108" w:type="dxa"/>
            <w:bottom w:w="0" w:type="dxa"/>
            <w:right w:w="108" w:type="dxa"/>
          </w:tblCellMar>
        </w:tblPrEx>
        <w:trPr>
          <w:trHeight w:val="597"/>
        </w:trPr>
        <w:tc>
          <w:tcPr>
            <w:tcW w:w="64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r>
              <w:rPr>
                <w:rFonts w:ascii="宋体" w:hAnsi="宋体" w:cs="宋体" w:hint="eastAsia"/>
                <w:sz w:val="24"/>
                <w:szCs w:val="20"/>
              </w:rPr>
              <w:t>10</w:t>
            </w:r>
          </w:p>
        </w:tc>
        <w:tc>
          <w:tcPr>
            <w:tcW w:w="195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25"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905"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152"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1402" w:type="dxa"/>
            <w:tcBorders>
              <w:top w:val="single" w:sz="4" w:space="0" w:color="auto"/>
              <w:left w:val="single" w:sz="4" w:space="0" w:color="auto"/>
              <w:bottom w:val="single" w:sz="4" w:space="0" w:color="auto"/>
              <w:right w:val="single" w:sz="4" w:space="0" w:color="auto"/>
            </w:tcBorders>
          </w:tcPr>
          <w:p>
            <w:pPr>
              <w:spacing w:line="360" w:lineRule="auto"/>
              <w:jc w:val="center"/>
              <w:rPr>
                <w:rFonts w:ascii="宋体" w:hAnsi="宋体" w:cs="宋体"/>
                <w:sz w:val="24"/>
                <w:szCs w:val="20"/>
                <w:lang w:val="zh-CN"/>
              </w:rPr>
            </w:pPr>
          </w:p>
        </w:tc>
        <w:tc>
          <w:tcPr>
            <w:tcW w:w="621"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c>
          <w:tcPr>
            <w:tcW w:w="816"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hAnsi="宋体" w:cs="宋体"/>
                <w:sz w:val="24"/>
                <w:szCs w:val="20"/>
                <w:lang w:val="zh-CN"/>
              </w:rPr>
            </w:pPr>
          </w:p>
        </w:tc>
      </w:tr>
    </w:tbl>
    <w:p>
      <w:pPr>
        <w:pStyle w:val="BodyText"/>
        <w:rPr>
          <w:rFonts w:ascii="宋体" w:hAnsi="宋体" w:cs="宋体"/>
          <w:szCs w:val="20"/>
        </w:rPr>
      </w:pPr>
      <w:bookmarkEnd w:id="87"/>
      <w:bookmarkEnd w:id="88"/>
      <w:bookmarkEnd w:id="89"/>
    </w:p>
    <w:p>
      <w:pPr>
        <w:rPr>
          <w:rFonts w:ascii="宋体" w:hAnsi="宋体" w:cs="宋体"/>
          <w:sz w:val="24"/>
          <w:szCs w:val="20"/>
        </w:rPr>
      </w:pPr>
      <w:r>
        <w:rPr>
          <w:rFonts w:ascii="宋体" w:hAnsi="宋体" w:cs="宋体" w:hint="eastAsia"/>
          <w:sz w:val="24"/>
          <w:szCs w:val="20"/>
        </w:rPr>
        <w:t>附件2：设备器械技术说明（技术规格偏离表）</w:t>
      </w:r>
    </w:p>
    <w:p>
      <w:pPr>
        <w:rPr>
          <w:rFonts w:ascii="宋体" w:hAnsi="宋体" w:cs="宋体"/>
          <w:sz w:val="24"/>
          <w:szCs w:val="20"/>
        </w:rPr>
      </w:pPr>
    </w:p>
    <w:p>
      <w:pPr>
        <w:rPr>
          <w:rFonts w:ascii="宋体" w:hAnsi="宋体" w:cs="宋体"/>
          <w:sz w:val="24"/>
          <w:szCs w:val="20"/>
        </w:rPr>
      </w:pPr>
      <w:r>
        <w:rPr>
          <w:rFonts w:ascii="宋体" w:hAnsi="宋体" w:cs="宋体" w:hint="eastAsia"/>
          <w:sz w:val="24"/>
          <w:szCs w:val="20"/>
        </w:rPr>
        <w:t>附件3：售后服务承诺（供应商）</w:t>
      </w:r>
    </w:p>
    <w:p>
      <w:pPr>
        <w:spacing w:line="360" w:lineRule="auto"/>
        <w:rPr>
          <w:rFonts w:ascii="宋体" w:hAnsi="宋体" w:cs="宋体"/>
          <w:sz w:val="24"/>
          <w:szCs w:val="20"/>
        </w:rPr>
      </w:pPr>
    </w:p>
    <w:p>
      <w:pPr>
        <w:pStyle w:val="BodyText"/>
        <w:rPr>
          <w:rFonts w:ascii="宋体" w:hAnsi="宋体" w:cs="宋体"/>
          <w:b w:val="0"/>
          <w:bCs w:val="0"/>
          <w:szCs w:val="20"/>
        </w:rPr>
      </w:pPr>
      <w:r>
        <w:rPr>
          <w:rFonts w:ascii="宋体" w:hAnsi="宋体" w:cs="宋体" w:hint="eastAsia"/>
          <w:b w:val="0"/>
          <w:bCs w:val="0"/>
          <w:szCs w:val="20"/>
        </w:rPr>
        <w:t>致深圳市龙华区卫生健康局:</w:t>
      </w:r>
    </w:p>
    <w:p>
      <w:pPr>
        <w:pStyle w:val="BodyText"/>
        <w:ind w:firstLine="480" w:firstLineChars="200"/>
        <w:rPr>
          <w:rFonts w:ascii="宋体" w:hAnsi="宋体" w:cs="宋体"/>
          <w:b w:val="0"/>
          <w:bCs w:val="0"/>
          <w:szCs w:val="20"/>
        </w:rPr>
      </w:pPr>
      <w:r>
        <w:rPr>
          <w:rFonts w:ascii="宋体" w:hAnsi="宋体" w:cs="宋体" w:hint="eastAsia"/>
          <w:b w:val="0"/>
          <w:bCs w:val="0"/>
          <w:szCs w:val="20"/>
        </w:rPr>
        <w:t>针对深圳市龙华区卫生健康局xxxxx设备名称 采购项目（项目编号：xxxxxx，合同编号：xxxxxxx，我司郑重承诺，对所销售产品提供符合使用医院要求的维修保养服务，具体实施措施如下：</w:t>
      </w:r>
    </w:p>
    <w:p>
      <w:pPr>
        <w:pStyle w:val="BodyText"/>
        <w:numPr>
          <w:ilvl w:val="0"/>
          <w:numId w:val="10"/>
        </w:numPr>
        <w:rPr>
          <w:rFonts w:ascii="宋体" w:hAnsi="宋体" w:cs="宋体"/>
          <w:b w:val="0"/>
          <w:bCs w:val="0"/>
          <w:szCs w:val="20"/>
        </w:rPr>
      </w:pPr>
      <w:r>
        <w:rPr>
          <w:rFonts w:ascii="宋体" w:hAnsi="宋体" w:cs="宋体" w:hint="eastAsia"/>
          <w:b w:val="0"/>
          <w:bCs w:val="0"/>
          <w:szCs w:val="20"/>
        </w:rPr>
        <w:t>设备验收合格之日起，免费保修    年，终身维修。保修期内,年度定期预防性维护保养次数应不少于4次。保修期内免费更换零配件、免工时费。</w:t>
      </w:r>
    </w:p>
    <w:p>
      <w:pPr>
        <w:pStyle w:val="BodyText"/>
        <w:numPr>
          <w:ilvl w:val="0"/>
          <w:numId w:val="10"/>
        </w:numPr>
        <w:rPr>
          <w:rFonts w:ascii="宋体" w:hAnsi="宋体" w:cs="宋体"/>
          <w:b w:val="0"/>
          <w:bCs w:val="0"/>
          <w:szCs w:val="20"/>
        </w:rPr>
      </w:pPr>
      <w:r>
        <w:rPr>
          <w:rFonts w:ascii="宋体" w:hAnsi="宋体" w:cs="宋体" w:hint="eastAsia"/>
          <w:b w:val="0"/>
          <w:bCs w:val="0"/>
          <w:szCs w:val="20"/>
        </w:rPr>
        <w:t>我方承诺保证10年以上供应维修配件，终身免费提供使用医院软件升级服务。</w:t>
      </w:r>
    </w:p>
    <w:p>
      <w:pPr>
        <w:pStyle w:val="BodyText"/>
        <w:numPr>
          <w:ilvl w:val="0"/>
          <w:numId w:val="10"/>
        </w:numPr>
        <w:rPr>
          <w:rFonts w:ascii="宋体" w:hAnsi="宋体" w:cs="宋体"/>
          <w:b w:val="0"/>
          <w:bCs w:val="0"/>
          <w:szCs w:val="20"/>
        </w:rPr>
      </w:pPr>
      <w:r>
        <w:rPr>
          <w:rFonts w:ascii="宋体" w:hAnsi="宋体" w:cs="宋体" w:hint="eastAsia"/>
          <w:b w:val="0"/>
          <w:bCs w:val="0"/>
          <w:szCs w:val="20"/>
        </w:rPr>
        <w:t>我方必须提供由设备生产原厂签署承诺的合法、有效的保修、维修证明。</w:t>
      </w:r>
    </w:p>
    <w:p>
      <w:pPr>
        <w:pStyle w:val="BodyText"/>
        <w:numPr>
          <w:ilvl w:val="0"/>
          <w:numId w:val="10"/>
        </w:numPr>
        <w:rPr>
          <w:rFonts w:ascii="宋体" w:hAnsi="宋体" w:cs="宋体"/>
          <w:b w:val="0"/>
          <w:bCs w:val="0"/>
          <w:szCs w:val="20"/>
        </w:rPr>
      </w:pPr>
      <w:r>
        <w:rPr>
          <w:rFonts w:ascii="宋体" w:hAnsi="宋体" w:cs="宋体" w:hint="eastAsia"/>
          <w:b w:val="0"/>
          <w:bCs w:val="0"/>
          <w:szCs w:val="20"/>
        </w:rPr>
        <w:t>我方保证提供保修、维修、免费技术培训服务的工程师及技术人员，是原厂工程师及技术人员。</w:t>
      </w:r>
    </w:p>
    <w:p>
      <w:pPr>
        <w:pStyle w:val="BodyText"/>
        <w:numPr>
          <w:ilvl w:val="0"/>
          <w:numId w:val="10"/>
        </w:numPr>
        <w:rPr>
          <w:rFonts w:ascii="宋体" w:hAnsi="宋体" w:cs="宋体"/>
          <w:b w:val="0"/>
          <w:bCs w:val="0"/>
          <w:szCs w:val="20"/>
        </w:rPr>
      </w:pPr>
      <w:r>
        <w:rPr>
          <w:rFonts w:ascii="宋体" w:hAnsi="宋体" w:cs="宋体" w:hint="eastAsia"/>
          <w:b w:val="0"/>
          <w:bCs w:val="0"/>
          <w:szCs w:val="20"/>
        </w:rPr>
        <w:t>我方不得以任何理由不按时进行维修，不得要求院方购买所谓“保修服务”，不得在设备中嵌设任何不利于使用医院院方使用与维修设备的障碍。</w:t>
      </w:r>
    </w:p>
    <w:p>
      <w:pPr>
        <w:pStyle w:val="BodyText"/>
        <w:numPr>
          <w:ilvl w:val="0"/>
          <w:numId w:val="10"/>
        </w:numPr>
        <w:rPr>
          <w:rFonts w:ascii="宋体" w:hAnsi="宋体" w:cs="宋体"/>
          <w:b w:val="0"/>
          <w:bCs w:val="0"/>
          <w:szCs w:val="20"/>
        </w:rPr>
      </w:pPr>
      <w:r>
        <w:rPr>
          <w:rFonts w:ascii="宋体" w:hAnsi="宋体" w:cs="宋体" w:hint="eastAsia"/>
          <w:b w:val="0"/>
          <w:bCs w:val="0"/>
          <w:szCs w:val="20"/>
        </w:rPr>
        <w:t>我方接到报障通知（包括但不限于电话、传真、电子邮件、邮政寄送等通知方式，并以这些方式的记载时间为通知时间）后，我方应在2小时内响应，并派出有资质的工程师在 24 小时到达现场处理事故,48小时维修到位。易耗品和零配件供应及时，特殊情况下可提供备用机。</w:t>
      </w:r>
    </w:p>
    <w:p>
      <w:pPr>
        <w:pStyle w:val="BodyText"/>
        <w:numPr>
          <w:ilvl w:val="0"/>
          <w:numId w:val="10"/>
        </w:numPr>
        <w:rPr>
          <w:rFonts w:ascii="宋体" w:hAnsi="宋体" w:cs="宋体"/>
          <w:b w:val="0"/>
          <w:bCs w:val="0"/>
          <w:szCs w:val="20"/>
        </w:rPr>
      </w:pPr>
      <w:r>
        <w:rPr>
          <w:rFonts w:ascii="宋体" w:hAnsi="宋体" w:cs="宋体" w:hint="eastAsia"/>
          <w:b w:val="0"/>
          <w:bCs w:val="0"/>
          <w:szCs w:val="20"/>
        </w:rPr>
        <w:t>在免费保修期内，我方负责包修、包换或者包退，并承担修理、调换或退货的实际费用。免费保修期满后，我方维修只收零配件费用，不收取人工费及其他费用。我方应以优惠价供应维修易耗品及零配件。</w:t>
      </w:r>
    </w:p>
    <w:p>
      <w:pPr>
        <w:pStyle w:val="BodyText"/>
        <w:numPr>
          <w:ilvl w:val="0"/>
          <w:numId w:val="10"/>
        </w:numPr>
        <w:rPr>
          <w:rFonts w:ascii="宋体" w:hAnsi="宋体" w:cs="宋体"/>
          <w:b w:val="0"/>
          <w:bCs w:val="0"/>
          <w:szCs w:val="20"/>
        </w:rPr>
      </w:pPr>
      <w:r>
        <w:rPr>
          <w:rFonts w:ascii="宋体" w:hAnsi="宋体" w:cs="宋体" w:hint="eastAsia"/>
          <w:b w:val="0"/>
          <w:bCs w:val="0"/>
          <w:szCs w:val="20"/>
        </w:rPr>
        <w:t>我方承诺提供易耗品及零配件优惠价格。</w:t>
      </w:r>
    </w:p>
    <w:p>
      <w:pPr>
        <w:pStyle w:val="BodyText"/>
        <w:numPr>
          <w:ilvl w:val="0"/>
          <w:numId w:val="10"/>
        </w:numPr>
        <w:rPr>
          <w:rFonts w:ascii="宋体" w:hAnsi="宋体" w:cs="宋体"/>
          <w:b w:val="0"/>
          <w:bCs w:val="0"/>
          <w:szCs w:val="20"/>
        </w:rPr>
      </w:pPr>
      <w:r>
        <w:rPr>
          <w:rFonts w:ascii="宋体" w:hAnsi="宋体" w:cs="宋体" w:hint="eastAsia"/>
          <w:b w:val="0"/>
          <w:bCs w:val="0"/>
          <w:szCs w:val="20"/>
        </w:rPr>
        <w:t>若使用医院院方提出设备需要与使用医院的系统进行对接的要求，我方全力协助配合，且期间产生的软件开发调试等费用均由我方承担。</w:t>
      </w:r>
    </w:p>
    <w:p>
      <w:pPr>
        <w:pStyle w:val="BodyText"/>
        <w:ind w:firstLine="480" w:firstLineChars="200"/>
        <w:rPr>
          <w:rFonts w:ascii="宋体" w:hAnsi="宋体" w:cs="宋体"/>
          <w:b w:val="0"/>
          <w:bCs w:val="0"/>
          <w:szCs w:val="20"/>
        </w:rPr>
      </w:pPr>
      <w:r>
        <w:rPr>
          <w:rFonts w:ascii="宋体" w:hAnsi="宋体" w:cs="宋体" w:hint="eastAsia"/>
          <w:b w:val="0"/>
          <w:bCs w:val="0"/>
          <w:szCs w:val="20"/>
        </w:rPr>
        <w:t>我司承诺，如不能完成以上所有的维修保养服务措施，则构成合同根本性违约，按合同总额的20%向龙华区卫生健康局支付违约金。</w:t>
      </w:r>
    </w:p>
    <w:p>
      <w:pPr>
        <w:pStyle w:val="BodyText"/>
        <w:rPr>
          <w:rFonts w:ascii="宋体" w:hAnsi="宋体" w:cs="宋体"/>
          <w:b w:val="0"/>
          <w:bCs w:val="0"/>
          <w:szCs w:val="20"/>
        </w:rPr>
      </w:pPr>
    </w:p>
    <w:p>
      <w:pPr>
        <w:pStyle w:val="BodyText"/>
        <w:ind w:firstLine="5520" w:firstLineChars="2300"/>
        <w:rPr>
          <w:rFonts w:ascii="宋体" w:hAnsi="宋体" w:cs="宋体"/>
          <w:b w:val="0"/>
          <w:bCs w:val="0"/>
          <w:szCs w:val="20"/>
        </w:rPr>
      </w:pPr>
      <w:r>
        <w:rPr>
          <w:rFonts w:ascii="宋体" w:hAnsi="宋体" w:cs="宋体" w:hint="eastAsia"/>
          <w:b w:val="0"/>
          <w:bCs w:val="0"/>
          <w:szCs w:val="20"/>
        </w:rPr>
        <w:t>xxxx盖章）</w:t>
      </w:r>
    </w:p>
    <w:p>
      <w:pPr>
        <w:pStyle w:val="BodyText"/>
        <w:ind w:firstLine="5760" w:firstLineChars="2400"/>
        <w:rPr>
          <w:rFonts w:ascii="宋体" w:hAnsi="宋体" w:cs="宋体"/>
          <w:b w:val="0"/>
          <w:bCs w:val="0"/>
          <w:szCs w:val="20"/>
        </w:rPr>
      </w:pPr>
      <w:r>
        <w:rPr>
          <w:rFonts w:ascii="宋体" w:hAnsi="宋体" w:cs="宋体" w:hint="eastAsia"/>
          <w:b w:val="0"/>
          <w:bCs w:val="0"/>
          <w:szCs w:val="20"/>
        </w:rPr>
        <w:t>年   月   日</w:t>
      </w:r>
    </w:p>
    <w:p>
      <w:pPr>
        <w:rPr>
          <w:rFonts w:ascii="宋体" w:hAnsi="宋体" w:cs="宋体"/>
          <w:sz w:val="24"/>
          <w:szCs w:val="20"/>
        </w:rPr>
      </w:pPr>
    </w:p>
    <w:p>
      <w:pPr>
        <w:rPr>
          <w:rFonts w:ascii="宋体" w:hAnsi="宋体" w:cs="宋体"/>
          <w:sz w:val="24"/>
          <w:szCs w:val="20"/>
        </w:rPr>
      </w:pPr>
      <w:r>
        <w:rPr>
          <w:rFonts w:ascii="宋体" w:hAnsi="宋体" w:cs="宋体" w:hint="eastAsia"/>
          <w:sz w:val="24"/>
          <w:szCs w:val="20"/>
        </w:rPr>
        <w:t>附件3： 生产企业售后承诺函（厂家盖章）</w:t>
      </w:r>
    </w:p>
    <w:p>
      <w:pPr>
        <w:pStyle w:val="BodyText"/>
        <w:rPr>
          <w:rFonts w:ascii="宋体" w:hAnsi="宋体" w:cs="宋体"/>
          <w:szCs w:val="20"/>
        </w:rPr>
      </w:pPr>
    </w:p>
    <w:p>
      <w:pPr>
        <w:pStyle w:val="BodyText"/>
        <w:rPr>
          <w:rFonts w:ascii="宋体" w:hAnsi="宋体" w:cs="宋体"/>
          <w:szCs w:val="20"/>
        </w:rPr>
      </w:pPr>
    </w:p>
    <w:p>
      <w:pPr>
        <w:pStyle w:val="BodyText"/>
        <w:rPr>
          <w:rFonts w:ascii="宋体" w:hAnsi="宋体" w:cs="宋体"/>
          <w:szCs w:val="20"/>
        </w:rPr>
      </w:pPr>
    </w:p>
    <w:p>
      <w:pPr>
        <w:rPr>
          <w:rFonts w:ascii="宋体" w:hAnsi="宋体" w:cs="宋体"/>
          <w:sz w:val="24"/>
          <w:szCs w:val="20"/>
        </w:rPr>
      </w:pPr>
    </w:p>
    <w:p>
      <w:pPr>
        <w:rPr>
          <w:rFonts w:ascii="宋体" w:hAnsi="宋体" w:cs="宋体"/>
          <w:sz w:val="24"/>
          <w:szCs w:val="20"/>
        </w:rPr>
      </w:pPr>
      <w:r>
        <w:rPr>
          <w:rFonts w:ascii="宋体" w:hAnsi="宋体" w:cs="宋体" w:hint="eastAsia"/>
          <w:sz w:val="24"/>
          <w:szCs w:val="20"/>
        </w:rPr>
        <w:t>附件4：零配件和延续保修合同优惠价格表</w:t>
      </w:r>
    </w:p>
    <w:p>
      <w:pPr>
        <w:rPr>
          <w:rFonts w:ascii="宋体" w:hAnsi="宋体" w:cs="宋体"/>
          <w:sz w:val="24"/>
          <w:szCs w:val="20"/>
        </w:rPr>
      </w:pPr>
    </w:p>
    <w:p>
      <w:pPr>
        <w:rPr>
          <w:rFonts w:ascii="宋体" w:hAnsi="宋体" w:cs="宋体"/>
          <w:sz w:val="24"/>
          <w:szCs w:val="20"/>
        </w:rPr>
      </w:pPr>
    </w:p>
    <w:p>
      <w:pPr>
        <w:rPr>
          <w:rFonts w:ascii="宋体" w:hAnsi="宋体" w:cs="宋体"/>
          <w:sz w:val="24"/>
          <w:szCs w:val="20"/>
        </w:rPr>
      </w:pPr>
      <w:r>
        <w:rPr>
          <w:rFonts w:ascii="宋体" w:hAnsi="宋体" w:cs="宋体" w:hint="eastAsia"/>
          <w:sz w:val="24"/>
          <w:szCs w:val="20"/>
        </w:rPr>
        <w:t>（一）易耗品及零配件优惠价格表(至少列举3项)</w:t>
      </w:r>
    </w:p>
    <w:tbl>
      <w:tblPr>
        <w:tblStyle w:val="TableNormal"/>
        <w:tblW w:w="8590" w:type="dxa"/>
        <w:jc w:val="center"/>
        <w:tblInd w:w="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0" w:type="dxa"/>
          <w:left w:w="108" w:type="dxa"/>
          <w:bottom w:w="0" w:type="dxa"/>
          <w:right w:w="108" w:type="dxa"/>
        </w:tblCellMar>
      </w:tblPr>
      <w:tblGrid>
        <w:gridCol w:w="753"/>
        <w:gridCol w:w="2088"/>
        <w:gridCol w:w="1355"/>
        <w:gridCol w:w="1195"/>
        <w:gridCol w:w="1027"/>
        <w:gridCol w:w="1012"/>
        <w:gridCol w:w="1160"/>
      </w:tblGrid>
      <w:tr>
        <w:tblPrEx>
          <w:tblW w:w="8590" w:type="dxa"/>
          <w:jc w:val="center"/>
          <w:tblInd w:w="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0" w:type="dxa"/>
            <w:left w:w="108" w:type="dxa"/>
            <w:bottom w:w="0" w:type="dxa"/>
            <w:right w:w="108" w:type="dxa"/>
          </w:tblCellMar>
        </w:tblPrEx>
        <w:trPr>
          <w:trHeight w:val="720"/>
          <w:jc w:val="center"/>
        </w:trPr>
        <w:tc>
          <w:tcPr>
            <w:tcW w:w="753" w:type="dxa"/>
            <w:tcBorders>
              <w:bottom w:val="single" w:sz="4" w:space="0" w:color="auto"/>
            </w:tcBorders>
            <w:vAlign w:val="center"/>
          </w:tcPr>
          <w:p>
            <w:pPr>
              <w:ind w:right="-79" w:rightChars="-33"/>
              <w:jc w:val="center"/>
              <w:rPr>
                <w:rFonts w:ascii="宋体" w:hAnsi="宋体" w:cs="宋体"/>
                <w:sz w:val="24"/>
                <w:szCs w:val="20"/>
              </w:rPr>
            </w:pPr>
            <w:r>
              <w:rPr>
                <w:rFonts w:ascii="宋体" w:hAnsi="宋体" w:cs="宋体" w:hint="eastAsia"/>
                <w:sz w:val="24"/>
                <w:szCs w:val="20"/>
              </w:rPr>
              <w:t>序号</w:t>
            </w:r>
          </w:p>
        </w:tc>
        <w:tc>
          <w:tcPr>
            <w:tcW w:w="2088" w:type="dxa"/>
            <w:tcBorders>
              <w:bottom w:val="single" w:sz="4" w:space="0" w:color="auto"/>
            </w:tcBorders>
            <w:vAlign w:val="center"/>
          </w:tcPr>
          <w:p>
            <w:pPr>
              <w:jc w:val="center"/>
              <w:rPr>
                <w:rFonts w:ascii="宋体" w:hAnsi="宋体" w:cs="宋体"/>
                <w:sz w:val="24"/>
                <w:szCs w:val="20"/>
              </w:rPr>
            </w:pPr>
            <w:r>
              <w:rPr>
                <w:rFonts w:ascii="宋体" w:hAnsi="宋体" w:cs="宋体" w:hint="eastAsia"/>
                <w:sz w:val="24"/>
                <w:szCs w:val="20"/>
              </w:rPr>
              <w:t>易耗品/配件名称</w:t>
            </w:r>
          </w:p>
        </w:tc>
        <w:tc>
          <w:tcPr>
            <w:tcW w:w="1355" w:type="dxa"/>
            <w:tcBorders>
              <w:bottom w:val="single" w:sz="4" w:space="0" w:color="auto"/>
            </w:tcBorders>
            <w:vAlign w:val="center"/>
          </w:tcPr>
          <w:p>
            <w:pPr>
              <w:jc w:val="center"/>
              <w:rPr>
                <w:rFonts w:ascii="宋体" w:hAnsi="宋体" w:cs="宋体"/>
                <w:sz w:val="24"/>
                <w:szCs w:val="20"/>
              </w:rPr>
            </w:pPr>
            <w:r>
              <w:rPr>
                <w:rFonts w:ascii="宋体" w:hAnsi="宋体" w:cs="宋体" w:hint="eastAsia"/>
                <w:sz w:val="24"/>
                <w:szCs w:val="20"/>
              </w:rPr>
              <w:t>规格型号</w:t>
            </w:r>
          </w:p>
        </w:tc>
        <w:tc>
          <w:tcPr>
            <w:tcW w:w="1195" w:type="dxa"/>
            <w:tcBorders>
              <w:bottom w:val="single" w:sz="4" w:space="0" w:color="auto"/>
            </w:tcBorders>
            <w:vAlign w:val="center"/>
          </w:tcPr>
          <w:p>
            <w:pPr>
              <w:jc w:val="center"/>
              <w:rPr>
                <w:rFonts w:ascii="宋体" w:hAnsi="宋体" w:cs="宋体"/>
                <w:sz w:val="24"/>
                <w:szCs w:val="20"/>
              </w:rPr>
            </w:pPr>
            <w:r>
              <w:rPr>
                <w:rFonts w:ascii="宋体" w:hAnsi="宋体" w:cs="宋体" w:hint="eastAsia"/>
                <w:sz w:val="24"/>
                <w:szCs w:val="20"/>
              </w:rPr>
              <w:t>原产地</w:t>
            </w:r>
          </w:p>
        </w:tc>
        <w:tc>
          <w:tcPr>
            <w:tcW w:w="1027" w:type="dxa"/>
            <w:tcBorders>
              <w:bottom w:val="single" w:sz="4" w:space="0" w:color="auto"/>
            </w:tcBorders>
            <w:vAlign w:val="center"/>
          </w:tcPr>
          <w:p>
            <w:pPr>
              <w:jc w:val="center"/>
              <w:rPr>
                <w:rFonts w:ascii="宋体" w:hAnsi="宋体" w:cs="宋体"/>
                <w:sz w:val="24"/>
                <w:szCs w:val="20"/>
              </w:rPr>
            </w:pPr>
            <w:r>
              <w:rPr>
                <w:rFonts w:ascii="宋体" w:hAnsi="宋体" w:cs="宋体" w:hint="eastAsia"/>
                <w:sz w:val="24"/>
                <w:szCs w:val="20"/>
              </w:rPr>
              <w:t>品牌</w:t>
            </w:r>
          </w:p>
        </w:tc>
        <w:tc>
          <w:tcPr>
            <w:tcW w:w="1012" w:type="dxa"/>
            <w:tcBorders>
              <w:bottom w:val="single" w:sz="4" w:space="0" w:color="auto"/>
            </w:tcBorders>
            <w:vAlign w:val="center"/>
          </w:tcPr>
          <w:p>
            <w:pPr>
              <w:jc w:val="center"/>
              <w:rPr>
                <w:rFonts w:ascii="宋体" w:hAnsi="宋体" w:cs="宋体"/>
                <w:sz w:val="24"/>
                <w:szCs w:val="20"/>
              </w:rPr>
            </w:pPr>
            <w:r>
              <w:rPr>
                <w:rFonts w:ascii="宋体" w:hAnsi="宋体" w:cs="宋体" w:hint="eastAsia"/>
                <w:sz w:val="24"/>
                <w:szCs w:val="20"/>
              </w:rPr>
              <w:t>市场报价(元)</w:t>
            </w:r>
          </w:p>
        </w:tc>
        <w:tc>
          <w:tcPr>
            <w:tcW w:w="1160" w:type="dxa"/>
            <w:tcBorders>
              <w:bottom w:val="single" w:sz="4" w:space="0" w:color="auto"/>
            </w:tcBorders>
            <w:vAlign w:val="center"/>
          </w:tcPr>
          <w:p>
            <w:pPr>
              <w:jc w:val="center"/>
              <w:rPr>
                <w:rFonts w:ascii="宋体" w:hAnsi="宋体" w:cs="宋体"/>
                <w:sz w:val="24"/>
                <w:szCs w:val="20"/>
              </w:rPr>
            </w:pPr>
            <w:r>
              <w:rPr>
                <w:rFonts w:ascii="宋体" w:hAnsi="宋体" w:cs="宋体" w:hint="eastAsia"/>
                <w:sz w:val="24"/>
                <w:szCs w:val="20"/>
              </w:rPr>
              <w:t>优惠报价(元)</w:t>
            </w:r>
          </w:p>
        </w:tc>
      </w:tr>
      <w:tr>
        <w:tblPrEx>
          <w:tblW w:w="8590" w:type="dxa"/>
          <w:jc w:val="center"/>
          <w:tblInd w:w="0" w:type="dxa"/>
          <w:tblLayout w:type="fixed"/>
          <w:tblCellMar>
            <w:top w:w="0" w:type="dxa"/>
            <w:left w:w="108" w:type="dxa"/>
            <w:bottom w:w="0" w:type="dxa"/>
            <w:right w:w="108" w:type="dxa"/>
          </w:tblCellMar>
        </w:tblPrEx>
        <w:trPr>
          <w:trHeight w:val="349"/>
          <w:jc w:val="center"/>
        </w:trPr>
        <w:tc>
          <w:tcPr>
            <w:tcW w:w="753" w:type="dxa"/>
            <w:tcBorders>
              <w:top w:val="single" w:sz="4" w:space="0" w:color="auto"/>
              <w:bottom w:val="single" w:sz="4" w:space="0" w:color="auto"/>
            </w:tcBorders>
            <w:vAlign w:val="center"/>
          </w:tcPr>
          <w:p>
            <w:pPr>
              <w:ind w:right="-79" w:rightChars="-33"/>
              <w:jc w:val="center"/>
              <w:rPr>
                <w:rFonts w:ascii="宋体" w:hAnsi="宋体" w:cs="宋体"/>
                <w:sz w:val="24"/>
                <w:szCs w:val="20"/>
              </w:rPr>
            </w:pPr>
            <w:r>
              <w:rPr>
                <w:rFonts w:ascii="宋体" w:hAnsi="宋体" w:cs="宋体" w:hint="eastAsia"/>
                <w:sz w:val="24"/>
                <w:szCs w:val="20"/>
              </w:rPr>
              <w:t>1</w:t>
            </w:r>
          </w:p>
        </w:tc>
        <w:tc>
          <w:tcPr>
            <w:tcW w:w="2088" w:type="dxa"/>
            <w:tcBorders>
              <w:top w:val="single" w:sz="4" w:space="0" w:color="auto"/>
              <w:bottom w:val="single" w:sz="4" w:space="0" w:color="auto"/>
            </w:tcBorders>
            <w:vAlign w:val="center"/>
          </w:tcPr>
          <w:p>
            <w:pPr>
              <w:jc w:val="center"/>
              <w:rPr>
                <w:rFonts w:ascii="宋体" w:hAnsi="宋体" w:cs="宋体"/>
                <w:sz w:val="24"/>
                <w:szCs w:val="20"/>
              </w:rPr>
            </w:pPr>
          </w:p>
        </w:tc>
        <w:tc>
          <w:tcPr>
            <w:tcW w:w="1355" w:type="dxa"/>
            <w:tcBorders>
              <w:top w:val="single" w:sz="4" w:space="0" w:color="auto"/>
              <w:bottom w:val="single" w:sz="4" w:space="0" w:color="auto"/>
            </w:tcBorders>
            <w:vAlign w:val="center"/>
          </w:tcPr>
          <w:p>
            <w:pPr>
              <w:jc w:val="center"/>
              <w:rPr>
                <w:rFonts w:ascii="宋体" w:hAnsi="宋体" w:cs="宋体"/>
                <w:sz w:val="24"/>
                <w:szCs w:val="20"/>
              </w:rPr>
            </w:pPr>
          </w:p>
        </w:tc>
        <w:tc>
          <w:tcPr>
            <w:tcW w:w="1195" w:type="dxa"/>
            <w:tcBorders>
              <w:top w:val="single" w:sz="4" w:space="0" w:color="auto"/>
              <w:bottom w:val="single" w:sz="4" w:space="0" w:color="auto"/>
            </w:tcBorders>
            <w:vAlign w:val="center"/>
          </w:tcPr>
          <w:p>
            <w:pPr>
              <w:jc w:val="center"/>
              <w:rPr>
                <w:rFonts w:ascii="宋体" w:hAnsi="宋体" w:cs="宋体"/>
                <w:sz w:val="24"/>
                <w:szCs w:val="20"/>
              </w:rPr>
            </w:pPr>
          </w:p>
        </w:tc>
        <w:tc>
          <w:tcPr>
            <w:tcW w:w="1027" w:type="dxa"/>
            <w:tcBorders>
              <w:top w:val="single" w:sz="4" w:space="0" w:color="auto"/>
              <w:bottom w:val="single" w:sz="4" w:space="0" w:color="auto"/>
            </w:tcBorders>
            <w:vAlign w:val="center"/>
          </w:tcPr>
          <w:p>
            <w:pPr>
              <w:jc w:val="center"/>
              <w:rPr>
                <w:rFonts w:ascii="宋体" w:hAnsi="宋体" w:cs="宋体"/>
                <w:sz w:val="24"/>
                <w:szCs w:val="20"/>
              </w:rPr>
            </w:pPr>
          </w:p>
        </w:tc>
        <w:tc>
          <w:tcPr>
            <w:tcW w:w="1012" w:type="dxa"/>
            <w:tcBorders>
              <w:top w:val="single" w:sz="4" w:space="0" w:color="auto"/>
              <w:bottom w:val="single" w:sz="4" w:space="0" w:color="auto"/>
            </w:tcBorders>
            <w:vAlign w:val="center"/>
          </w:tcPr>
          <w:p>
            <w:pPr>
              <w:jc w:val="center"/>
              <w:rPr>
                <w:rFonts w:ascii="宋体" w:hAnsi="宋体" w:cs="宋体"/>
                <w:sz w:val="24"/>
                <w:szCs w:val="20"/>
              </w:rPr>
            </w:pPr>
          </w:p>
        </w:tc>
        <w:tc>
          <w:tcPr>
            <w:tcW w:w="1160" w:type="dxa"/>
            <w:tcBorders>
              <w:top w:val="single" w:sz="4" w:space="0" w:color="auto"/>
              <w:bottom w:val="single" w:sz="4" w:space="0" w:color="auto"/>
            </w:tcBorders>
            <w:vAlign w:val="center"/>
          </w:tcPr>
          <w:p>
            <w:pPr>
              <w:jc w:val="center"/>
              <w:rPr>
                <w:rFonts w:ascii="宋体" w:hAnsi="宋体" w:cs="宋体"/>
                <w:sz w:val="24"/>
                <w:szCs w:val="20"/>
              </w:rPr>
            </w:pPr>
          </w:p>
        </w:tc>
      </w:tr>
      <w:tr>
        <w:tblPrEx>
          <w:tblW w:w="8590"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bottom w:val="single" w:sz="4" w:space="0" w:color="auto"/>
            </w:tcBorders>
            <w:vAlign w:val="center"/>
          </w:tcPr>
          <w:p>
            <w:pPr>
              <w:ind w:right="-79" w:rightChars="-33"/>
              <w:jc w:val="center"/>
              <w:rPr>
                <w:rFonts w:ascii="宋体" w:hAnsi="宋体" w:cs="宋体"/>
                <w:sz w:val="24"/>
                <w:szCs w:val="20"/>
              </w:rPr>
            </w:pPr>
            <w:r>
              <w:rPr>
                <w:rFonts w:ascii="宋体" w:hAnsi="宋体" w:cs="宋体" w:hint="eastAsia"/>
                <w:sz w:val="24"/>
                <w:szCs w:val="20"/>
              </w:rPr>
              <w:t>2</w:t>
            </w:r>
          </w:p>
        </w:tc>
        <w:tc>
          <w:tcPr>
            <w:tcW w:w="2088" w:type="dxa"/>
            <w:tcBorders>
              <w:top w:val="single" w:sz="4" w:space="0" w:color="auto"/>
              <w:bottom w:val="single" w:sz="4" w:space="0" w:color="auto"/>
            </w:tcBorders>
            <w:vAlign w:val="center"/>
          </w:tcPr>
          <w:p>
            <w:pPr>
              <w:jc w:val="center"/>
              <w:rPr>
                <w:rFonts w:ascii="宋体" w:hAnsi="宋体" w:cs="宋体"/>
                <w:sz w:val="24"/>
                <w:szCs w:val="20"/>
              </w:rPr>
            </w:pPr>
          </w:p>
        </w:tc>
        <w:tc>
          <w:tcPr>
            <w:tcW w:w="1355" w:type="dxa"/>
            <w:tcBorders>
              <w:top w:val="single" w:sz="4" w:space="0" w:color="auto"/>
              <w:bottom w:val="single" w:sz="4" w:space="0" w:color="auto"/>
            </w:tcBorders>
            <w:vAlign w:val="center"/>
          </w:tcPr>
          <w:p>
            <w:pPr>
              <w:jc w:val="center"/>
              <w:rPr>
                <w:rFonts w:ascii="宋体" w:hAnsi="宋体" w:cs="宋体"/>
                <w:sz w:val="24"/>
                <w:szCs w:val="20"/>
              </w:rPr>
            </w:pPr>
          </w:p>
        </w:tc>
        <w:tc>
          <w:tcPr>
            <w:tcW w:w="1195" w:type="dxa"/>
            <w:tcBorders>
              <w:top w:val="single" w:sz="4" w:space="0" w:color="auto"/>
              <w:bottom w:val="single" w:sz="4" w:space="0" w:color="auto"/>
            </w:tcBorders>
            <w:vAlign w:val="center"/>
          </w:tcPr>
          <w:p>
            <w:pPr>
              <w:jc w:val="center"/>
              <w:rPr>
                <w:rFonts w:ascii="宋体" w:hAnsi="宋体" w:cs="宋体"/>
                <w:sz w:val="24"/>
                <w:szCs w:val="20"/>
              </w:rPr>
            </w:pPr>
          </w:p>
        </w:tc>
        <w:tc>
          <w:tcPr>
            <w:tcW w:w="1027" w:type="dxa"/>
            <w:tcBorders>
              <w:top w:val="single" w:sz="4" w:space="0" w:color="auto"/>
              <w:bottom w:val="single" w:sz="4" w:space="0" w:color="auto"/>
            </w:tcBorders>
            <w:vAlign w:val="center"/>
          </w:tcPr>
          <w:p>
            <w:pPr>
              <w:jc w:val="center"/>
              <w:rPr>
                <w:rFonts w:ascii="宋体" w:hAnsi="宋体" w:cs="宋体"/>
                <w:sz w:val="24"/>
                <w:szCs w:val="20"/>
              </w:rPr>
            </w:pPr>
          </w:p>
        </w:tc>
        <w:tc>
          <w:tcPr>
            <w:tcW w:w="1012" w:type="dxa"/>
            <w:tcBorders>
              <w:top w:val="single" w:sz="4" w:space="0" w:color="auto"/>
              <w:bottom w:val="single" w:sz="4" w:space="0" w:color="auto"/>
            </w:tcBorders>
            <w:vAlign w:val="center"/>
          </w:tcPr>
          <w:p>
            <w:pPr>
              <w:jc w:val="center"/>
              <w:rPr>
                <w:rFonts w:ascii="宋体" w:hAnsi="宋体" w:cs="宋体"/>
                <w:sz w:val="24"/>
                <w:szCs w:val="20"/>
              </w:rPr>
            </w:pPr>
          </w:p>
        </w:tc>
        <w:tc>
          <w:tcPr>
            <w:tcW w:w="1160" w:type="dxa"/>
            <w:tcBorders>
              <w:top w:val="single" w:sz="4" w:space="0" w:color="auto"/>
              <w:bottom w:val="single" w:sz="4" w:space="0" w:color="auto"/>
            </w:tcBorders>
            <w:vAlign w:val="center"/>
          </w:tcPr>
          <w:p>
            <w:pPr>
              <w:jc w:val="center"/>
              <w:rPr>
                <w:rFonts w:ascii="宋体" w:hAnsi="宋体" w:cs="宋体"/>
                <w:sz w:val="24"/>
                <w:szCs w:val="20"/>
              </w:rPr>
            </w:pPr>
          </w:p>
        </w:tc>
      </w:tr>
      <w:tr>
        <w:tblPrEx>
          <w:tblW w:w="8590"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bottom w:val="single" w:sz="4" w:space="0" w:color="auto"/>
            </w:tcBorders>
            <w:vAlign w:val="center"/>
          </w:tcPr>
          <w:p>
            <w:pPr>
              <w:ind w:right="-79" w:rightChars="-33"/>
              <w:jc w:val="center"/>
              <w:rPr>
                <w:rFonts w:ascii="宋体" w:hAnsi="宋体" w:cs="宋体"/>
                <w:sz w:val="24"/>
                <w:szCs w:val="20"/>
              </w:rPr>
            </w:pPr>
            <w:r>
              <w:rPr>
                <w:rFonts w:ascii="宋体" w:hAnsi="宋体" w:cs="宋体" w:hint="eastAsia"/>
                <w:sz w:val="24"/>
                <w:szCs w:val="20"/>
              </w:rPr>
              <w:t>3</w:t>
            </w:r>
          </w:p>
        </w:tc>
        <w:tc>
          <w:tcPr>
            <w:tcW w:w="2088" w:type="dxa"/>
            <w:tcBorders>
              <w:top w:val="single" w:sz="4" w:space="0" w:color="auto"/>
              <w:bottom w:val="single" w:sz="4" w:space="0" w:color="auto"/>
            </w:tcBorders>
            <w:vAlign w:val="center"/>
          </w:tcPr>
          <w:p>
            <w:pPr>
              <w:jc w:val="center"/>
              <w:rPr>
                <w:rFonts w:ascii="宋体" w:hAnsi="宋体" w:cs="宋体"/>
                <w:sz w:val="24"/>
                <w:szCs w:val="20"/>
              </w:rPr>
            </w:pPr>
          </w:p>
        </w:tc>
        <w:tc>
          <w:tcPr>
            <w:tcW w:w="1355" w:type="dxa"/>
            <w:tcBorders>
              <w:top w:val="single" w:sz="4" w:space="0" w:color="auto"/>
              <w:bottom w:val="single" w:sz="4" w:space="0" w:color="auto"/>
            </w:tcBorders>
            <w:vAlign w:val="center"/>
          </w:tcPr>
          <w:p>
            <w:pPr>
              <w:jc w:val="center"/>
              <w:rPr>
                <w:rFonts w:ascii="宋体" w:hAnsi="宋体" w:cs="宋体"/>
                <w:sz w:val="24"/>
                <w:szCs w:val="20"/>
              </w:rPr>
            </w:pPr>
          </w:p>
        </w:tc>
        <w:tc>
          <w:tcPr>
            <w:tcW w:w="1195" w:type="dxa"/>
            <w:tcBorders>
              <w:top w:val="single" w:sz="4" w:space="0" w:color="auto"/>
              <w:bottom w:val="single" w:sz="4" w:space="0" w:color="auto"/>
            </w:tcBorders>
            <w:vAlign w:val="center"/>
          </w:tcPr>
          <w:p>
            <w:pPr>
              <w:jc w:val="center"/>
              <w:rPr>
                <w:rFonts w:ascii="宋体" w:hAnsi="宋体" w:cs="宋体"/>
                <w:sz w:val="24"/>
                <w:szCs w:val="20"/>
              </w:rPr>
            </w:pPr>
          </w:p>
        </w:tc>
        <w:tc>
          <w:tcPr>
            <w:tcW w:w="1027" w:type="dxa"/>
            <w:tcBorders>
              <w:top w:val="single" w:sz="4" w:space="0" w:color="auto"/>
              <w:bottom w:val="single" w:sz="4" w:space="0" w:color="auto"/>
            </w:tcBorders>
            <w:vAlign w:val="center"/>
          </w:tcPr>
          <w:p>
            <w:pPr>
              <w:jc w:val="center"/>
              <w:rPr>
                <w:rFonts w:ascii="宋体" w:hAnsi="宋体" w:cs="宋体"/>
                <w:sz w:val="24"/>
                <w:szCs w:val="20"/>
              </w:rPr>
            </w:pPr>
          </w:p>
        </w:tc>
        <w:tc>
          <w:tcPr>
            <w:tcW w:w="1012" w:type="dxa"/>
            <w:tcBorders>
              <w:top w:val="single" w:sz="4" w:space="0" w:color="auto"/>
              <w:bottom w:val="single" w:sz="4" w:space="0" w:color="auto"/>
            </w:tcBorders>
            <w:vAlign w:val="center"/>
          </w:tcPr>
          <w:p>
            <w:pPr>
              <w:jc w:val="center"/>
              <w:rPr>
                <w:rFonts w:ascii="宋体" w:hAnsi="宋体" w:cs="宋体"/>
                <w:sz w:val="24"/>
                <w:szCs w:val="20"/>
              </w:rPr>
            </w:pPr>
          </w:p>
        </w:tc>
        <w:tc>
          <w:tcPr>
            <w:tcW w:w="1160" w:type="dxa"/>
            <w:tcBorders>
              <w:top w:val="single" w:sz="4" w:space="0" w:color="auto"/>
              <w:bottom w:val="single" w:sz="4" w:space="0" w:color="auto"/>
            </w:tcBorders>
            <w:vAlign w:val="center"/>
          </w:tcPr>
          <w:p>
            <w:pPr>
              <w:jc w:val="center"/>
              <w:rPr>
                <w:rFonts w:ascii="宋体" w:hAnsi="宋体" w:cs="宋体"/>
                <w:sz w:val="24"/>
                <w:szCs w:val="20"/>
              </w:rPr>
            </w:pPr>
          </w:p>
        </w:tc>
      </w:tr>
      <w:tr>
        <w:tblPrEx>
          <w:tblW w:w="8590"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bottom w:val="single" w:sz="4" w:space="0" w:color="auto"/>
            </w:tcBorders>
            <w:vAlign w:val="center"/>
          </w:tcPr>
          <w:p>
            <w:pPr>
              <w:ind w:right="-79" w:rightChars="-33"/>
              <w:jc w:val="center"/>
              <w:rPr>
                <w:rFonts w:ascii="宋体" w:hAnsi="宋体" w:cs="宋体"/>
                <w:sz w:val="24"/>
                <w:szCs w:val="20"/>
              </w:rPr>
            </w:pPr>
            <w:r>
              <w:rPr>
                <w:rFonts w:ascii="宋体" w:hAnsi="宋体" w:cs="宋体" w:hint="eastAsia"/>
                <w:sz w:val="24"/>
                <w:szCs w:val="20"/>
              </w:rPr>
              <w:t>4</w:t>
            </w:r>
          </w:p>
        </w:tc>
        <w:tc>
          <w:tcPr>
            <w:tcW w:w="2088" w:type="dxa"/>
            <w:tcBorders>
              <w:top w:val="single" w:sz="4" w:space="0" w:color="auto"/>
              <w:bottom w:val="single" w:sz="4" w:space="0" w:color="auto"/>
            </w:tcBorders>
            <w:vAlign w:val="center"/>
          </w:tcPr>
          <w:p>
            <w:pPr>
              <w:jc w:val="center"/>
              <w:rPr>
                <w:rFonts w:ascii="宋体" w:hAnsi="宋体" w:cs="宋体"/>
                <w:sz w:val="24"/>
                <w:szCs w:val="20"/>
              </w:rPr>
            </w:pPr>
          </w:p>
        </w:tc>
        <w:tc>
          <w:tcPr>
            <w:tcW w:w="1355" w:type="dxa"/>
            <w:tcBorders>
              <w:top w:val="single" w:sz="4" w:space="0" w:color="auto"/>
              <w:bottom w:val="single" w:sz="4" w:space="0" w:color="auto"/>
            </w:tcBorders>
            <w:vAlign w:val="center"/>
          </w:tcPr>
          <w:p>
            <w:pPr>
              <w:jc w:val="center"/>
              <w:rPr>
                <w:rFonts w:ascii="宋体" w:hAnsi="宋体" w:cs="宋体"/>
                <w:sz w:val="24"/>
                <w:szCs w:val="20"/>
              </w:rPr>
            </w:pPr>
          </w:p>
        </w:tc>
        <w:tc>
          <w:tcPr>
            <w:tcW w:w="1195" w:type="dxa"/>
            <w:tcBorders>
              <w:top w:val="single" w:sz="4" w:space="0" w:color="auto"/>
              <w:bottom w:val="single" w:sz="4" w:space="0" w:color="auto"/>
            </w:tcBorders>
            <w:vAlign w:val="center"/>
          </w:tcPr>
          <w:p>
            <w:pPr>
              <w:jc w:val="center"/>
              <w:rPr>
                <w:rFonts w:ascii="宋体" w:hAnsi="宋体" w:cs="宋体"/>
                <w:sz w:val="24"/>
                <w:szCs w:val="20"/>
              </w:rPr>
            </w:pPr>
          </w:p>
        </w:tc>
        <w:tc>
          <w:tcPr>
            <w:tcW w:w="1027" w:type="dxa"/>
            <w:tcBorders>
              <w:top w:val="single" w:sz="4" w:space="0" w:color="auto"/>
              <w:bottom w:val="single" w:sz="4" w:space="0" w:color="auto"/>
            </w:tcBorders>
            <w:vAlign w:val="center"/>
          </w:tcPr>
          <w:p>
            <w:pPr>
              <w:jc w:val="center"/>
              <w:rPr>
                <w:rFonts w:ascii="宋体" w:hAnsi="宋体" w:cs="宋体"/>
                <w:sz w:val="24"/>
                <w:szCs w:val="20"/>
              </w:rPr>
            </w:pPr>
          </w:p>
        </w:tc>
        <w:tc>
          <w:tcPr>
            <w:tcW w:w="1012" w:type="dxa"/>
            <w:tcBorders>
              <w:top w:val="single" w:sz="4" w:space="0" w:color="auto"/>
              <w:bottom w:val="single" w:sz="4" w:space="0" w:color="auto"/>
            </w:tcBorders>
            <w:vAlign w:val="center"/>
          </w:tcPr>
          <w:p>
            <w:pPr>
              <w:jc w:val="center"/>
              <w:rPr>
                <w:rFonts w:ascii="宋体" w:hAnsi="宋体" w:cs="宋体"/>
                <w:sz w:val="24"/>
                <w:szCs w:val="20"/>
              </w:rPr>
            </w:pPr>
          </w:p>
        </w:tc>
        <w:tc>
          <w:tcPr>
            <w:tcW w:w="1160" w:type="dxa"/>
            <w:tcBorders>
              <w:top w:val="single" w:sz="4" w:space="0" w:color="auto"/>
              <w:bottom w:val="single" w:sz="4" w:space="0" w:color="auto"/>
            </w:tcBorders>
            <w:vAlign w:val="center"/>
          </w:tcPr>
          <w:p>
            <w:pPr>
              <w:jc w:val="center"/>
              <w:rPr>
                <w:rFonts w:ascii="宋体" w:hAnsi="宋体" w:cs="宋体"/>
                <w:sz w:val="24"/>
                <w:szCs w:val="20"/>
              </w:rPr>
            </w:pPr>
          </w:p>
        </w:tc>
      </w:tr>
      <w:tr>
        <w:tblPrEx>
          <w:tblW w:w="8590" w:type="dxa"/>
          <w:jc w:val="center"/>
          <w:tblInd w:w="0" w:type="dxa"/>
          <w:tblLayout w:type="fixed"/>
          <w:tblCellMar>
            <w:top w:w="0" w:type="dxa"/>
            <w:left w:w="108" w:type="dxa"/>
            <w:bottom w:w="0" w:type="dxa"/>
            <w:right w:w="108" w:type="dxa"/>
          </w:tblCellMar>
        </w:tblPrEx>
        <w:trPr>
          <w:trHeight w:val="362"/>
          <w:jc w:val="center"/>
        </w:trPr>
        <w:tc>
          <w:tcPr>
            <w:tcW w:w="753" w:type="dxa"/>
            <w:tcBorders>
              <w:top w:val="single" w:sz="4" w:space="0" w:color="auto"/>
            </w:tcBorders>
            <w:vAlign w:val="center"/>
          </w:tcPr>
          <w:p>
            <w:pPr>
              <w:ind w:right="-79" w:rightChars="-33"/>
              <w:jc w:val="center"/>
              <w:rPr>
                <w:rFonts w:ascii="宋体" w:hAnsi="宋体" w:cs="宋体"/>
                <w:sz w:val="24"/>
                <w:szCs w:val="20"/>
              </w:rPr>
            </w:pPr>
            <w:r>
              <w:rPr>
                <w:rFonts w:ascii="宋体" w:hAnsi="宋体" w:cs="宋体" w:hint="eastAsia"/>
                <w:sz w:val="24"/>
                <w:szCs w:val="20"/>
              </w:rPr>
              <w:t>5</w:t>
            </w:r>
          </w:p>
        </w:tc>
        <w:tc>
          <w:tcPr>
            <w:tcW w:w="2088" w:type="dxa"/>
            <w:tcBorders>
              <w:top w:val="single" w:sz="4" w:space="0" w:color="auto"/>
            </w:tcBorders>
            <w:vAlign w:val="center"/>
          </w:tcPr>
          <w:p>
            <w:pPr>
              <w:jc w:val="center"/>
              <w:rPr>
                <w:rFonts w:ascii="宋体" w:hAnsi="宋体" w:cs="宋体"/>
                <w:sz w:val="24"/>
                <w:szCs w:val="20"/>
              </w:rPr>
            </w:pPr>
          </w:p>
        </w:tc>
        <w:tc>
          <w:tcPr>
            <w:tcW w:w="1355" w:type="dxa"/>
            <w:tcBorders>
              <w:top w:val="single" w:sz="4" w:space="0" w:color="auto"/>
            </w:tcBorders>
            <w:vAlign w:val="center"/>
          </w:tcPr>
          <w:p>
            <w:pPr>
              <w:jc w:val="center"/>
              <w:rPr>
                <w:rFonts w:ascii="宋体" w:hAnsi="宋体" w:cs="宋体"/>
                <w:sz w:val="24"/>
                <w:szCs w:val="20"/>
              </w:rPr>
            </w:pPr>
          </w:p>
        </w:tc>
        <w:tc>
          <w:tcPr>
            <w:tcW w:w="1195" w:type="dxa"/>
            <w:tcBorders>
              <w:top w:val="single" w:sz="4" w:space="0" w:color="auto"/>
            </w:tcBorders>
            <w:vAlign w:val="center"/>
          </w:tcPr>
          <w:p>
            <w:pPr>
              <w:jc w:val="center"/>
              <w:rPr>
                <w:rFonts w:ascii="宋体" w:hAnsi="宋体" w:cs="宋体"/>
                <w:sz w:val="24"/>
                <w:szCs w:val="20"/>
              </w:rPr>
            </w:pPr>
          </w:p>
        </w:tc>
        <w:tc>
          <w:tcPr>
            <w:tcW w:w="1027" w:type="dxa"/>
            <w:tcBorders>
              <w:top w:val="single" w:sz="4" w:space="0" w:color="auto"/>
            </w:tcBorders>
            <w:vAlign w:val="center"/>
          </w:tcPr>
          <w:p>
            <w:pPr>
              <w:jc w:val="center"/>
              <w:rPr>
                <w:rFonts w:ascii="宋体" w:hAnsi="宋体" w:cs="宋体"/>
                <w:sz w:val="24"/>
                <w:szCs w:val="20"/>
              </w:rPr>
            </w:pPr>
          </w:p>
        </w:tc>
        <w:tc>
          <w:tcPr>
            <w:tcW w:w="1012" w:type="dxa"/>
            <w:tcBorders>
              <w:top w:val="single" w:sz="4" w:space="0" w:color="auto"/>
            </w:tcBorders>
            <w:vAlign w:val="center"/>
          </w:tcPr>
          <w:p>
            <w:pPr>
              <w:jc w:val="center"/>
              <w:rPr>
                <w:rFonts w:ascii="宋体" w:hAnsi="宋体" w:cs="宋体"/>
                <w:sz w:val="24"/>
                <w:szCs w:val="20"/>
              </w:rPr>
            </w:pPr>
          </w:p>
        </w:tc>
        <w:tc>
          <w:tcPr>
            <w:tcW w:w="1160" w:type="dxa"/>
            <w:tcBorders>
              <w:top w:val="single" w:sz="4" w:space="0" w:color="auto"/>
            </w:tcBorders>
            <w:vAlign w:val="center"/>
          </w:tcPr>
          <w:p>
            <w:pPr>
              <w:jc w:val="center"/>
              <w:rPr>
                <w:rFonts w:ascii="宋体" w:hAnsi="宋体" w:cs="宋体"/>
                <w:sz w:val="24"/>
                <w:szCs w:val="20"/>
              </w:rPr>
            </w:pPr>
          </w:p>
        </w:tc>
      </w:tr>
    </w:tbl>
    <w:p>
      <w:pPr>
        <w:rPr>
          <w:rFonts w:ascii="宋体" w:hAnsi="宋体" w:cs="宋体"/>
          <w:sz w:val="24"/>
          <w:szCs w:val="20"/>
        </w:rPr>
      </w:pPr>
    </w:p>
    <w:p>
      <w:pPr>
        <w:pStyle w:val="BodyText"/>
        <w:rPr>
          <w:rFonts w:ascii="宋体" w:hAnsi="宋体" w:cs="宋体"/>
          <w:szCs w:val="20"/>
        </w:rPr>
      </w:pPr>
    </w:p>
    <w:p>
      <w:pPr>
        <w:pStyle w:val="Heading2"/>
        <w:jc w:val="both"/>
        <w:rPr>
          <w:rFonts w:ascii="宋体" w:hAnsi="宋体" w:cs="宋体"/>
          <w:kern w:val="2"/>
        </w:rPr>
      </w:pPr>
      <w:r>
        <w:rPr>
          <w:rFonts w:ascii="宋体" w:hAnsi="宋体" w:cs="宋体" w:hint="eastAsia"/>
          <w:kern w:val="2"/>
        </w:rPr>
        <w:t>（二）</w:t>
      </w:r>
      <w:r>
        <w:rPr>
          <w:rFonts w:ascii="宋体" w:hAnsi="宋体" w:cs="宋体"/>
          <w:kern w:val="2"/>
        </w:rPr>
        <w:t>延续保修合同报价清单</w:t>
      </w:r>
    </w:p>
    <w:tbl>
      <w:tblPr>
        <w:tblStyle w:val="TableNormal"/>
        <w:tblpPr w:leftFromText="180" w:rightFromText="180" w:vertAnchor="text" w:horzAnchor="margin" w:tblpY="117"/>
        <w:tblW w:w="7779" w:type="dxa"/>
        <w:tblInd w:w="0" w:type="dxa"/>
        <w:tblLayout w:type="fixed"/>
        <w:tblCellMar>
          <w:top w:w="0" w:type="dxa"/>
          <w:left w:w="108" w:type="dxa"/>
          <w:bottom w:w="0" w:type="dxa"/>
          <w:right w:w="108" w:type="dxa"/>
        </w:tblCellMar>
      </w:tblPr>
      <w:tblGrid>
        <w:gridCol w:w="1331"/>
        <w:gridCol w:w="4039"/>
        <w:gridCol w:w="2409"/>
      </w:tblGrid>
      <w:tr>
        <w:tblPrEx>
          <w:tblW w:w="7779" w:type="dxa"/>
          <w:tblInd w:w="0" w:type="dxa"/>
          <w:tblLayout w:type="fixed"/>
          <w:tblCellMar>
            <w:top w:w="0" w:type="dxa"/>
            <w:left w:w="108" w:type="dxa"/>
            <w:bottom w:w="0" w:type="dxa"/>
            <w:right w:w="108" w:type="dxa"/>
          </w:tblCellMar>
        </w:tblPrEx>
        <w:trPr>
          <w:trHeight w:val="272"/>
        </w:trPr>
        <w:tc>
          <w:tcPr>
            <w:tcW w:w="1331" w:type="dxa"/>
            <w:tcBorders>
              <w:top w:val="single" w:sz="4" w:space="0" w:color="auto"/>
              <w:left w:val="single" w:sz="4" w:space="0" w:color="auto"/>
              <w:bottom w:val="single" w:sz="4" w:space="0" w:color="auto"/>
              <w:right w:val="single" w:sz="4" w:space="0" w:color="auto"/>
            </w:tcBorders>
            <w:noWrap/>
          </w:tcPr>
          <w:p>
            <w:pPr>
              <w:widowControl/>
              <w:jc w:val="center"/>
              <w:rPr>
                <w:rFonts w:ascii="宋体" w:hAnsi="宋体" w:cs="宋体"/>
                <w:sz w:val="24"/>
                <w:szCs w:val="20"/>
              </w:rPr>
            </w:pPr>
            <w:r>
              <w:rPr>
                <w:rFonts w:ascii="宋体" w:hAnsi="宋体" w:cs="宋体" w:hint="eastAsia"/>
                <w:sz w:val="24"/>
                <w:szCs w:val="20"/>
              </w:rPr>
              <w:t>序号</w:t>
            </w:r>
          </w:p>
        </w:tc>
        <w:tc>
          <w:tcPr>
            <w:tcW w:w="4039" w:type="dxa"/>
            <w:tcBorders>
              <w:top w:val="single" w:sz="4" w:space="0" w:color="auto"/>
              <w:left w:val="nil"/>
              <w:bottom w:val="single" w:sz="4" w:space="0" w:color="auto"/>
              <w:right w:val="single" w:sz="4" w:space="0" w:color="auto"/>
            </w:tcBorders>
            <w:noWrap/>
            <w:vAlign w:val="center"/>
          </w:tcPr>
          <w:p>
            <w:pPr>
              <w:widowControl/>
              <w:jc w:val="center"/>
              <w:rPr>
                <w:rFonts w:ascii="宋体" w:hAnsi="宋体" w:cs="宋体"/>
                <w:sz w:val="24"/>
                <w:szCs w:val="20"/>
              </w:rPr>
            </w:pPr>
            <w:r>
              <w:rPr>
                <w:rFonts w:ascii="宋体" w:hAnsi="宋体" w:cs="宋体" w:hint="eastAsia"/>
                <w:sz w:val="24"/>
                <w:szCs w:val="20"/>
              </w:rPr>
              <w:t>服务项目</w:t>
            </w:r>
          </w:p>
        </w:tc>
        <w:tc>
          <w:tcPr>
            <w:tcW w:w="2409" w:type="dxa"/>
            <w:tcBorders>
              <w:top w:val="single" w:sz="4" w:space="0" w:color="auto"/>
              <w:left w:val="nil"/>
              <w:bottom w:val="single" w:sz="4" w:space="0" w:color="auto"/>
              <w:right w:val="single" w:sz="4" w:space="0" w:color="auto"/>
            </w:tcBorders>
            <w:noWrap/>
          </w:tcPr>
          <w:p>
            <w:pPr>
              <w:widowControl/>
              <w:jc w:val="center"/>
              <w:rPr>
                <w:rFonts w:ascii="宋体" w:hAnsi="宋体" w:cs="宋体"/>
                <w:sz w:val="24"/>
                <w:szCs w:val="20"/>
              </w:rPr>
            </w:pPr>
            <w:r>
              <w:rPr>
                <w:rFonts w:ascii="宋体" w:hAnsi="宋体" w:cs="宋体" w:hint="eastAsia"/>
                <w:sz w:val="24"/>
                <w:szCs w:val="20"/>
              </w:rPr>
              <w:t>报价</w:t>
            </w:r>
          </w:p>
        </w:tc>
      </w:tr>
      <w:tr>
        <w:tblPrEx>
          <w:tblW w:w="7779" w:type="dxa"/>
          <w:tblInd w:w="0" w:type="dxa"/>
          <w:tblLayout w:type="fixed"/>
          <w:tblCellMar>
            <w:top w:w="0" w:type="dxa"/>
            <w:left w:w="108" w:type="dxa"/>
            <w:bottom w:w="0" w:type="dxa"/>
            <w:right w:w="108" w:type="dxa"/>
          </w:tblCellMar>
        </w:tblPrEx>
        <w:trPr>
          <w:trHeight w:val="272"/>
        </w:trPr>
        <w:tc>
          <w:tcPr>
            <w:tcW w:w="1331" w:type="dxa"/>
            <w:tcBorders>
              <w:top w:val="nil"/>
              <w:left w:val="single" w:sz="4" w:space="0" w:color="auto"/>
              <w:bottom w:val="single" w:sz="4" w:space="0" w:color="auto"/>
              <w:right w:val="single" w:sz="4" w:space="0" w:color="auto"/>
            </w:tcBorders>
            <w:noWrap/>
          </w:tcPr>
          <w:p>
            <w:pPr>
              <w:widowControl/>
              <w:jc w:val="center"/>
              <w:rPr>
                <w:rFonts w:ascii="宋体" w:hAnsi="宋体" w:cs="宋体"/>
                <w:sz w:val="24"/>
                <w:szCs w:val="20"/>
              </w:rPr>
            </w:pPr>
            <w:r>
              <w:rPr>
                <w:rFonts w:ascii="宋体" w:hAnsi="宋体" w:cs="宋体" w:hint="eastAsia"/>
                <w:sz w:val="24"/>
                <w:szCs w:val="20"/>
              </w:rPr>
              <w:t>1</w:t>
            </w:r>
          </w:p>
        </w:tc>
        <w:tc>
          <w:tcPr>
            <w:tcW w:w="4039" w:type="dxa"/>
            <w:tcBorders>
              <w:top w:val="nil"/>
              <w:left w:val="nil"/>
              <w:bottom w:val="single" w:sz="4" w:space="0" w:color="auto"/>
              <w:right w:val="single" w:sz="4" w:space="0" w:color="auto"/>
            </w:tcBorders>
            <w:noWrap/>
            <w:vAlign w:val="center"/>
          </w:tcPr>
          <w:p>
            <w:pPr>
              <w:widowControl/>
              <w:jc w:val="center"/>
              <w:rPr>
                <w:rFonts w:ascii="宋体" w:hAnsi="宋体" w:cs="宋体"/>
                <w:sz w:val="24"/>
                <w:szCs w:val="20"/>
              </w:rPr>
            </w:pPr>
            <w:r>
              <w:rPr>
                <w:rFonts w:ascii="宋体" w:hAnsi="宋体" w:cs="宋体" w:hint="eastAsia"/>
                <w:sz w:val="24"/>
                <w:szCs w:val="20"/>
              </w:rPr>
              <w:t>保修期内</w:t>
            </w:r>
          </w:p>
        </w:tc>
        <w:tc>
          <w:tcPr>
            <w:tcW w:w="2409" w:type="dxa"/>
            <w:tcBorders>
              <w:top w:val="nil"/>
              <w:left w:val="nil"/>
              <w:bottom w:val="single" w:sz="4" w:space="0" w:color="auto"/>
              <w:right w:val="single" w:sz="4" w:space="0" w:color="auto"/>
            </w:tcBorders>
            <w:noWrap/>
          </w:tcPr>
          <w:p>
            <w:pPr>
              <w:widowControl/>
              <w:jc w:val="center"/>
              <w:rPr>
                <w:rFonts w:ascii="宋体" w:hAnsi="宋体" w:cs="宋体"/>
                <w:sz w:val="24"/>
                <w:szCs w:val="20"/>
              </w:rPr>
            </w:pPr>
            <w:r>
              <w:rPr>
                <w:rFonts w:ascii="宋体" w:hAnsi="宋体" w:cs="宋体" w:hint="eastAsia"/>
                <w:sz w:val="24"/>
                <w:szCs w:val="20"/>
              </w:rPr>
              <w:t>免费</w:t>
            </w:r>
          </w:p>
        </w:tc>
      </w:tr>
      <w:tr>
        <w:tblPrEx>
          <w:tblW w:w="7779" w:type="dxa"/>
          <w:tblInd w:w="0" w:type="dxa"/>
          <w:tblLayout w:type="fixed"/>
          <w:tblCellMar>
            <w:top w:w="0" w:type="dxa"/>
            <w:left w:w="108" w:type="dxa"/>
            <w:bottom w:w="0" w:type="dxa"/>
            <w:right w:w="108" w:type="dxa"/>
          </w:tblCellMar>
        </w:tblPrEx>
        <w:trPr>
          <w:trHeight w:val="272"/>
        </w:trPr>
        <w:tc>
          <w:tcPr>
            <w:tcW w:w="1331" w:type="dxa"/>
            <w:tcBorders>
              <w:top w:val="nil"/>
              <w:left w:val="single" w:sz="4" w:space="0" w:color="auto"/>
              <w:bottom w:val="single" w:sz="4" w:space="0" w:color="auto"/>
              <w:right w:val="single" w:sz="4" w:space="0" w:color="auto"/>
            </w:tcBorders>
            <w:noWrap/>
          </w:tcPr>
          <w:p>
            <w:pPr>
              <w:widowControl/>
              <w:jc w:val="center"/>
              <w:rPr>
                <w:rFonts w:ascii="宋体" w:hAnsi="宋体" w:cs="宋体"/>
                <w:sz w:val="24"/>
                <w:szCs w:val="20"/>
              </w:rPr>
            </w:pPr>
            <w:r>
              <w:rPr>
                <w:rFonts w:ascii="宋体" w:hAnsi="宋体" w:cs="宋体" w:hint="eastAsia"/>
                <w:sz w:val="24"/>
                <w:szCs w:val="20"/>
              </w:rPr>
              <w:t>2</w:t>
            </w:r>
          </w:p>
        </w:tc>
        <w:tc>
          <w:tcPr>
            <w:tcW w:w="4039" w:type="dxa"/>
            <w:tcBorders>
              <w:top w:val="nil"/>
              <w:left w:val="nil"/>
              <w:bottom w:val="single" w:sz="4" w:space="0" w:color="auto"/>
              <w:right w:val="single" w:sz="4" w:space="0" w:color="auto"/>
            </w:tcBorders>
            <w:noWrap/>
            <w:vAlign w:val="center"/>
          </w:tcPr>
          <w:p>
            <w:pPr>
              <w:widowControl/>
              <w:jc w:val="center"/>
              <w:rPr>
                <w:rFonts w:ascii="宋体" w:hAnsi="宋体" w:cs="宋体"/>
                <w:sz w:val="24"/>
                <w:szCs w:val="20"/>
              </w:rPr>
            </w:pPr>
            <w:r>
              <w:rPr>
                <w:rFonts w:ascii="宋体" w:hAnsi="宋体" w:cs="宋体" w:hint="eastAsia"/>
                <w:sz w:val="24"/>
                <w:szCs w:val="20"/>
              </w:rPr>
              <w:t>保修期外延保1年</w:t>
            </w:r>
          </w:p>
        </w:tc>
        <w:tc>
          <w:tcPr>
            <w:tcW w:w="2409" w:type="dxa"/>
            <w:tcBorders>
              <w:top w:val="nil"/>
              <w:left w:val="nil"/>
              <w:bottom w:val="single" w:sz="4" w:space="0" w:color="auto"/>
              <w:right w:val="single" w:sz="4" w:space="0" w:color="auto"/>
            </w:tcBorders>
            <w:noWrap/>
            <w:vAlign w:val="center"/>
          </w:tcPr>
          <w:p>
            <w:pPr>
              <w:widowControl/>
              <w:jc w:val="center"/>
              <w:rPr>
                <w:rFonts w:ascii="宋体" w:hAnsi="宋体" w:cs="宋体"/>
                <w:sz w:val="24"/>
                <w:szCs w:val="20"/>
              </w:rPr>
            </w:pPr>
          </w:p>
        </w:tc>
      </w:tr>
    </w:tbl>
    <w:p>
      <w:pPr>
        <w:pStyle w:val="BodyText"/>
        <w:rPr>
          <w:rFonts w:ascii="宋体" w:hAnsi="宋体" w:cs="宋体"/>
          <w:szCs w:val="20"/>
        </w:rPr>
      </w:pPr>
    </w:p>
    <w:p>
      <w:pPr>
        <w:pStyle w:val="BodyText"/>
        <w:rPr>
          <w:rFonts w:ascii="宋体" w:hAnsi="宋体" w:cs="宋体"/>
          <w:szCs w:val="20"/>
        </w:rPr>
      </w:pPr>
    </w:p>
    <w:p>
      <w:pPr>
        <w:pStyle w:val="BodyText"/>
        <w:rPr>
          <w:rFonts w:ascii="宋体" w:hAnsi="宋体" w:cs="宋体"/>
          <w:szCs w:val="20"/>
        </w:rPr>
      </w:pPr>
    </w:p>
    <w:p>
      <w:pPr>
        <w:pStyle w:val="BodyText"/>
        <w:rPr>
          <w:rFonts w:ascii="宋体" w:hAnsi="宋体" w:cs="宋体"/>
          <w:szCs w:val="20"/>
        </w:rPr>
      </w:pPr>
    </w:p>
    <w:p>
      <w:pPr>
        <w:pStyle w:val="BodyText"/>
        <w:rPr>
          <w:rFonts w:ascii="宋体" w:hAnsi="宋体" w:cs="宋体"/>
          <w:szCs w:val="20"/>
        </w:rPr>
      </w:pPr>
    </w:p>
    <w:p>
      <w:pPr>
        <w:rPr>
          <w:rFonts w:ascii="宋体" w:hAnsi="宋体" w:cs="宋体"/>
          <w:sz w:val="24"/>
          <w:szCs w:val="20"/>
        </w:rPr>
      </w:pPr>
      <w:r>
        <w:rPr>
          <w:rFonts w:ascii="宋体" w:hAnsi="宋体" w:cs="宋体" w:hint="eastAsia"/>
          <w:sz w:val="24"/>
          <w:szCs w:val="20"/>
        </w:rPr>
        <w:t>附件5：配套耗材、试剂报价表</w:t>
      </w:r>
    </w:p>
    <w:p>
      <w:pPr>
        <w:jc w:val="center"/>
        <w:rPr>
          <w:rFonts w:ascii="宋体" w:hAnsi="宋体" w:cs="宋体"/>
          <w:sz w:val="24"/>
          <w:szCs w:val="20"/>
        </w:rPr>
      </w:pPr>
    </w:p>
    <w:p>
      <w:pPr>
        <w:pStyle w:val="BodyText"/>
        <w:rPr>
          <w:rFonts w:ascii="宋体" w:hAnsi="宋体" w:cs="宋体"/>
          <w:szCs w:val="20"/>
        </w:rPr>
      </w:pPr>
    </w:p>
    <w:p>
      <w:pPr>
        <w:rPr>
          <w:rFonts w:ascii="宋体" w:hAnsi="宋体" w:cs="宋体"/>
          <w:sz w:val="24"/>
          <w:szCs w:val="20"/>
        </w:rPr>
      </w:pPr>
      <w:r>
        <w:rPr>
          <w:rFonts w:ascii="宋体" w:hAnsi="宋体" w:cs="宋体" w:hint="eastAsia"/>
          <w:sz w:val="24"/>
          <w:szCs w:val="20"/>
        </w:rPr>
        <w:t>（一）配套耗材报价表</w:t>
      </w:r>
    </w:p>
    <w:tbl>
      <w:tblPr>
        <w:tblStyle w:val="TableNormal"/>
        <w:tblpPr w:leftFromText="180" w:rightFromText="180" w:vertAnchor="text" w:horzAnchor="page" w:tblpXSpec="center" w:tblpY="228"/>
        <w:tblOverlap w:val="never"/>
        <w:tblW w:w="10600" w:type="dxa"/>
        <w:jc w:val="center"/>
        <w:tblInd w:w="0" w:type="dxa"/>
        <w:tblLayout w:type="fixed"/>
        <w:tblCellMar>
          <w:top w:w="0" w:type="dxa"/>
          <w:left w:w="0" w:type="dxa"/>
          <w:bottom w:w="0" w:type="dxa"/>
          <w:right w:w="0" w:type="dxa"/>
        </w:tblCellMar>
      </w:tblPr>
      <w:tblGrid>
        <w:gridCol w:w="605"/>
        <w:gridCol w:w="2037"/>
        <w:gridCol w:w="2038"/>
        <w:gridCol w:w="1958"/>
        <w:gridCol w:w="1959"/>
        <w:gridCol w:w="2003"/>
      </w:tblGrid>
      <w:tr>
        <w:tblPrEx>
          <w:tblW w:w="10600" w:type="dxa"/>
          <w:jc w:val="center"/>
          <w:tblInd w:w="0" w:type="dxa"/>
          <w:tblLayout w:type="fixed"/>
          <w:tblCellMar>
            <w:top w:w="0" w:type="dxa"/>
            <w:left w:w="0" w:type="dxa"/>
            <w:bottom w:w="0" w:type="dxa"/>
            <w:right w:w="0" w:type="dxa"/>
          </w:tblCellMar>
        </w:tblPrEx>
        <w:trPr>
          <w:trHeight w:val="735"/>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序号</w:t>
            </w:r>
          </w:p>
        </w:tc>
        <w:tc>
          <w:tcPr>
            <w:tcW w:w="2037"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耗材名称</w:t>
            </w:r>
          </w:p>
        </w:tc>
        <w:tc>
          <w:tcPr>
            <w:tcW w:w="2038"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规格型号</w:t>
            </w:r>
          </w:p>
        </w:tc>
        <w:tc>
          <w:tcPr>
            <w:tcW w:w="1958"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基础单位</w:t>
            </w:r>
          </w:p>
        </w:tc>
        <w:tc>
          <w:tcPr>
            <w:tcW w:w="1959"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品牌</w:t>
            </w:r>
          </w:p>
        </w:tc>
        <w:tc>
          <w:tcPr>
            <w:tcW w:w="2003"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中标单价（元）</w:t>
            </w:r>
          </w:p>
        </w:tc>
      </w:tr>
      <w:tr>
        <w:tblPrEx>
          <w:tblW w:w="10600" w:type="dxa"/>
          <w:jc w:val="center"/>
          <w:tblInd w:w="0" w:type="dxa"/>
          <w:tblLayout w:type="fixed"/>
          <w:tblCellMar>
            <w:top w:w="0" w:type="dxa"/>
            <w:left w:w="0" w:type="dxa"/>
            <w:bottom w:w="0" w:type="dxa"/>
            <w:right w:w="0" w:type="dxa"/>
          </w:tblCellMar>
        </w:tblPrEx>
        <w:trPr>
          <w:trHeight w:val="735"/>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1</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r>
      <w:tr>
        <w:tblPrEx>
          <w:tblW w:w="10600" w:type="dxa"/>
          <w:jc w:val="center"/>
          <w:tblInd w:w="0" w:type="dxa"/>
          <w:tblLayout w:type="fixed"/>
          <w:tblCellMar>
            <w:top w:w="0" w:type="dxa"/>
            <w:left w:w="0" w:type="dxa"/>
            <w:bottom w:w="0" w:type="dxa"/>
            <w:right w:w="0" w:type="dxa"/>
          </w:tblCellMar>
        </w:tblPrEx>
        <w:trPr>
          <w:trHeight w:val="745"/>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r>
      <w:tr>
        <w:tblPrEx>
          <w:tblW w:w="10600" w:type="dxa"/>
          <w:jc w:val="center"/>
          <w:tblInd w:w="0" w:type="dxa"/>
          <w:tblLayout w:type="fixed"/>
          <w:tblCellMar>
            <w:top w:w="0" w:type="dxa"/>
            <w:left w:w="0" w:type="dxa"/>
            <w:bottom w:w="0" w:type="dxa"/>
            <w:right w:w="0" w:type="dxa"/>
          </w:tblCellMar>
        </w:tblPrEx>
        <w:trPr>
          <w:trHeight w:val="745"/>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3</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r>
      <w:tr>
        <w:tblPrEx>
          <w:tblW w:w="10600" w:type="dxa"/>
          <w:jc w:val="center"/>
          <w:tblInd w:w="0" w:type="dxa"/>
          <w:tblLayout w:type="fixed"/>
          <w:tblCellMar>
            <w:top w:w="0" w:type="dxa"/>
            <w:left w:w="0" w:type="dxa"/>
            <w:bottom w:w="0" w:type="dxa"/>
            <w:right w:w="0" w:type="dxa"/>
          </w:tblCellMar>
        </w:tblPrEx>
        <w:trPr>
          <w:trHeight w:val="745"/>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r>
    </w:tbl>
    <w:p>
      <w:pPr>
        <w:jc w:val="center"/>
        <w:rPr>
          <w:rFonts w:ascii="宋体" w:hAnsi="宋体" w:cs="宋体"/>
          <w:sz w:val="24"/>
          <w:szCs w:val="20"/>
        </w:rPr>
      </w:pPr>
    </w:p>
    <w:p>
      <w:pPr>
        <w:jc w:val="center"/>
        <w:rPr>
          <w:rFonts w:ascii="宋体" w:hAnsi="宋体" w:cs="宋体"/>
          <w:sz w:val="24"/>
          <w:szCs w:val="20"/>
        </w:rPr>
      </w:pPr>
    </w:p>
    <w:p>
      <w:pPr>
        <w:rPr>
          <w:rFonts w:ascii="宋体" w:hAnsi="宋体" w:cs="宋体"/>
          <w:sz w:val="24"/>
          <w:szCs w:val="20"/>
        </w:rPr>
      </w:pPr>
      <w:r>
        <w:rPr>
          <w:rFonts w:ascii="宋体" w:hAnsi="宋体" w:cs="宋体" w:hint="eastAsia"/>
          <w:sz w:val="24"/>
          <w:szCs w:val="20"/>
        </w:rPr>
        <w:t>（二）配套试剂报价表</w:t>
      </w:r>
    </w:p>
    <w:tbl>
      <w:tblPr>
        <w:tblStyle w:val="TableNormal"/>
        <w:tblpPr w:leftFromText="180" w:rightFromText="180" w:vertAnchor="text" w:horzAnchor="page" w:tblpXSpec="center" w:tblpY="304"/>
        <w:tblOverlap w:val="never"/>
        <w:tblW w:w="10513" w:type="dxa"/>
        <w:jc w:val="center"/>
        <w:tblInd w:w="0" w:type="dxa"/>
        <w:tblLayout w:type="fixed"/>
        <w:tblCellMar>
          <w:top w:w="0" w:type="dxa"/>
          <w:left w:w="0" w:type="dxa"/>
          <w:bottom w:w="0" w:type="dxa"/>
          <w:right w:w="0" w:type="dxa"/>
        </w:tblCellMar>
      </w:tblPr>
      <w:tblGrid>
        <w:gridCol w:w="960"/>
        <w:gridCol w:w="2244"/>
        <w:gridCol w:w="1992"/>
        <w:gridCol w:w="1044"/>
        <w:gridCol w:w="1344"/>
        <w:gridCol w:w="1404"/>
        <w:gridCol w:w="1525"/>
      </w:tblGrid>
      <w:tr>
        <w:tblPrEx>
          <w:tblW w:w="10513" w:type="dxa"/>
          <w:jc w:val="center"/>
          <w:tblInd w:w="0" w:type="dxa"/>
          <w:tblLayout w:type="fixed"/>
          <w:tblCellMar>
            <w:top w:w="0" w:type="dxa"/>
            <w:left w:w="0" w:type="dxa"/>
            <w:bottom w:w="0" w:type="dxa"/>
            <w:right w:w="0" w:type="dxa"/>
          </w:tblCellMar>
        </w:tblPrEx>
        <w:trPr>
          <w:trHeight w:val="1332"/>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序号</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试剂名称</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包装规格</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基础单位</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价格/单位（元）</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价格/人份（元）</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品牌</w:t>
            </w:r>
          </w:p>
        </w:tc>
      </w:tr>
      <w:tr>
        <w:tblPrEx>
          <w:tblW w:w="10513" w:type="dxa"/>
          <w:jc w:val="center"/>
          <w:tblInd w:w="0" w:type="dxa"/>
          <w:tblLayout w:type="fixed"/>
          <w:tblCellMar>
            <w:top w:w="0" w:type="dxa"/>
            <w:left w:w="0" w:type="dxa"/>
            <w:bottom w:w="0" w:type="dxa"/>
            <w:right w:w="0" w:type="dxa"/>
          </w:tblCellMar>
        </w:tblPrEx>
        <w:trPr>
          <w:trHeight w:val="768"/>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r>
              <w:rPr>
                <w:rFonts w:ascii="宋体" w:hAnsi="宋体" w:cs="宋体" w:hint="eastAsia"/>
                <w:sz w:val="24"/>
                <w:szCs w:val="20"/>
              </w:rPr>
              <w:t>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pPr>
              <w:jc w:val="center"/>
              <w:rPr>
                <w:rFonts w:ascii="宋体" w:hAnsi="宋体" w:cs="宋体"/>
                <w:sz w:val="24"/>
                <w:szCs w:val="20"/>
              </w:rPr>
            </w:pPr>
          </w:p>
        </w:tc>
      </w:tr>
    </w:tbl>
    <w:p>
      <w:pPr>
        <w:pStyle w:val="BodyText"/>
        <w:rPr>
          <w:rFonts w:ascii="宋体" w:hAnsi="宋体" w:cs="宋体"/>
          <w:szCs w:val="20"/>
        </w:rPr>
      </w:pPr>
    </w:p>
    <w:p>
      <w:pPr>
        <w:rPr>
          <w:rFonts w:ascii="宋体" w:hAnsi="宋体" w:cs="宋体"/>
          <w:sz w:val="24"/>
          <w:szCs w:val="20"/>
        </w:rPr>
      </w:pPr>
      <w:r>
        <w:rPr>
          <w:rFonts w:ascii="宋体" w:hAnsi="宋体" w:cs="宋体" w:hint="eastAsia"/>
          <w:sz w:val="24"/>
          <w:szCs w:val="20"/>
        </w:rPr>
        <w:br w:type="page"/>
      </w:r>
    </w:p>
    <w:p>
      <w:pPr>
        <w:spacing w:line="560" w:lineRule="exact"/>
        <w:jc w:val="center"/>
        <w:rPr>
          <w:rFonts w:ascii="宋体" w:hAnsi="宋体" w:cs="宋体"/>
          <w:sz w:val="24"/>
          <w:szCs w:val="20"/>
        </w:rPr>
      </w:pPr>
      <w:r>
        <w:rPr>
          <w:rFonts w:ascii="宋体" w:hAnsi="宋体" w:cs="宋体" w:hint="eastAsia"/>
          <w:sz w:val="24"/>
          <w:szCs w:val="20"/>
        </w:rPr>
        <w:t>医疗设备购销廉洁协议</w:t>
      </w:r>
    </w:p>
    <w:p>
      <w:pPr>
        <w:spacing w:line="560" w:lineRule="exact"/>
        <w:ind w:firstLine="480" w:firstLineChars="200"/>
        <w:rPr>
          <w:rFonts w:ascii="宋体" w:hAnsi="宋体" w:cs="宋体"/>
          <w:sz w:val="24"/>
          <w:szCs w:val="20"/>
        </w:rPr>
      </w:pPr>
    </w:p>
    <w:p>
      <w:pPr>
        <w:widowControl/>
        <w:spacing w:after="120" w:afterLines="50" w:line="560" w:lineRule="exact"/>
        <w:ind w:firstLine="480" w:firstLineChars="200"/>
        <w:rPr>
          <w:rFonts w:ascii="宋体" w:hAnsi="宋体" w:cs="宋体"/>
          <w:sz w:val="24"/>
          <w:szCs w:val="20"/>
        </w:rPr>
      </w:pPr>
      <w:r>
        <w:rPr>
          <w:rFonts w:ascii="宋体" w:hAnsi="宋体" w:cs="宋体" w:hint="eastAsia"/>
          <w:sz w:val="24"/>
          <w:szCs w:val="20"/>
        </w:rPr>
        <w:t>为了进一步加强党风廉政建设，预防业务活动中不规范和违纪违法行为的发生，根据上级有关法律法规和单位行风建设规章制度，（甲方）  深圳市龙华区卫生健康局和（乙方） xxxxxxx  （供应商）特订立如下协议。</w:t>
      </w:r>
    </w:p>
    <w:p>
      <w:pPr>
        <w:spacing w:line="560" w:lineRule="exact"/>
        <w:ind w:firstLine="480" w:firstLineChars="200"/>
        <w:rPr>
          <w:rFonts w:ascii="宋体" w:hAnsi="宋体" w:cs="宋体"/>
          <w:sz w:val="24"/>
          <w:szCs w:val="20"/>
        </w:rPr>
      </w:pPr>
      <w:r>
        <w:rPr>
          <w:rFonts w:ascii="宋体" w:hAnsi="宋体" w:cs="宋体" w:hint="eastAsia"/>
          <w:sz w:val="24"/>
          <w:szCs w:val="20"/>
        </w:rPr>
        <w:t>一、甲乙双方的权利和义务</w:t>
      </w:r>
    </w:p>
    <w:p>
      <w:pPr>
        <w:spacing w:line="560" w:lineRule="exact"/>
        <w:ind w:firstLine="480" w:firstLineChars="200"/>
        <w:rPr>
          <w:rFonts w:ascii="宋体" w:hAnsi="宋体" w:cs="宋体"/>
          <w:sz w:val="24"/>
          <w:szCs w:val="20"/>
        </w:rPr>
      </w:pPr>
      <w:r>
        <w:rPr>
          <w:rFonts w:ascii="宋体" w:hAnsi="宋体" w:cs="宋体" w:hint="eastAsia"/>
          <w:sz w:val="24"/>
          <w:szCs w:val="20"/>
        </w:rPr>
        <w:t>（一）双方严格遵守国家有关法律法规及党风廉政的规定。</w:t>
      </w:r>
    </w:p>
    <w:p>
      <w:pPr>
        <w:spacing w:line="560" w:lineRule="exact"/>
        <w:ind w:firstLine="480" w:firstLineChars="200"/>
        <w:rPr>
          <w:rFonts w:ascii="宋体" w:hAnsi="宋体" w:cs="宋体"/>
          <w:sz w:val="24"/>
          <w:szCs w:val="20"/>
        </w:rPr>
      </w:pPr>
      <w:r>
        <w:rPr>
          <w:rFonts w:ascii="宋体" w:hAnsi="宋体" w:cs="宋体" w:hint="eastAsia"/>
          <w:sz w:val="24"/>
          <w:szCs w:val="20"/>
        </w:rPr>
        <w:t>（二）双方的业务活动坚持公开、公正、诚信、透明的原则，不得损害国家、集体和病人的利益，违反行业管理的各项规章制度。</w:t>
      </w:r>
    </w:p>
    <w:p>
      <w:pPr>
        <w:spacing w:line="560" w:lineRule="exact"/>
        <w:ind w:firstLine="480" w:firstLineChars="200"/>
        <w:rPr>
          <w:rFonts w:ascii="宋体" w:hAnsi="宋体" w:cs="宋体"/>
          <w:sz w:val="24"/>
          <w:szCs w:val="20"/>
        </w:rPr>
      </w:pPr>
      <w:r>
        <w:rPr>
          <w:rFonts w:ascii="宋体" w:hAnsi="宋体" w:cs="宋体" w:hint="eastAsia"/>
          <w:sz w:val="24"/>
          <w:szCs w:val="20"/>
        </w:rPr>
        <w:t>（三）发现对方在业务活动中有违反廉政规定的行为，有及时提醒对方纠正的权利和义务。</w:t>
      </w:r>
    </w:p>
    <w:p>
      <w:pPr>
        <w:widowControl/>
        <w:spacing w:after="120" w:afterLines="50" w:line="560" w:lineRule="exact"/>
        <w:ind w:firstLine="480" w:firstLineChars="200"/>
        <w:rPr>
          <w:rFonts w:ascii="宋体" w:hAnsi="宋体" w:cs="宋体"/>
          <w:sz w:val="24"/>
          <w:szCs w:val="20"/>
        </w:rPr>
      </w:pPr>
      <w:r>
        <w:rPr>
          <w:rFonts w:ascii="宋体" w:hAnsi="宋体" w:cs="宋体" w:hint="eastAsia"/>
          <w:sz w:val="24"/>
          <w:szCs w:val="20"/>
        </w:rPr>
        <w:t>（四）双方承诺严格遵守本协议，自觉接受双方纪检监察部门的监督。</w:t>
      </w:r>
    </w:p>
    <w:p>
      <w:pPr>
        <w:spacing w:line="560" w:lineRule="exact"/>
        <w:ind w:firstLine="480" w:firstLineChars="200"/>
        <w:rPr>
          <w:rFonts w:ascii="宋体" w:hAnsi="宋体" w:cs="宋体"/>
          <w:sz w:val="24"/>
          <w:szCs w:val="20"/>
        </w:rPr>
      </w:pPr>
      <w:r>
        <w:rPr>
          <w:rFonts w:ascii="宋体" w:hAnsi="宋体" w:cs="宋体" w:hint="eastAsia"/>
          <w:sz w:val="24"/>
          <w:szCs w:val="20"/>
        </w:rPr>
        <w:t>二、甲方的义务</w:t>
      </w:r>
    </w:p>
    <w:p>
      <w:pPr>
        <w:spacing w:line="560" w:lineRule="exact"/>
        <w:ind w:firstLine="480" w:firstLineChars="200"/>
        <w:rPr>
          <w:rFonts w:ascii="宋体" w:hAnsi="宋体" w:cs="宋体"/>
          <w:sz w:val="24"/>
          <w:szCs w:val="20"/>
        </w:rPr>
      </w:pPr>
      <w:r>
        <w:rPr>
          <w:rFonts w:ascii="宋体" w:hAnsi="宋体" w:cs="宋体" w:hint="eastAsia"/>
          <w:sz w:val="24"/>
          <w:szCs w:val="20"/>
        </w:rPr>
        <w:t>（一）甲方及其工作人员不得索要或接受乙方的钱物。</w:t>
      </w:r>
    </w:p>
    <w:p>
      <w:pPr>
        <w:spacing w:line="560" w:lineRule="exact"/>
        <w:ind w:firstLine="480" w:firstLineChars="200"/>
        <w:rPr>
          <w:rFonts w:ascii="宋体" w:hAnsi="宋体" w:cs="宋体"/>
          <w:sz w:val="24"/>
          <w:szCs w:val="20"/>
        </w:rPr>
      </w:pPr>
      <w:r>
        <w:rPr>
          <w:rFonts w:ascii="宋体" w:hAnsi="宋体" w:cs="宋体" w:hint="eastAsia"/>
          <w:sz w:val="24"/>
          <w:szCs w:val="20"/>
        </w:rPr>
        <w:t>（二）甲方工作人员不得私自接受乙方承担费用的旅游、参观、学习培训等活动。</w:t>
      </w:r>
    </w:p>
    <w:p>
      <w:pPr>
        <w:spacing w:line="560" w:lineRule="exact"/>
        <w:ind w:firstLine="480" w:firstLineChars="200"/>
        <w:rPr>
          <w:rFonts w:ascii="宋体" w:hAnsi="宋体" w:cs="宋体"/>
          <w:sz w:val="24"/>
          <w:szCs w:val="20"/>
        </w:rPr>
      </w:pPr>
      <w:r>
        <w:rPr>
          <w:rFonts w:ascii="宋体" w:hAnsi="宋体" w:cs="宋体" w:hint="eastAsia"/>
          <w:sz w:val="24"/>
          <w:szCs w:val="20"/>
        </w:rPr>
        <w:t>（三）甲方工作人员要秉公办事，不得营私舞弊，不得以权谋私，获得非法利益。</w:t>
      </w:r>
    </w:p>
    <w:p>
      <w:pPr>
        <w:widowControl/>
        <w:spacing w:after="120" w:afterLines="50" w:line="560" w:lineRule="exact"/>
        <w:ind w:firstLine="480" w:firstLineChars="200"/>
        <w:rPr>
          <w:rFonts w:ascii="宋体" w:hAnsi="宋体" w:cs="宋体"/>
          <w:sz w:val="24"/>
          <w:szCs w:val="20"/>
        </w:rPr>
      </w:pPr>
      <w:r>
        <w:rPr>
          <w:rFonts w:ascii="宋体" w:hAnsi="宋体" w:cs="宋体" w:hint="eastAsia"/>
          <w:sz w:val="24"/>
          <w:szCs w:val="20"/>
        </w:rPr>
        <w:t>（四）甲方工作人员有义务宣传、告知本单位已建立的行风建设制度和规定。</w:t>
      </w:r>
    </w:p>
    <w:p>
      <w:pPr>
        <w:spacing w:line="560" w:lineRule="exact"/>
        <w:ind w:firstLine="480" w:firstLineChars="200"/>
        <w:rPr>
          <w:rFonts w:ascii="宋体" w:hAnsi="宋体" w:cs="宋体"/>
          <w:sz w:val="24"/>
          <w:szCs w:val="20"/>
        </w:rPr>
      </w:pPr>
      <w:r>
        <w:rPr>
          <w:rFonts w:ascii="宋体" w:hAnsi="宋体" w:cs="宋体" w:hint="eastAsia"/>
          <w:sz w:val="24"/>
          <w:szCs w:val="20"/>
        </w:rPr>
        <w:t>三、乙方的承诺</w:t>
      </w:r>
    </w:p>
    <w:p>
      <w:pPr>
        <w:spacing w:line="560" w:lineRule="exact"/>
        <w:ind w:firstLine="480" w:firstLineChars="200"/>
        <w:rPr>
          <w:rFonts w:ascii="宋体" w:hAnsi="宋体" w:cs="宋体"/>
          <w:sz w:val="24"/>
          <w:szCs w:val="20"/>
        </w:rPr>
      </w:pPr>
      <w:r>
        <w:rPr>
          <w:rFonts w:ascii="宋体" w:hAnsi="宋体" w:cs="宋体" w:hint="eastAsia"/>
          <w:sz w:val="24"/>
          <w:szCs w:val="20"/>
        </w:rPr>
        <w:t>（一）不以现金、有价证券、实物或变相组织旅游和娱乐活动等形式贿赂本单位管理及医务人员。</w:t>
      </w:r>
    </w:p>
    <w:p>
      <w:pPr>
        <w:spacing w:line="560" w:lineRule="exact"/>
        <w:ind w:firstLine="480" w:firstLineChars="200"/>
        <w:rPr>
          <w:rFonts w:ascii="宋体" w:hAnsi="宋体" w:cs="宋体"/>
          <w:sz w:val="24"/>
          <w:szCs w:val="20"/>
        </w:rPr>
      </w:pPr>
      <w:r>
        <w:rPr>
          <w:rFonts w:ascii="宋体" w:hAnsi="宋体" w:cs="宋体" w:hint="eastAsia"/>
          <w:sz w:val="24"/>
          <w:szCs w:val="20"/>
        </w:rPr>
        <w:t>（二）不以任何名义为甲方工作人员报销应由个人支付的任何费用。</w:t>
      </w:r>
    </w:p>
    <w:p>
      <w:pPr>
        <w:spacing w:line="560" w:lineRule="exact"/>
        <w:ind w:firstLine="480" w:firstLineChars="200"/>
        <w:rPr>
          <w:rFonts w:ascii="宋体" w:hAnsi="宋体" w:cs="宋体"/>
          <w:sz w:val="24"/>
          <w:szCs w:val="20"/>
        </w:rPr>
      </w:pPr>
      <w:r>
        <w:rPr>
          <w:rFonts w:ascii="宋体" w:hAnsi="宋体" w:cs="宋体" w:hint="eastAsia"/>
          <w:sz w:val="24"/>
          <w:szCs w:val="20"/>
        </w:rPr>
        <w:t>（三）不以任何理由安排甲方工作人员参加高消费宴请及娱乐活动。</w:t>
      </w:r>
    </w:p>
    <w:p>
      <w:pPr>
        <w:spacing w:line="560" w:lineRule="exact"/>
        <w:ind w:firstLine="480" w:firstLineChars="200"/>
        <w:rPr>
          <w:rFonts w:ascii="宋体" w:hAnsi="宋体" w:cs="宋体"/>
          <w:sz w:val="24"/>
          <w:szCs w:val="20"/>
        </w:rPr>
      </w:pPr>
      <w:r>
        <w:rPr>
          <w:rFonts w:ascii="宋体" w:hAnsi="宋体" w:cs="宋体" w:hint="eastAsia"/>
          <w:sz w:val="24"/>
          <w:szCs w:val="20"/>
        </w:rPr>
        <w:t>（四）不为甲方工作人员及其家属购置或提供通讯工具、交通工具、高档办公用品和一些其他服务。</w:t>
      </w:r>
    </w:p>
    <w:p>
      <w:pPr>
        <w:spacing w:line="560" w:lineRule="exact"/>
        <w:ind w:firstLine="480" w:firstLineChars="200"/>
        <w:rPr>
          <w:rFonts w:ascii="宋体" w:hAnsi="宋体" w:cs="宋体"/>
          <w:sz w:val="24"/>
          <w:szCs w:val="20"/>
        </w:rPr>
      </w:pPr>
      <w:r>
        <w:rPr>
          <w:rFonts w:ascii="宋体" w:hAnsi="宋体" w:cs="宋体" w:hint="eastAsia"/>
          <w:sz w:val="24"/>
          <w:szCs w:val="20"/>
        </w:rPr>
        <w:t>（五）不得要求医疗卫生单位任何部门、任何个人对医疗设备、耗材的使用情况进行统计。</w:t>
      </w:r>
    </w:p>
    <w:p>
      <w:pPr>
        <w:widowControl/>
        <w:spacing w:after="120" w:afterLines="50" w:line="560" w:lineRule="exact"/>
        <w:ind w:firstLine="480" w:firstLineChars="200"/>
        <w:rPr>
          <w:rFonts w:ascii="宋体" w:hAnsi="宋体" w:cs="宋体"/>
          <w:sz w:val="24"/>
          <w:szCs w:val="20"/>
        </w:rPr>
      </w:pPr>
      <w:r>
        <w:rPr>
          <w:rFonts w:ascii="宋体" w:hAnsi="宋体" w:cs="宋体" w:hint="eastAsia"/>
          <w:sz w:val="24"/>
          <w:szCs w:val="20"/>
        </w:rPr>
        <w:t>（六）遵守“两指”制度。医疗设备代表必须在指定时间、指定地点开展活动。</w:t>
      </w:r>
    </w:p>
    <w:p>
      <w:pPr>
        <w:spacing w:line="560" w:lineRule="exact"/>
        <w:ind w:firstLine="480" w:firstLineChars="200"/>
        <w:rPr>
          <w:rFonts w:ascii="宋体" w:hAnsi="宋体" w:cs="宋体"/>
          <w:sz w:val="24"/>
          <w:szCs w:val="20"/>
        </w:rPr>
      </w:pPr>
      <w:r>
        <w:rPr>
          <w:rFonts w:ascii="宋体" w:hAnsi="宋体" w:cs="宋体" w:hint="eastAsia"/>
          <w:sz w:val="24"/>
          <w:szCs w:val="20"/>
        </w:rPr>
        <w:t>四、违约责任</w:t>
      </w:r>
    </w:p>
    <w:p>
      <w:pPr>
        <w:spacing w:line="560" w:lineRule="exact"/>
        <w:ind w:firstLine="480" w:firstLineChars="200"/>
        <w:rPr>
          <w:rFonts w:ascii="宋体" w:hAnsi="宋体" w:cs="宋体"/>
          <w:sz w:val="24"/>
          <w:szCs w:val="20"/>
        </w:rPr>
      </w:pPr>
      <w:r>
        <w:rPr>
          <w:rFonts w:ascii="宋体" w:hAnsi="宋体" w:cs="宋体" w:hint="eastAsia"/>
          <w:sz w:val="24"/>
          <w:szCs w:val="20"/>
        </w:rPr>
        <w:t>（一）甲方及其工作人员违反本协议，按管理权限，依据有关规定给予党纪、政纪或组织处理；涉嫌犯罪的，移交司法机关追究刑事责任。</w:t>
      </w:r>
    </w:p>
    <w:p>
      <w:pPr>
        <w:spacing w:line="560" w:lineRule="exact"/>
        <w:ind w:firstLine="480" w:firstLineChars="200"/>
        <w:rPr>
          <w:rFonts w:ascii="宋体" w:hAnsi="宋体" w:cs="宋体"/>
          <w:sz w:val="24"/>
          <w:szCs w:val="20"/>
        </w:rPr>
      </w:pPr>
      <w:r>
        <w:rPr>
          <w:rFonts w:ascii="宋体" w:hAnsi="宋体" w:cs="宋体" w:hint="eastAsia"/>
          <w:sz w:val="24"/>
          <w:szCs w:val="20"/>
        </w:rPr>
        <w:t>（二）乙方及其工作人员违反本协议的，按管理权限，依据有关规定，给予相应处分。实施商业贿赂行为的，将被列入商业贿赂不良记录；涉嫌犯罪的，移交司法机关追究刑事责任。同时，甲方有权终止其业务往来。</w:t>
      </w:r>
    </w:p>
    <w:p>
      <w:pPr>
        <w:spacing w:line="560" w:lineRule="exact"/>
        <w:ind w:firstLine="480" w:firstLineChars="200"/>
        <w:rPr>
          <w:rFonts w:ascii="宋体" w:hAnsi="宋体" w:cs="宋体"/>
          <w:sz w:val="24"/>
          <w:szCs w:val="20"/>
        </w:rPr>
      </w:pPr>
    </w:p>
    <w:tbl>
      <w:tblPr>
        <w:tblStyle w:val="TableGrid"/>
        <w:tblW w:w="8306" w:type="dxa"/>
        <w:tblInd w:w="0" w:type="dxa"/>
        <w:tblBorders>
          <w:top w:val="nil"/>
          <w:left w:val="nil"/>
          <w:bottom w:val="nil"/>
          <w:right w:val="nil"/>
          <w:insideH w:val="nil"/>
          <w:insideV w:val="nil"/>
        </w:tblBorders>
        <w:tblLayout w:type="fixed"/>
        <w:tblCellMar>
          <w:top w:w="0" w:type="dxa"/>
          <w:left w:w="108" w:type="dxa"/>
          <w:bottom w:w="0" w:type="dxa"/>
          <w:right w:w="108" w:type="dxa"/>
        </w:tblCellMar>
      </w:tblPr>
      <w:tblGrid>
        <w:gridCol w:w="4141"/>
        <w:gridCol w:w="4165"/>
      </w:tblGrid>
      <w:tr>
        <w:tblPrEx>
          <w:tblW w:w="8306" w:type="dxa"/>
          <w:tblInd w:w="0" w:type="dxa"/>
          <w:tblBorders>
            <w:top w:val="nil"/>
            <w:left w:val="nil"/>
            <w:bottom w:val="nil"/>
            <w:right w:val="nil"/>
            <w:insideH w:val="nil"/>
            <w:insideV w:val="nil"/>
          </w:tblBorders>
          <w:tblLayout w:type="fixed"/>
          <w:tblCellMar>
            <w:top w:w="0" w:type="dxa"/>
            <w:left w:w="108" w:type="dxa"/>
            <w:bottom w:w="0" w:type="dxa"/>
            <w:right w:w="108" w:type="dxa"/>
          </w:tblCellMar>
        </w:tblPrEx>
        <w:tc>
          <w:tcPr>
            <w:tcW w:w="4141" w:type="dxa"/>
            <w:tcBorders>
              <w:tl2br w:val="nil"/>
              <w:tr2bl w:val="nil"/>
            </w:tcBorders>
          </w:tcPr>
          <w:p>
            <w:pPr>
              <w:widowControl w:val="0"/>
              <w:spacing w:line="560" w:lineRule="exact"/>
              <w:jc w:val="both"/>
              <w:rPr>
                <w:rFonts w:ascii="宋体" w:hAnsi="宋体" w:cs="宋体"/>
                <w:sz w:val="24"/>
                <w:szCs w:val="20"/>
              </w:rPr>
            </w:pPr>
            <w:r>
              <w:rPr>
                <w:rFonts w:ascii="宋体" w:hAnsi="宋体" w:cs="宋体" w:hint="eastAsia"/>
                <w:sz w:val="24"/>
                <w:szCs w:val="20"/>
              </w:rPr>
              <w:t>甲方：深圳市</w:t>
            </w:r>
          </w:p>
        </w:tc>
        <w:tc>
          <w:tcPr>
            <w:tcW w:w="4165" w:type="dxa"/>
            <w:tcBorders>
              <w:tl2br w:val="nil"/>
              <w:tr2bl w:val="nil"/>
            </w:tcBorders>
          </w:tcPr>
          <w:p>
            <w:pPr>
              <w:widowControl w:val="0"/>
              <w:spacing w:line="560" w:lineRule="exact"/>
              <w:jc w:val="both"/>
              <w:rPr>
                <w:rFonts w:ascii="宋体" w:hAnsi="宋体" w:cs="宋体"/>
                <w:sz w:val="24"/>
                <w:szCs w:val="20"/>
              </w:rPr>
            </w:pPr>
            <w:r>
              <w:rPr>
                <w:rFonts w:ascii="宋体" w:hAnsi="宋体" w:cs="宋体" w:hint="eastAsia"/>
                <w:sz w:val="24"/>
                <w:szCs w:val="20"/>
              </w:rPr>
              <w:t xml:space="preserve">乙方（盖章）： </w:t>
            </w:r>
          </w:p>
        </w:tc>
      </w:tr>
      <w:tr>
        <w:tblPrEx>
          <w:tblW w:w="8306" w:type="dxa"/>
          <w:tblInd w:w="0" w:type="dxa"/>
          <w:tblLayout w:type="fixed"/>
          <w:tblCellMar>
            <w:top w:w="0" w:type="dxa"/>
            <w:left w:w="108" w:type="dxa"/>
            <w:bottom w:w="0" w:type="dxa"/>
            <w:right w:w="108" w:type="dxa"/>
          </w:tblCellMar>
        </w:tblPrEx>
        <w:tc>
          <w:tcPr>
            <w:tcW w:w="4141" w:type="dxa"/>
            <w:tcBorders>
              <w:tl2br w:val="nil"/>
              <w:tr2bl w:val="nil"/>
            </w:tcBorders>
          </w:tcPr>
          <w:p>
            <w:pPr>
              <w:widowControl w:val="0"/>
              <w:spacing w:line="560" w:lineRule="exact"/>
              <w:jc w:val="both"/>
              <w:rPr>
                <w:rFonts w:ascii="宋体" w:hAnsi="宋体" w:cs="宋体"/>
                <w:sz w:val="24"/>
                <w:szCs w:val="20"/>
              </w:rPr>
            </w:pPr>
            <w:r>
              <w:rPr>
                <w:rFonts w:ascii="宋体" w:hAnsi="宋体" w:cs="宋体" w:hint="eastAsia"/>
                <w:sz w:val="24"/>
                <w:szCs w:val="20"/>
              </w:rPr>
              <w:t>法人或授权代表签字：</w:t>
            </w:r>
          </w:p>
        </w:tc>
        <w:tc>
          <w:tcPr>
            <w:tcW w:w="4165" w:type="dxa"/>
            <w:tcBorders>
              <w:tl2br w:val="nil"/>
              <w:tr2bl w:val="nil"/>
            </w:tcBorders>
          </w:tcPr>
          <w:p>
            <w:pPr>
              <w:widowControl w:val="0"/>
              <w:spacing w:line="560" w:lineRule="exact"/>
              <w:jc w:val="both"/>
              <w:rPr>
                <w:rFonts w:ascii="宋体" w:hAnsi="宋体" w:cs="宋体"/>
                <w:sz w:val="24"/>
                <w:szCs w:val="20"/>
              </w:rPr>
            </w:pPr>
            <w:r>
              <w:rPr>
                <w:rFonts w:ascii="宋体" w:hAnsi="宋体" w:cs="宋体" w:hint="eastAsia"/>
                <w:sz w:val="24"/>
                <w:szCs w:val="20"/>
              </w:rPr>
              <w:t>法人或授权代表签字：</w:t>
            </w:r>
          </w:p>
        </w:tc>
      </w:tr>
      <w:tr>
        <w:tblPrEx>
          <w:tblW w:w="8306" w:type="dxa"/>
          <w:tblInd w:w="0" w:type="dxa"/>
          <w:tblLayout w:type="fixed"/>
          <w:tblCellMar>
            <w:top w:w="0" w:type="dxa"/>
            <w:left w:w="108" w:type="dxa"/>
            <w:bottom w:w="0" w:type="dxa"/>
            <w:right w:w="108" w:type="dxa"/>
          </w:tblCellMar>
        </w:tblPrEx>
        <w:tc>
          <w:tcPr>
            <w:tcW w:w="4141" w:type="dxa"/>
            <w:tcBorders>
              <w:tl2br w:val="nil"/>
              <w:tr2bl w:val="nil"/>
            </w:tcBorders>
          </w:tcPr>
          <w:p>
            <w:pPr>
              <w:widowControl w:val="0"/>
              <w:spacing w:line="560" w:lineRule="exact"/>
              <w:ind w:firstLine="480" w:firstLineChars="200"/>
              <w:jc w:val="both"/>
              <w:rPr>
                <w:rFonts w:ascii="宋体" w:hAnsi="宋体" w:cs="宋体"/>
                <w:sz w:val="24"/>
                <w:szCs w:val="20"/>
              </w:rPr>
            </w:pPr>
          </w:p>
          <w:p>
            <w:pPr>
              <w:widowControl w:val="0"/>
              <w:spacing w:line="560" w:lineRule="exact"/>
              <w:ind w:firstLine="480" w:firstLineChars="200"/>
              <w:jc w:val="both"/>
              <w:rPr>
                <w:rFonts w:ascii="宋体" w:hAnsi="宋体" w:cs="宋体"/>
                <w:sz w:val="24"/>
                <w:szCs w:val="20"/>
              </w:rPr>
            </w:pPr>
          </w:p>
        </w:tc>
        <w:tc>
          <w:tcPr>
            <w:tcW w:w="4165" w:type="dxa"/>
            <w:tcBorders>
              <w:tl2br w:val="nil"/>
              <w:tr2bl w:val="nil"/>
            </w:tcBorders>
          </w:tcPr>
          <w:p>
            <w:pPr>
              <w:widowControl w:val="0"/>
              <w:spacing w:line="560" w:lineRule="exact"/>
              <w:ind w:firstLine="480" w:firstLineChars="200"/>
              <w:jc w:val="both"/>
              <w:rPr>
                <w:rFonts w:ascii="宋体" w:hAnsi="宋体" w:cs="宋体"/>
                <w:sz w:val="24"/>
                <w:szCs w:val="20"/>
              </w:rPr>
            </w:pPr>
          </w:p>
        </w:tc>
      </w:tr>
      <w:tr>
        <w:tblPrEx>
          <w:tblW w:w="8306" w:type="dxa"/>
          <w:tblInd w:w="0" w:type="dxa"/>
          <w:tblLayout w:type="fixed"/>
          <w:tblCellMar>
            <w:top w:w="0" w:type="dxa"/>
            <w:left w:w="108" w:type="dxa"/>
            <w:bottom w:w="0" w:type="dxa"/>
            <w:right w:w="108" w:type="dxa"/>
          </w:tblCellMar>
        </w:tblPrEx>
        <w:tc>
          <w:tcPr>
            <w:tcW w:w="4141" w:type="dxa"/>
            <w:tcBorders>
              <w:tl2br w:val="nil"/>
              <w:tr2bl w:val="nil"/>
            </w:tcBorders>
          </w:tcPr>
          <w:p>
            <w:pPr>
              <w:widowControl w:val="0"/>
              <w:spacing w:line="560" w:lineRule="exact"/>
              <w:jc w:val="both"/>
              <w:rPr>
                <w:rFonts w:ascii="宋体" w:hAnsi="宋体" w:cs="宋体"/>
                <w:sz w:val="24"/>
                <w:szCs w:val="20"/>
              </w:rPr>
            </w:pPr>
            <w:r>
              <w:rPr>
                <w:rFonts w:ascii="宋体" w:hAnsi="宋体" w:cs="宋体" w:hint="eastAsia"/>
                <w:sz w:val="24"/>
                <w:szCs w:val="20"/>
              </w:rPr>
              <w:t>日期：</w:t>
            </w:r>
          </w:p>
        </w:tc>
        <w:tc>
          <w:tcPr>
            <w:tcW w:w="4165" w:type="dxa"/>
            <w:tcBorders>
              <w:tl2br w:val="nil"/>
              <w:tr2bl w:val="nil"/>
            </w:tcBorders>
          </w:tcPr>
          <w:p>
            <w:pPr>
              <w:widowControl w:val="0"/>
              <w:spacing w:line="560" w:lineRule="exact"/>
              <w:jc w:val="both"/>
              <w:rPr>
                <w:rFonts w:ascii="宋体" w:hAnsi="宋体" w:cs="宋体"/>
                <w:sz w:val="24"/>
                <w:szCs w:val="20"/>
              </w:rPr>
            </w:pPr>
            <w:r>
              <w:rPr>
                <w:rFonts w:ascii="宋体" w:hAnsi="宋体" w:cs="宋体" w:hint="eastAsia"/>
                <w:sz w:val="24"/>
                <w:szCs w:val="20"/>
              </w:rPr>
              <w:t>日期：</w:t>
            </w:r>
          </w:p>
        </w:tc>
      </w:tr>
    </w:tbl>
    <w:p>
      <w:pPr>
        <w:rPr>
          <w:rFonts w:ascii="宋体" w:hAnsi="宋体" w:cs="宋体"/>
          <w:sz w:val="24"/>
          <w:szCs w:val="20"/>
        </w:rPr>
      </w:pPr>
      <w:r>
        <w:rPr>
          <w:rFonts w:ascii="宋体" w:hAnsi="宋体" w:cs="宋体" w:hint="eastAsia"/>
          <w:sz w:val="24"/>
          <w:szCs w:val="20"/>
        </w:rPr>
        <w:br w:type="page"/>
      </w:r>
    </w:p>
    <w:p>
      <w:pPr>
        <w:pStyle w:val="Heading2"/>
        <w:spacing w:line="360" w:lineRule="auto"/>
        <w:rPr>
          <w:rFonts w:ascii="宋体" w:hAnsi="宋体" w:cs="宋体"/>
          <w:sz w:val="28"/>
          <w:szCs w:val="28"/>
        </w:rPr>
      </w:pPr>
      <w:r>
        <w:rPr>
          <w:rFonts w:ascii="宋体" w:hAnsi="宋体" w:cs="宋体" w:hint="eastAsia"/>
          <w:sz w:val="28"/>
          <w:szCs w:val="28"/>
        </w:rPr>
        <w:t>第二册  通用条款（公开招标）</w:t>
      </w:r>
    </w:p>
    <w:p>
      <w:pPr>
        <w:pStyle w:val="Heading2"/>
        <w:numPr>
          <w:ilvl w:val="0"/>
          <w:numId w:val="11"/>
        </w:numPr>
        <w:spacing w:line="360" w:lineRule="auto"/>
        <w:ind w:left="0" w:firstLine="0"/>
        <w:rPr>
          <w:rFonts w:ascii="宋体" w:hAnsi="宋体" w:cs="宋体"/>
          <w:sz w:val="28"/>
          <w:szCs w:val="28"/>
        </w:rPr>
      </w:pPr>
      <w:bookmarkStart w:id="90" w:name="_Hlk72399513"/>
      <w:r>
        <w:rPr>
          <w:rFonts w:ascii="宋体" w:hAnsi="宋体" w:cs="宋体" w:hint="eastAsia"/>
          <w:sz w:val="28"/>
          <w:szCs w:val="28"/>
        </w:rPr>
        <w:t>总则</w:t>
      </w:r>
    </w:p>
    <w:p>
      <w:pPr>
        <w:spacing w:line="360" w:lineRule="auto"/>
        <w:rPr>
          <w:rFonts w:ascii="宋体" w:hAnsi="宋体" w:cs="宋体"/>
          <w:szCs w:val="21"/>
        </w:rPr>
      </w:pPr>
      <w:bookmarkEnd w:id="90"/>
      <w:r>
        <w:rPr>
          <w:rFonts w:ascii="宋体" w:hAnsi="宋体" w:cs="宋体" w:hint="eastAsia"/>
          <w:szCs w:val="21"/>
        </w:rPr>
        <w:t>1. 通用条款说明</w:t>
      </w:r>
    </w:p>
    <w:p>
      <w:pPr>
        <w:spacing w:line="360" w:lineRule="auto"/>
        <w:rPr>
          <w:rFonts w:ascii="宋体" w:hAnsi="宋体" w:cs="宋体"/>
          <w:szCs w:val="21"/>
        </w:rPr>
      </w:pPr>
      <w:r>
        <w:rPr>
          <w:rFonts w:ascii="宋体" w:hAnsi="宋体" w:cs="宋体" w:hint="eastAsia"/>
          <w:szCs w:val="21"/>
        </w:rPr>
        <w:t>1.1政府集中采购机构发出招标文件通用条款版本，列出深圳市政府采购项目进行招标采购所适用的通用条款内容。如有需要，政府集中采购机构可以对通用条款的内容进行补充。</w:t>
      </w:r>
    </w:p>
    <w:p>
      <w:pPr>
        <w:spacing w:line="360" w:lineRule="auto"/>
        <w:rPr>
          <w:rFonts w:ascii="宋体" w:hAnsi="宋体" w:cs="宋体"/>
          <w:szCs w:val="21"/>
        </w:rPr>
      </w:pPr>
      <w:r>
        <w:rPr>
          <w:rFonts w:ascii="宋体" w:hAnsi="宋体" w:cs="宋体" w:hint="eastAsia"/>
          <w:szCs w:val="21"/>
        </w:rPr>
        <w:t>1.2招标文件分为第一册“专用条款”和第二册“通用条款”。</w:t>
      </w:r>
    </w:p>
    <w:p>
      <w:pPr>
        <w:spacing w:line="360" w:lineRule="auto"/>
        <w:rPr>
          <w:rFonts w:ascii="宋体" w:hAnsi="宋体" w:cs="宋体"/>
          <w:szCs w:val="21"/>
        </w:rPr>
      </w:pPr>
      <w:r>
        <w:rPr>
          <w:rFonts w:ascii="宋体" w:hAnsi="宋体" w:cs="宋体" w:hint="eastAsia"/>
          <w:szCs w:val="21"/>
        </w:rPr>
        <w:t>1.3“专用条款”是对本次采购项目的具体要求，包含招标公告、对通用条款的补充内容及其他关键信息、用户需求书、投标文件格式及附件、合同条款及格式等内容。</w:t>
      </w:r>
    </w:p>
    <w:p>
      <w:pPr>
        <w:spacing w:line="360" w:lineRule="auto"/>
        <w:rPr>
          <w:rFonts w:ascii="宋体" w:hAnsi="宋体" w:cs="宋体"/>
          <w:szCs w:val="21"/>
        </w:rPr>
      </w:pPr>
      <w:r>
        <w:rPr>
          <w:rFonts w:ascii="宋体" w:hAnsi="宋体" w:cs="宋体" w:hint="eastAsia"/>
          <w:szCs w:val="21"/>
        </w:rPr>
        <w:t>1.4“通用条款”是适用于政府采购公开招标项目的基础性条款，具有普遍性和通用性。</w:t>
      </w:r>
    </w:p>
    <w:p>
      <w:pPr>
        <w:spacing w:line="360" w:lineRule="auto"/>
        <w:rPr>
          <w:rFonts w:ascii="宋体" w:hAnsi="宋体" w:cs="宋体"/>
          <w:szCs w:val="21"/>
        </w:rPr>
      </w:pPr>
      <w:r>
        <w:rPr>
          <w:rFonts w:ascii="宋体" w:hAnsi="宋体" w:cs="宋体" w:hint="eastAsia"/>
          <w:szCs w:val="21"/>
        </w:rPr>
        <w:t>1.5 “专用条款”和“通用条款”表述不一致或有冲突时，以“专用条款”为准。</w:t>
      </w:r>
    </w:p>
    <w:p>
      <w:pPr>
        <w:spacing w:line="360" w:lineRule="auto"/>
        <w:rPr>
          <w:rFonts w:ascii="宋体" w:hAnsi="宋体" w:cs="宋体"/>
          <w:szCs w:val="21"/>
        </w:rPr>
      </w:pPr>
      <w:r>
        <w:rPr>
          <w:rFonts w:ascii="宋体" w:hAnsi="宋体" w:cs="宋体" w:hint="eastAsia"/>
          <w:szCs w:val="21"/>
        </w:rPr>
        <w:t>2．招标说明</w:t>
      </w:r>
    </w:p>
    <w:p>
      <w:pPr>
        <w:spacing w:line="360" w:lineRule="auto"/>
        <w:rPr>
          <w:rFonts w:ascii="宋体" w:hAnsi="宋体" w:cs="宋体"/>
          <w:szCs w:val="21"/>
        </w:rPr>
      </w:pPr>
      <w:r>
        <w:rPr>
          <w:rFonts w:ascii="宋体" w:hAnsi="宋体" w:cs="宋体" w:hint="eastAsia"/>
          <w:szCs w:val="21"/>
        </w:rPr>
        <w:t>本项目按照《深圳经济特区政府采购条例》、《深圳经济特区政府采购条例实施细则》及政府采购其他法律法规，通过公开招标方式确定中标供应商。</w:t>
      </w:r>
    </w:p>
    <w:p>
      <w:pPr>
        <w:spacing w:line="360" w:lineRule="auto"/>
        <w:rPr>
          <w:rFonts w:ascii="宋体" w:hAnsi="宋体" w:cs="宋体"/>
          <w:szCs w:val="21"/>
        </w:rPr>
      </w:pPr>
      <w:r>
        <w:rPr>
          <w:rFonts w:ascii="宋体" w:hAnsi="宋体" w:cs="宋体" w:hint="eastAsia"/>
          <w:szCs w:val="21"/>
        </w:rPr>
        <w:t>3．定义</w:t>
      </w:r>
    </w:p>
    <w:p>
      <w:pPr>
        <w:spacing w:line="360" w:lineRule="auto"/>
        <w:rPr>
          <w:rFonts w:ascii="宋体" w:hAnsi="宋体" w:cs="宋体"/>
          <w:szCs w:val="21"/>
        </w:rPr>
      </w:pPr>
      <w:r>
        <w:rPr>
          <w:rFonts w:ascii="宋体" w:hAnsi="宋体" w:cs="宋体" w:hint="eastAsia"/>
          <w:szCs w:val="21"/>
        </w:rPr>
        <w:t>招标文件中下列术语应解释为：</w:t>
      </w:r>
    </w:p>
    <w:p>
      <w:pPr>
        <w:spacing w:line="360" w:lineRule="auto"/>
        <w:rPr>
          <w:rFonts w:ascii="宋体" w:hAnsi="宋体" w:cs="宋体"/>
          <w:szCs w:val="21"/>
        </w:rPr>
      </w:pPr>
      <w:r>
        <w:rPr>
          <w:rFonts w:ascii="宋体" w:hAnsi="宋体" w:cs="宋体" w:hint="eastAsia"/>
          <w:szCs w:val="21"/>
        </w:rPr>
        <w:t xml:space="preserve">3.1“采购人”：指利用财政性资金依法进行政府采购的国家机关、事业单位、团体组织； </w:t>
      </w:r>
    </w:p>
    <w:p>
      <w:pPr>
        <w:spacing w:line="360" w:lineRule="auto"/>
        <w:rPr>
          <w:rFonts w:ascii="宋体" w:hAnsi="宋体" w:cs="宋体"/>
          <w:szCs w:val="21"/>
        </w:rPr>
      </w:pPr>
      <w:r>
        <w:rPr>
          <w:rFonts w:ascii="宋体" w:hAnsi="宋体" w:cs="宋体" w:hint="eastAsia"/>
          <w:szCs w:val="21"/>
        </w:rPr>
        <w:t>3.2 “政府集中采购机构”</w:t>
      </w:r>
      <w:r>
        <w:rPr>
          <w:rFonts w:ascii="宋体" w:hAnsi="宋体" w:cs="宋体" w:hint="eastAsia"/>
          <w:szCs w:val="21"/>
          <w:shd w:val="clear" w:color="auto" w:fill="FFFFFF"/>
        </w:rPr>
        <w:t>是指市政府设立的，组织实施政府采购项目，并对政府采购活动提供服务的专门机构；</w:t>
      </w:r>
      <w:r>
        <w:rPr>
          <w:rFonts w:ascii="宋体" w:hAnsi="宋体" w:cs="宋体" w:hint="eastAsia"/>
          <w:szCs w:val="21"/>
        </w:rPr>
        <w:t>本文件所述的“政府集中采购机构”指</w:t>
      </w:r>
      <w:r>
        <w:rPr>
          <w:rFonts w:ascii="宋体" w:hAnsi="宋体" w:cs="宋体" w:hint="eastAsia"/>
          <w:b/>
          <w:bCs/>
          <w:color w:val="FF0000"/>
          <w:szCs w:val="21"/>
        </w:rPr>
        <w:t>深圳公共资源交易中心（深圳交易集团有限公司龙华分公司）</w:t>
      </w:r>
      <w:r>
        <w:rPr>
          <w:rFonts w:ascii="宋体" w:hAnsi="宋体" w:cs="宋体" w:hint="eastAsia"/>
          <w:szCs w:val="21"/>
        </w:rPr>
        <w:t>；</w:t>
      </w:r>
    </w:p>
    <w:p>
      <w:pPr>
        <w:spacing w:line="360" w:lineRule="auto"/>
        <w:rPr>
          <w:rFonts w:ascii="宋体" w:hAnsi="宋体" w:cs="宋体"/>
          <w:szCs w:val="21"/>
        </w:rPr>
      </w:pPr>
      <w:r>
        <w:rPr>
          <w:rFonts w:ascii="宋体" w:hAnsi="宋体" w:cs="宋体" w:hint="eastAsia"/>
          <w:szCs w:val="21"/>
        </w:rPr>
        <w:t>3.3“投标人”，即供应商，指参加投标竞争并愿意按照招标文件要求向采购人提供货物、工程或者服务的依法成立的法人、其他组织或者自然人；</w:t>
      </w:r>
    </w:p>
    <w:p>
      <w:pPr>
        <w:spacing w:line="360" w:lineRule="auto"/>
        <w:rPr>
          <w:rFonts w:ascii="宋体" w:hAnsi="宋体" w:cs="宋体"/>
          <w:szCs w:val="21"/>
        </w:rPr>
      </w:pPr>
      <w:r>
        <w:rPr>
          <w:rFonts w:ascii="宋体" w:hAnsi="宋体" w:cs="宋体" w:hint="eastAsia"/>
          <w:szCs w:val="21"/>
        </w:rPr>
        <w:t>3.4“评审委员会”是依据《深圳经济特区政府采购条例》、《深圳经济特区政府采购条例实施细则》等有关规定组建的专门负责本次招标其评审工作的临时性机构；</w:t>
      </w:r>
    </w:p>
    <w:p>
      <w:pPr>
        <w:spacing w:line="360" w:lineRule="auto"/>
        <w:rPr>
          <w:rFonts w:ascii="宋体" w:hAnsi="宋体" w:cs="宋体"/>
          <w:szCs w:val="21"/>
        </w:rPr>
      </w:pPr>
      <w:r>
        <w:rPr>
          <w:rFonts w:ascii="宋体" w:hAnsi="宋体" w:cs="宋体" w:hint="eastAsia"/>
          <w:szCs w:val="21"/>
        </w:rPr>
        <w:t>3.5“日期”指公历日；</w:t>
      </w:r>
    </w:p>
    <w:p>
      <w:pPr>
        <w:spacing w:line="360" w:lineRule="auto"/>
        <w:rPr>
          <w:rFonts w:ascii="宋体" w:hAnsi="宋体" w:cs="宋体"/>
          <w:szCs w:val="21"/>
        </w:rPr>
      </w:pPr>
      <w:r>
        <w:rPr>
          <w:rFonts w:ascii="宋体" w:hAnsi="宋体" w:cs="宋体" w:hint="eastAsia"/>
          <w:szCs w:val="21"/>
        </w:rPr>
        <w:t>3.6“合同”指由本次招标所产生的合同或合约文件；</w:t>
      </w:r>
    </w:p>
    <w:p>
      <w:pPr>
        <w:spacing w:line="360" w:lineRule="auto"/>
        <w:rPr>
          <w:rFonts w:ascii="宋体" w:hAnsi="宋体" w:cs="宋体"/>
          <w:szCs w:val="21"/>
        </w:rPr>
      </w:pPr>
      <w:r>
        <w:rPr>
          <w:rFonts w:ascii="宋体" w:hAnsi="宋体" w:cs="宋体" w:hint="eastAsia"/>
          <w:szCs w:val="21"/>
        </w:rPr>
        <w:t>3.7“电子投标文件”指利用</w:t>
      </w:r>
      <w:r>
        <w:rPr>
          <w:rFonts w:ascii="宋体" w:hAnsi="宋体" w:cs="宋体" w:hint="eastAsia"/>
          <w:b/>
          <w:bCs/>
          <w:color w:val="FF0000"/>
          <w:szCs w:val="21"/>
        </w:rPr>
        <w:t>深圳公共资源交易中心（深圳交易集团有限公司龙华分公司）</w:t>
      </w:r>
      <w:r>
        <w:rPr>
          <w:rFonts w:ascii="宋体" w:hAnsi="宋体" w:cs="宋体" w:hint="eastAsia"/>
          <w:szCs w:val="21"/>
        </w:rPr>
        <w:t>网站提供的</w:t>
      </w:r>
      <w:r>
        <w:rPr>
          <w:rFonts w:ascii="宋体" w:hAnsi="宋体" w:cs="宋体" w:hint="eastAsia"/>
        </w:rPr>
        <w:t>深圳智慧采购平台投标文件制作专用软件（以下简称：投标文件制作软件）制作并</w:t>
      </w:r>
      <w:r>
        <w:rPr>
          <w:rFonts w:ascii="宋体" w:hAnsi="宋体" w:cs="宋体" w:hint="eastAsia"/>
          <w:szCs w:val="21"/>
        </w:rPr>
        <w:t>加密的投标文件,适用于网上投标；（投标文件制作软件可从</w:t>
      </w:r>
      <w:r>
        <w:rPr>
          <w:rFonts w:ascii="宋体" w:hAnsi="宋体" w:cs="宋体" w:hint="eastAsia"/>
        </w:rPr>
        <w:t>“下载地址：http://zfcg.szggzy.com/TPBidder/DownLoad/深圳市智慧采购平台投标文件制作专用软件.zip”</w:t>
      </w:r>
      <w:r>
        <w:rPr>
          <w:rFonts w:ascii="宋体" w:hAnsi="宋体" w:cs="宋体" w:hint="eastAsia"/>
          <w:szCs w:val="21"/>
        </w:rPr>
        <w:t>下载）</w:t>
      </w:r>
    </w:p>
    <w:p>
      <w:pPr>
        <w:spacing w:line="360" w:lineRule="auto"/>
        <w:rPr>
          <w:rFonts w:ascii="宋体" w:hAnsi="宋体" w:cs="宋体"/>
          <w:szCs w:val="21"/>
        </w:rPr>
      </w:pPr>
      <w:r>
        <w:rPr>
          <w:rFonts w:ascii="宋体" w:hAnsi="宋体" w:cs="宋体" w:hint="eastAsia"/>
          <w:szCs w:val="21"/>
        </w:rPr>
        <w:t>3.8“网上投标”指通过</w:t>
      </w:r>
      <w:r>
        <w:rPr>
          <w:rFonts w:ascii="宋体" w:hAnsi="宋体" w:cs="宋体" w:hint="eastAsia"/>
          <w:b/>
          <w:bCs/>
          <w:color w:val="FF0000"/>
          <w:szCs w:val="21"/>
        </w:rPr>
        <w:t>深圳公共资源交易中心（深圳交易集团有限公司龙华分公司）</w:t>
      </w:r>
      <w:r>
        <w:rPr>
          <w:rFonts w:ascii="宋体" w:hAnsi="宋体" w:cs="宋体" w:hint="eastAsia"/>
          <w:szCs w:val="21"/>
        </w:rPr>
        <w:t>网站上传电子投标文件；</w:t>
      </w:r>
    </w:p>
    <w:p>
      <w:pPr>
        <w:spacing w:line="360" w:lineRule="auto"/>
        <w:rPr>
          <w:rFonts w:ascii="宋体" w:hAnsi="宋体" w:cs="宋体"/>
          <w:szCs w:val="21"/>
        </w:rPr>
      </w:pPr>
      <w:r>
        <w:rPr>
          <w:rFonts w:ascii="宋体" w:hAnsi="宋体" w:cs="宋体" w:hint="eastAsia"/>
          <w:szCs w:val="21"/>
        </w:rPr>
        <w:t>3.9招标文件中的标题或题名仅起引导作用，而不应视为对招标文件内容的理解和解释。</w:t>
      </w:r>
    </w:p>
    <w:p>
      <w:pPr>
        <w:spacing w:line="360" w:lineRule="auto"/>
        <w:rPr>
          <w:rFonts w:ascii="宋体" w:hAnsi="宋体" w:cs="宋体"/>
          <w:szCs w:val="21"/>
        </w:rPr>
      </w:pPr>
      <w:r>
        <w:rPr>
          <w:rFonts w:ascii="宋体" w:hAnsi="宋体" w:cs="宋体" w:hint="eastAsia"/>
          <w:szCs w:val="21"/>
        </w:rPr>
        <w:t>4. 政府采购供应商责任</w:t>
      </w:r>
    </w:p>
    <w:p>
      <w:pPr>
        <w:spacing w:line="360" w:lineRule="auto"/>
        <w:rPr>
          <w:rFonts w:ascii="宋体" w:hAnsi="宋体" w:cs="宋体"/>
          <w:szCs w:val="21"/>
        </w:rPr>
      </w:pPr>
      <w:r>
        <w:rPr>
          <w:rFonts w:ascii="宋体" w:hAnsi="宋体" w:cs="宋体" w:hint="eastAsia"/>
          <w:szCs w:val="21"/>
        </w:rPr>
        <w:t>4.1欢迎诚信、有实力和有社会责任心的供应商参与政府采购事业。</w:t>
      </w:r>
    </w:p>
    <w:p>
      <w:pPr>
        <w:spacing w:line="360" w:lineRule="auto"/>
        <w:rPr>
          <w:rFonts w:ascii="宋体" w:hAnsi="宋体" w:cs="宋体"/>
          <w:szCs w:val="21"/>
        </w:rPr>
      </w:pPr>
      <w:r>
        <w:rPr>
          <w:rFonts w:ascii="宋体" w:hAnsi="宋体" w:cs="宋体" w:hint="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宋体" w:hAnsi="宋体" w:cs="宋体"/>
          <w:szCs w:val="21"/>
        </w:rPr>
      </w:pPr>
      <w:r>
        <w:rPr>
          <w:rFonts w:ascii="宋体" w:hAnsi="宋体" w:cs="宋体" w:hint="eastAsia"/>
          <w:szCs w:val="21"/>
        </w:rPr>
        <w:t>5．投标人参加政府采购的条件</w:t>
      </w:r>
    </w:p>
    <w:p>
      <w:pPr>
        <w:spacing w:line="360" w:lineRule="auto"/>
        <w:rPr>
          <w:rFonts w:ascii="宋体" w:hAnsi="宋体" w:cs="宋体"/>
          <w:szCs w:val="21"/>
        </w:rPr>
      </w:pPr>
      <w:r>
        <w:rPr>
          <w:rFonts w:ascii="宋体" w:hAnsi="宋体" w:cs="宋体" w:hint="eastAsia"/>
          <w:szCs w:val="21"/>
        </w:rPr>
        <w:t>5.1投标人应在投标前到</w:t>
      </w:r>
      <w:r>
        <w:rPr>
          <w:rFonts w:ascii="宋体" w:hAnsi="宋体" w:cs="宋体" w:hint="eastAsia"/>
          <w:b/>
          <w:bCs/>
          <w:szCs w:val="21"/>
        </w:rPr>
        <w:t>深圳公共资源交易中心（具体在深圳交易集团有限公司政府采购业务分公司进行办理）</w:t>
      </w:r>
      <w:r>
        <w:rPr>
          <w:rFonts w:ascii="宋体" w:hAnsi="宋体" w:cs="宋体" w:hint="eastAsia"/>
          <w:szCs w:val="21"/>
        </w:rPr>
        <w:t>进行注册并办理电子密钥。《</w:t>
      </w:r>
      <w:r>
        <w:fldChar w:fldCharType="begin"/>
      </w:r>
      <w:r>
        <w:instrText xml:space="preserve"> HYPERLINK "http://www.szzfcg.cn/viewer.do?id=2455258" \t "documentViewer2455258" </w:instrText>
      </w:r>
      <w:r>
        <w:fldChar w:fldCharType="separate"/>
      </w:r>
      <w:r>
        <w:rPr>
          <w:rFonts w:ascii="宋体" w:hAnsi="宋体" w:cs="宋体" w:hint="eastAsia"/>
          <w:szCs w:val="21"/>
        </w:rPr>
        <w:t>供应商注册及电子密钥新申请指引</w:t>
      </w:r>
      <w:r>
        <w:rPr>
          <w:rFonts w:ascii="宋体" w:hAnsi="宋体" w:cs="宋体" w:hint="eastAsia"/>
          <w:szCs w:val="21"/>
        </w:rPr>
        <w:fldChar w:fldCharType="end"/>
      </w:r>
      <w:r>
        <w:rPr>
          <w:rFonts w:ascii="宋体" w:hAnsi="宋体" w:cs="宋体" w:hint="eastAsia"/>
          <w:szCs w:val="21"/>
        </w:rPr>
        <w:t>》详见</w:t>
      </w:r>
      <w:r>
        <w:rPr>
          <w:rFonts w:ascii="宋体" w:hAnsi="宋体" w:cs="宋体" w:hint="eastAsia"/>
        </w:rPr>
        <w:t>http://zfcg.szggzy.com/</w:t>
      </w:r>
      <w:r>
        <w:rPr>
          <w:rFonts w:ascii="宋体" w:hAnsi="宋体" w:cs="宋体" w:hint="eastAsia"/>
          <w:szCs w:val="21"/>
        </w:rPr>
        <w:t>。</w:t>
      </w:r>
    </w:p>
    <w:p>
      <w:pPr>
        <w:spacing w:line="360" w:lineRule="auto"/>
        <w:rPr>
          <w:rFonts w:ascii="宋体" w:hAnsi="宋体" w:cs="宋体"/>
          <w:szCs w:val="21"/>
        </w:rPr>
      </w:pPr>
      <w:r>
        <w:rPr>
          <w:rFonts w:ascii="宋体" w:hAnsi="宋体" w:cs="宋体" w:hint="eastAsia"/>
          <w:szCs w:val="21"/>
        </w:rPr>
        <w:t>5.2投标人资格要求</w:t>
      </w:r>
    </w:p>
    <w:p>
      <w:pPr>
        <w:spacing w:line="360" w:lineRule="auto"/>
        <w:rPr>
          <w:rFonts w:ascii="宋体" w:hAnsi="宋体" w:cs="宋体"/>
          <w:szCs w:val="21"/>
        </w:rPr>
      </w:pPr>
      <w:r>
        <w:rPr>
          <w:rFonts w:ascii="宋体" w:hAnsi="宋体" w:cs="宋体" w:hint="eastAsia"/>
          <w:szCs w:val="21"/>
        </w:rPr>
        <w:t>参加本项目的投标人应具备的资格条件详见本项目招标公告中 “投标人资格要求”（即申请人的资格要求）的内容。</w:t>
      </w:r>
    </w:p>
    <w:p>
      <w:pPr>
        <w:spacing w:line="360" w:lineRule="auto"/>
        <w:rPr>
          <w:rFonts w:ascii="宋体" w:hAnsi="宋体" w:cs="宋体"/>
          <w:szCs w:val="21"/>
        </w:rPr>
      </w:pPr>
      <w:r>
        <w:rPr>
          <w:rFonts w:ascii="宋体" w:hAnsi="宋体" w:cs="宋体" w:hint="eastAsia"/>
          <w:szCs w:val="21"/>
        </w:rPr>
        <w:t>5.3联合体投标</w:t>
      </w:r>
    </w:p>
    <w:p>
      <w:pPr>
        <w:spacing w:line="360" w:lineRule="auto"/>
        <w:rPr>
          <w:rFonts w:ascii="宋体" w:hAnsi="宋体" w:cs="宋体"/>
          <w:szCs w:val="21"/>
        </w:rPr>
      </w:pPr>
      <w:r>
        <w:rPr>
          <w:rFonts w:ascii="宋体" w:hAnsi="宋体" w:cs="宋体" w:hint="eastAsia"/>
          <w:szCs w:val="21"/>
        </w:rPr>
        <w:t>5.3.1　以下有关联合体投标的条款仅适用于允许投标人组成联合体投标的项目。</w:t>
      </w:r>
    </w:p>
    <w:p>
      <w:pPr>
        <w:spacing w:line="360" w:lineRule="auto"/>
        <w:rPr>
          <w:rFonts w:ascii="宋体" w:hAnsi="宋体" w:cs="宋体"/>
          <w:szCs w:val="21"/>
        </w:rPr>
      </w:pPr>
      <w:r>
        <w:rPr>
          <w:rFonts w:ascii="宋体" w:hAnsi="宋体" w:cs="宋体" w:hint="eastAsia"/>
          <w:szCs w:val="21"/>
        </w:rPr>
        <w:t>5.3.2  由两个或两个以上的自然人、法人或者其他组织可以组成一个联合体，以一个供应商的身份共同投标时，应符合以下原则：</w:t>
      </w:r>
    </w:p>
    <w:p>
      <w:pPr>
        <w:spacing w:line="360" w:lineRule="auto"/>
        <w:rPr>
          <w:rFonts w:ascii="宋体" w:hAnsi="宋体" w:cs="宋体"/>
          <w:szCs w:val="21"/>
        </w:rPr>
      </w:pPr>
      <w:r>
        <w:rPr>
          <w:rFonts w:ascii="宋体" w:hAnsi="宋体" w:cs="宋体" w:hint="eastAsia"/>
          <w:szCs w:val="21"/>
        </w:rPr>
        <w:t xml:space="preserve">（1）投标联合体各方参加政府采购活动应当具备下列条件： </w:t>
      </w:r>
    </w:p>
    <w:p>
      <w:pPr>
        <w:spacing w:line="360" w:lineRule="auto"/>
        <w:rPr>
          <w:rFonts w:ascii="宋体" w:hAnsi="宋体" w:cs="宋体"/>
          <w:szCs w:val="21"/>
        </w:rPr>
      </w:pPr>
      <w:r>
        <w:rPr>
          <w:rFonts w:ascii="宋体" w:hAnsi="宋体" w:cs="宋体" w:hint="eastAsia"/>
          <w:szCs w:val="21"/>
        </w:rPr>
        <w:t xml:space="preserve">1、具有独立承担民事责任的能力； </w:t>
      </w:r>
    </w:p>
    <w:p>
      <w:pPr>
        <w:spacing w:line="360" w:lineRule="auto"/>
        <w:rPr>
          <w:rFonts w:ascii="宋体" w:hAnsi="宋体" w:cs="宋体"/>
          <w:szCs w:val="21"/>
        </w:rPr>
      </w:pPr>
      <w:r>
        <w:rPr>
          <w:rFonts w:ascii="宋体" w:hAnsi="宋体" w:cs="宋体" w:hint="eastAsia"/>
          <w:szCs w:val="21"/>
        </w:rPr>
        <w:t xml:space="preserve">2、有良好的商业信誉和健全的财务会计制度； </w:t>
      </w:r>
    </w:p>
    <w:p>
      <w:pPr>
        <w:spacing w:line="360" w:lineRule="auto"/>
        <w:rPr>
          <w:rFonts w:ascii="宋体" w:hAnsi="宋体" w:cs="宋体"/>
          <w:szCs w:val="21"/>
        </w:rPr>
      </w:pPr>
      <w:r>
        <w:rPr>
          <w:rFonts w:ascii="宋体" w:hAnsi="宋体" w:cs="宋体" w:hint="eastAsia"/>
          <w:szCs w:val="21"/>
        </w:rPr>
        <w:t xml:space="preserve">3、具有履行合同所必需的设备和专业技术能力； </w:t>
      </w:r>
    </w:p>
    <w:p>
      <w:pPr>
        <w:spacing w:line="360" w:lineRule="auto"/>
        <w:rPr>
          <w:rFonts w:ascii="宋体" w:hAnsi="宋体" w:cs="宋体"/>
          <w:szCs w:val="21"/>
        </w:rPr>
      </w:pPr>
      <w:r>
        <w:rPr>
          <w:rFonts w:ascii="宋体" w:hAnsi="宋体" w:cs="宋体" w:hint="eastAsia"/>
          <w:szCs w:val="21"/>
        </w:rPr>
        <w:t xml:space="preserve">4、有依法缴纳税收和社会保障资金的良好记录； </w:t>
      </w:r>
    </w:p>
    <w:p>
      <w:pPr>
        <w:spacing w:line="360" w:lineRule="auto"/>
        <w:rPr>
          <w:rFonts w:ascii="宋体" w:hAnsi="宋体" w:cs="宋体"/>
          <w:szCs w:val="21"/>
        </w:rPr>
      </w:pPr>
      <w:r>
        <w:rPr>
          <w:rFonts w:ascii="宋体" w:hAnsi="宋体" w:cs="宋体" w:hint="eastAsia"/>
          <w:szCs w:val="21"/>
        </w:rPr>
        <w:t xml:space="preserve">5、参加政府采购活动前三年内，在经营活动中没有重大违法记录； </w:t>
      </w:r>
    </w:p>
    <w:p>
      <w:pPr>
        <w:spacing w:line="360" w:lineRule="auto"/>
        <w:rPr>
          <w:rFonts w:ascii="宋体" w:hAnsi="宋体" w:cs="宋体"/>
          <w:szCs w:val="21"/>
        </w:rPr>
      </w:pPr>
      <w:r>
        <w:rPr>
          <w:rFonts w:ascii="宋体" w:hAnsi="宋体" w:cs="宋体" w:hint="eastAsia"/>
          <w:szCs w:val="21"/>
        </w:rPr>
        <w:t>6、参与本项目政府采购活动时不存在被有关部门禁止参与政府采购活动且在有效期内的情况；</w:t>
      </w:r>
    </w:p>
    <w:p>
      <w:pPr>
        <w:spacing w:line="360" w:lineRule="auto"/>
        <w:rPr>
          <w:rFonts w:ascii="宋体" w:hAnsi="宋体" w:cs="宋体"/>
          <w:szCs w:val="21"/>
        </w:rPr>
      </w:pPr>
      <w:r>
        <w:rPr>
          <w:rFonts w:ascii="宋体" w:hAnsi="宋体" w:cs="宋体" w:hint="eastAsia"/>
          <w:szCs w:val="21"/>
        </w:rPr>
        <w:t xml:space="preserve">7、法律、行政法规规定的其他条件。 </w:t>
      </w:r>
    </w:p>
    <w:p>
      <w:pPr>
        <w:spacing w:line="360" w:lineRule="auto"/>
        <w:rPr>
          <w:rFonts w:ascii="宋体" w:hAnsi="宋体" w:cs="宋体"/>
          <w:szCs w:val="21"/>
        </w:rPr>
      </w:pPr>
      <w:r>
        <w:rPr>
          <w:rFonts w:ascii="宋体" w:hAnsi="宋体" w:cs="宋体" w:hint="eastAsia"/>
          <w:szCs w:val="21"/>
        </w:rPr>
        <w:t>（2）在投标截止前，投标联合体各方均应注册成深圳市政府采购注册供应商；</w:t>
      </w:r>
    </w:p>
    <w:p>
      <w:pPr>
        <w:spacing w:line="360" w:lineRule="auto"/>
        <w:rPr>
          <w:rFonts w:ascii="宋体" w:hAnsi="宋体" w:cs="宋体"/>
          <w:szCs w:val="21"/>
        </w:rPr>
      </w:pPr>
      <w:r>
        <w:rPr>
          <w:rFonts w:ascii="宋体" w:hAnsi="宋体" w:cs="宋体" w:hint="eastAsia"/>
          <w:szCs w:val="21"/>
        </w:rPr>
        <w:t>（3）联合体中有同类资质的供应商按照联合体分工承担相同工作的，应当按照资质等级较低的供应商确定资质等级；</w:t>
      </w:r>
    </w:p>
    <w:p>
      <w:pPr>
        <w:spacing w:line="360" w:lineRule="auto"/>
        <w:rPr>
          <w:rFonts w:ascii="宋体" w:hAnsi="宋体" w:cs="宋体"/>
          <w:szCs w:val="21"/>
        </w:rPr>
      </w:pPr>
      <w:r>
        <w:rPr>
          <w:rFonts w:ascii="宋体" w:hAnsi="宋体" w:cs="宋体" w:hint="eastAsia"/>
          <w:szCs w:val="21"/>
        </w:rPr>
        <w:t>（4）是否允许联合体参加投标，应当由采购人和采购代理机构根据项目的实际情况和潜在供应商的数量自主决定，如果决定接受联合体投标则应当在招标公告中明示；</w:t>
      </w:r>
    </w:p>
    <w:p>
      <w:pPr>
        <w:spacing w:line="360" w:lineRule="auto"/>
        <w:rPr>
          <w:rFonts w:ascii="宋体" w:hAnsi="宋体" w:cs="宋体"/>
          <w:szCs w:val="21"/>
        </w:rPr>
      </w:pPr>
      <w:r>
        <w:rPr>
          <w:rFonts w:ascii="宋体" w:hAnsi="宋体" w:cs="宋体" w:hint="eastAsia"/>
          <w:szCs w:val="21"/>
        </w:rPr>
        <w:t>（5）投标人的投标文件及中标后签署的合同协议对联合体各方均具法律约束力；</w:t>
      </w:r>
    </w:p>
    <w:p>
      <w:pPr>
        <w:spacing w:line="360" w:lineRule="auto"/>
        <w:rPr>
          <w:rFonts w:ascii="宋体" w:hAnsi="宋体" w:cs="宋体"/>
          <w:szCs w:val="21"/>
        </w:rPr>
      </w:pPr>
      <w:r>
        <w:rPr>
          <w:rFonts w:ascii="宋体" w:hAnsi="宋体" w:cs="宋体" w:hint="eastAsia"/>
          <w:szCs w:val="21"/>
        </w:rPr>
        <w:t>（6）联合体各方应当签订联合体投标协议，明确约定各方拟承担的工作和责任，并将该协议随投标文件一并递交给政府集中采购机构；</w:t>
      </w:r>
    </w:p>
    <w:p>
      <w:pPr>
        <w:spacing w:line="360" w:lineRule="auto"/>
        <w:rPr>
          <w:rFonts w:ascii="宋体" w:hAnsi="宋体" w:cs="宋体"/>
          <w:szCs w:val="21"/>
        </w:rPr>
      </w:pPr>
      <w:r>
        <w:rPr>
          <w:rFonts w:ascii="宋体" w:hAnsi="宋体" w:cs="宋体" w:hint="eastAsia"/>
          <w:szCs w:val="21"/>
        </w:rPr>
        <w:t>（7）联合体中标后，联合体各方应当共同与采购人签订合同，就中标项目向采购人承担连带责任；</w:t>
      </w:r>
    </w:p>
    <w:p>
      <w:pPr>
        <w:spacing w:line="360" w:lineRule="auto"/>
        <w:rPr>
          <w:rFonts w:ascii="宋体" w:hAnsi="宋体" w:cs="宋体"/>
          <w:szCs w:val="21"/>
        </w:rPr>
      </w:pPr>
      <w:r>
        <w:rPr>
          <w:rFonts w:ascii="宋体" w:hAnsi="宋体" w:cs="宋体" w:hint="eastAsia"/>
          <w:szCs w:val="21"/>
        </w:rPr>
        <w:t>（8）联合体的各方应当共同推荐一联合体投标授权代表方，由联合体各方提交一份授权书，证明其有资格代表联合体各方签署投标文件，该授权书作为投标文件的组成部分一并递交给政府集中采购机构；</w:t>
      </w:r>
    </w:p>
    <w:p>
      <w:pPr>
        <w:spacing w:line="360" w:lineRule="auto"/>
        <w:rPr>
          <w:rFonts w:ascii="宋体" w:hAnsi="宋体" w:cs="宋体"/>
          <w:szCs w:val="21"/>
        </w:rPr>
      </w:pPr>
      <w:r>
        <w:rPr>
          <w:rFonts w:ascii="宋体" w:hAnsi="宋体" w:cs="宋体" w:hint="eastAsia"/>
          <w:szCs w:val="21"/>
        </w:rPr>
        <w:t>（9）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rPr>
          <w:rFonts w:ascii="宋体" w:hAnsi="宋体" w:cs="宋体"/>
          <w:szCs w:val="21"/>
        </w:rPr>
      </w:pPr>
      <w:r>
        <w:rPr>
          <w:rFonts w:ascii="宋体" w:hAnsi="宋体" w:cs="宋体" w:hint="eastAsia"/>
          <w:szCs w:val="21"/>
        </w:rPr>
        <w:t>（10）本通用条款中“投标人”一词亦指联合体各方，专用条款另有规定或说明的除外。</w:t>
      </w:r>
    </w:p>
    <w:p>
      <w:pPr>
        <w:spacing w:line="360" w:lineRule="auto"/>
        <w:rPr>
          <w:rFonts w:ascii="宋体" w:hAnsi="宋体" w:cs="宋体"/>
          <w:szCs w:val="21"/>
        </w:rPr>
      </w:pPr>
      <w:r>
        <w:rPr>
          <w:rFonts w:ascii="宋体" w:hAnsi="宋体" w:cs="宋体" w:hint="eastAsia"/>
          <w:szCs w:val="21"/>
        </w:rPr>
        <w:t>6．政策导向</w:t>
      </w:r>
    </w:p>
    <w:p>
      <w:pPr>
        <w:pStyle w:val="BodyText"/>
        <w:rPr>
          <w:rFonts w:ascii="宋体" w:hAnsi="宋体" w:cs="宋体"/>
          <w:sz w:val="21"/>
          <w:szCs w:val="21"/>
        </w:rPr>
      </w:pPr>
      <w:r>
        <w:rPr>
          <w:rFonts w:ascii="宋体" w:hAnsi="宋体" w:cs="宋体" w:hint="eastAsia"/>
          <w:b w:val="0"/>
          <w:bCs w:val="0"/>
          <w:sz w:val="21"/>
          <w:szCs w:val="21"/>
        </w:rPr>
        <w:t>6.1  政府采购扶持贫困地区、中小企业、监狱企业和残疾人福利性单位发展，根据《财政部 发展改革委 生态环境部 市场监管总局 关于调整优化节能产品、环境标志产品政府采购执行机制的通知》，自2019年4月1日起，对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rPr>
          <w:rFonts w:ascii="宋体" w:hAnsi="宋体" w:cs="宋体"/>
          <w:szCs w:val="21"/>
        </w:rPr>
      </w:pPr>
      <w:r>
        <w:rPr>
          <w:rFonts w:ascii="宋体" w:hAnsi="宋体" w:cs="宋体" w:hint="eastAsia"/>
          <w:szCs w:val="21"/>
        </w:rPr>
        <w:t>6.2  本项目落实深圳市政府采购供应商诚信管理政策要求。</w:t>
      </w:r>
    </w:p>
    <w:p>
      <w:pPr>
        <w:pStyle w:val="BodyText"/>
        <w:rPr>
          <w:rFonts w:ascii="宋体" w:hAnsi="宋体" w:cs="宋体"/>
          <w:b w:val="0"/>
          <w:bCs w:val="0"/>
          <w:sz w:val="21"/>
          <w:szCs w:val="21"/>
        </w:rPr>
      </w:pPr>
      <w:r>
        <w:rPr>
          <w:rFonts w:ascii="宋体" w:hAnsi="宋体" w:cs="宋体" w:hint="eastAsia"/>
          <w:b w:val="0"/>
          <w:bCs w:val="0"/>
          <w:sz w:val="21"/>
          <w:szCs w:val="21"/>
        </w:rPr>
        <w:t>6.3  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pPr>
        <w:spacing w:line="360" w:lineRule="auto"/>
        <w:rPr>
          <w:rFonts w:ascii="宋体" w:hAnsi="宋体" w:cs="宋体"/>
          <w:szCs w:val="21"/>
        </w:rPr>
      </w:pPr>
      <w:r>
        <w:rPr>
          <w:rFonts w:ascii="宋体" w:hAnsi="宋体" w:cs="宋体" w:hint="eastAsia"/>
          <w:szCs w:val="21"/>
        </w:rPr>
        <w:t>7. 本项目若涉及采购货物，则合格的货物及相应服务应满足以下要求：</w:t>
      </w:r>
    </w:p>
    <w:p>
      <w:pPr>
        <w:spacing w:line="360" w:lineRule="auto"/>
        <w:rPr>
          <w:rFonts w:ascii="宋体" w:hAnsi="宋体" w:cs="宋体"/>
          <w:szCs w:val="21"/>
        </w:rPr>
      </w:pPr>
      <w:r>
        <w:rPr>
          <w:rFonts w:ascii="宋体" w:hAnsi="宋体" w:cs="宋体" w:hint="eastAsia"/>
          <w:szCs w:val="21"/>
        </w:rPr>
        <w:t>7.1  必须是全新、未使用过的原装合格正品（包括零部件），如安装或配置了软件的，须为正版软件。</w:t>
      </w:r>
    </w:p>
    <w:p>
      <w:pPr>
        <w:spacing w:line="360" w:lineRule="auto"/>
        <w:rPr>
          <w:rFonts w:ascii="宋体" w:hAnsi="宋体" w:cs="宋体"/>
          <w:szCs w:val="21"/>
        </w:rPr>
      </w:pPr>
      <w:r>
        <w:rPr>
          <w:rFonts w:ascii="宋体" w:hAnsi="宋体" w:cs="宋体" w:hint="eastAsia"/>
          <w:szCs w:val="21"/>
        </w:rPr>
        <w:t>7.2  国产的货物及其有关服务必须符合中华人民共和国的设计、制造生产标准及行业标准。招标公告有其他要求的，亦应符合其要求。</w:t>
      </w:r>
    </w:p>
    <w:p>
      <w:pPr>
        <w:spacing w:line="360" w:lineRule="auto"/>
        <w:rPr>
          <w:rFonts w:ascii="宋体" w:hAnsi="宋体" w:cs="宋体"/>
          <w:szCs w:val="21"/>
        </w:rPr>
      </w:pPr>
      <w:r>
        <w:rPr>
          <w:rFonts w:ascii="宋体" w:hAnsi="宋体" w:cs="宋体" w:hint="eastAsia"/>
          <w:szCs w:val="21"/>
        </w:rPr>
        <w:t>7.3  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rPr>
          <w:rFonts w:ascii="宋体" w:hAnsi="宋体" w:cs="宋体"/>
          <w:szCs w:val="21"/>
        </w:rPr>
      </w:pPr>
      <w:r>
        <w:rPr>
          <w:rFonts w:ascii="宋体" w:hAnsi="宋体" w:cs="宋体" w:hint="eastAsia"/>
          <w:szCs w:val="21"/>
        </w:rPr>
        <w:t>7.4  投标人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spacing w:line="360" w:lineRule="auto"/>
        <w:rPr>
          <w:rFonts w:ascii="宋体" w:hAnsi="宋体" w:cs="宋体"/>
          <w:szCs w:val="21"/>
        </w:rPr>
      </w:pPr>
      <w:r>
        <w:rPr>
          <w:rFonts w:ascii="宋体" w:hAnsi="宋体" w:cs="宋体" w:hint="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rPr>
          <w:rFonts w:ascii="宋体" w:hAnsi="宋体" w:cs="宋体"/>
          <w:szCs w:val="21"/>
        </w:rPr>
      </w:pPr>
      <w:r>
        <w:rPr>
          <w:rFonts w:ascii="宋体" w:hAnsi="宋体" w:cs="宋体" w:hint="eastAsia"/>
          <w:szCs w:val="21"/>
        </w:rPr>
        <w:t>7.6  工期要求：投标人在投标时对其所投项目应提交交货进度、交货计划等，在合同规定的时间内完成项目实施工作。</w:t>
      </w:r>
    </w:p>
    <w:p>
      <w:pPr>
        <w:spacing w:line="360" w:lineRule="auto"/>
        <w:rPr>
          <w:rFonts w:ascii="宋体" w:hAnsi="宋体" w:cs="宋体"/>
          <w:szCs w:val="21"/>
        </w:rPr>
      </w:pPr>
      <w:r>
        <w:rPr>
          <w:rFonts w:ascii="宋体" w:hAnsi="宋体" w:cs="宋体" w:hint="eastAsia"/>
          <w:szCs w:val="21"/>
        </w:rPr>
        <w:t>7.7  投标人必须承担的设备运输、安装调试、验收检测和提供设备操作说明书、图纸等其他相关及类似的义务。</w:t>
      </w:r>
    </w:p>
    <w:p>
      <w:pPr>
        <w:spacing w:line="360" w:lineRule="auto"/>
        <w:rPr>
          <w:rFonts w:ascii="宋体" w:hAnsi="宋体" w:cs="宋体"/>
          <w:szCs w:val="21"/>
        </w:rPr>
      </w:pPr>
      <w:r>
        <w:rPr>
          <w:rFonts w:ascii="宋体" w:hAnsi="宋体" w:cs="宋体" w:hint="eastAsia"/>
          <w:szCs w:val="21"/>
        </w:rPr>
        <w:t>8．投标费用</w:t>
      </w:r>
    </w:p>
    <w:p>
      <w:pPr>
        <w:spacing w:line="360" w:lineRule="auto"/>
        <w:rPr>
          <w:rFonts w:ascii="宋体" w:hAnsi="宋体" w:cs="宋体"/>
          <w:szCs w:val="21"/>
        </w:rPr>
      </w:pPr>
      <w:r>
        <w:rPr>
          <w:rFonts w:ascii="宋体" w:hAnsi="宋体" w:cs="宋体" w:hint="eastAsia"/>
          <w:szCs w:val="21"/>
        </w:rPr>
        <w:t>不论投标结果如何，投标人应承担其编制投标文件与递交投标文件所涉及的一切费用。</w:t>
      </w:r>
    </w:p>
    <w:p>
      <w:pPr>
        <w:spacing w:line="360" w:lineRule="auto"/>
        <w:rPr>
          <w:rFonts w:ascii="宋体" w:hAnsi="宋体" w:cs="宋体"/>
          <w:szCs w:val="21"/>
        </w:rPr>
      </w:pPr>
      <w:r>
        <w:rPr>
          <w:rFonts w:ascii="宋体" w:hAnsi="宋体" w:cs="宋体" w:hint="eastAsia"/>
          <w:szCs w:val="21"/>
        </w:rPr>
        <w:t>9．踏勘现场</w:t>
      </w:r>
    </w:p>
    <w:p>
      <w:pPr>
        <w:spacing w:line="360" w:lineRule="auto"/>
        <w:rPr>
          <w:rFonts w:ascii="宋体" w:hAnsi="宋体" w:cs="宋体"/>
          <w:szCs w:val="21"/>
        </w:rPr>
      </w:pPr>
      <w:r>
        <w:rPr>
          <w:rFonts w:ascii="宋体" w:hAnsi="宋体" w:cs="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rPr>
          <w:rFonts w:ascii="宋体" w:hAnsi="宋体" w:cs="宋体"/>
          <w:szCs w:val="21"/>
        </w:rPr>
      </w:pPr>
      <w:r>
        <w:rPr>
          <w:rFonts w:ascii="宋体" w:hAnsi="宋体" w:cs="宋体" w:hint="eastAsia"/>
          <w:szCs w:val="21"/>
        </w:rPr>
        <w:t>9.2投标人及其人员经过采购人的允许，可以进入采购人的项目现场踏勘。若招标文件要求投标人于统一时间地点踏勘现场的，投标人应当按时前往。</w:t>
      </w:r>
    </w:p>
    <w:p>
      <w:pPr>
        <w:spacing w:line="360" w:lineRule="auto"/>
        <w:rPr>
          <w:rFonts w:ascii="宋体" w:hAnsi="宋体" w:cs="宋体"/>
          <w:szCs w:val="21"/>
        </w:rPr>
      </w:pPr>
      <w:r>
        <w:rPr>
          <w:rFonts w:ascii="宋体" w:hAnsi="宋体" w:cs="宋体" w:hint="eastAsia"/>
          <w:szCs w:val="21"/>
        </w:rPr>
        <w:t>9.3采购人应当通过政府集中采购机构向投标人提供有关现场的书面资料和数据。</w:t>
      </w:r>
    </w:p>
    <w:p>
      <w:pPr>
        <w:spacing w:line="360" w:lineRule="auto"/>
        <w:rPr>
          <w:rFonts w:ascii="宋体" w:hAnsi="宋体" w:cs="宋体"/>
          <w:szCs w:val="21"/>
        </w:rPr>
      </w:pPr>
      <w:r>
        <w:rPr>
          <w:rFonts w:ascii="宋体" w:hAnsi="宋体" w:cs="宋体" w:hint="eastAsia"/>
          <w:szCs w:val="21"/>
        </w:rPr>
        <w:t>9.4任何人或任何组织在踏勘现场时向投标人提供的任何书面资料或口头承诺，未经政府集中采购机构在网上发布或书面通知，均作无效处理。政府集中采购机构对投标人由此而做出的推论、理解和结论概不负责。</w:t>
      </w:r>
    </w:p>
    <w:p>
      <w:pPr>
        <w:spacing w:line="360" w:lineRule="auto"/>
        <w:rPr>
          <w:rFonts w:ascii="宋体" w:hAnsi="宋体" w:cs="宋体"/>
          <w:szCs w:val="21"/>
        </w:rPr>
      </w:pPr>
      <w:r>
        <w:rPr>
          <w:rFonts w:ascii="宋体" w:hAnsi="宋体" w:cs="宋体" w:hint="eastAsia"/>
          <w:szCs w:val="21"/>
        </w:rPr>
        <w:t>9.5未参与踏勘现场不作为否定投标人资格的理由。</w:t>
      </w:r>
    </w:p>
    <w:p>
      <w:pPr>
        <w:spacing w:line="360" w:lineRule="auto"/>
        <w:rPr>
          <w:rFonts w:ascii="宋体" w:hAnsi="宋体" w:cs="宋体"/>
          <w:szCs w:val="21"/>
        </w:rPr>
      </w:pPr>
      <w:r>
        <w:rPr>
          <w:rFonts w:ascii="宋体" w:hAnsi="宋体" w:cs="宋体" w:hint="eastAsia"/>
          <w:szCs w:val="21"/>
        </w:rPr>
        <w:t>10．标前会议</w:t>
      </w:r>
    </w:p>
    <w:p>
      <w:pPr>
        <w:spacing w:line="360" w:lineRule="auto"/>
        <w:rPr>
          <w:rFonts w:ascii="宋体" w:hAnsi="宋体" w:cs="宋体"/>
          <w:szCs w:val="21"/>
        </w:rPr>
      </w:pPr>
      <w:r>
        <w:rPr>
          <w:rFonts w:ascii="宋体" w:hAnsi="宋体" w:cs="宋体" w:hint="eastAsia"/>
          <w:szCs w:val="21"/>
        </w:rPr>
        <w:t>10.1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spacing w:line="360" w:lineRule="auto"/>
        <w:rPr>
          <w:rFonts w:ascii="宋体" w:hAnsi="宋体" w:cs="宋体"/>
          <w:szCs w:val="21"/>
        </w:rPr>
      </w:pPr>
      <w:r>
        <w:rPr>
          <w:rFonts w:ascii="宋体" w:hAnsi="宋体" w:cs="宋体" w:hint="eastAsia"/>
          <w:szCs w:val="21"/>
        </w:rPr>
        <w:t>10.2任何人或任何组织在标前会议时向投标人提供的任何书面资料或口头承诺，未经政府集中采购机构在网上发布或书面通知，均作无效处理。</w:t>
      </w:r>
    </w:p>
    <w:p>
      <w:pPr>
        <w:spacing w:line="360" w:lineRule="auto"/>
        <w:rPr>
          <w:rFonts w:ascii="宋体" w:hAnsi="宋体" w:cs="宋体"/>
        </w:rPr>
      </w:pPr>
      <w:r>
        <w:rPr>
          <w:rFonts w:ascii="宋体" w:hAnsi="宋体" w:cs="宋体" w:hint="eastAsia"/>
          <w:szCs w:val="21"/>
        </w:rPr>
        <w:t>10.3未参与标前会议不作为否定投标人资格的理由。</w:t>
      </w: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招标文件</w:t>
      </w:r>
    </w:p>
    <w:p>
      <w:pPr>
        <w:spacing w:line="360" w:lineRule="auto"/>
        <w:rPr>
          <w:rFonts w:ascii="宋体" w:hAnsi="宋体" w:cs="宋体"/>
          <w:szCs w:val="21"/>
        </w:rPr>
      </w:pPr>
      <w:r>
        <w:rPr>
          <w:rFonts w:ascii="宋体" w:hAnsi="宋体" w:cs="宋体" w:hint="eastAsia"/>
          <w:szCs w:val="21"/>
        </w:rPr>
        <w:t>11．招标文件的编制与组成</w:t>
      </w:r>
    </w:p>
    <w:p>
      <w:pPr>
        <w:snapToGrid w:val="0"/>
        <w:spacing w:line="360" w:lineRule="auto"/>
        <w:rPr>
          <w:rFonts w:ascii="宋体" w:hAnsi="宋体" w:cs="宋体"/>
          <w:szCs w:val="21"/>
        </w:rPr>
      </w:pPr>
      <w:r>
        <w:rPr>
          <w:rFonts w:ascii="宋体" w:hAnsi="宋体" w:cs="宋体" w:hint="eastAsia"/>
          <w:szCs w:val="21"/>
        </w:rPr>
        <w:t>11.1招标文件除以下内容外，政府集中采购机构在招标期间发出的澄清或修改等相关公告或通知内容，均是招标文件的组成部分，对投标人起约束作用；</w:t>
      </w:r>
    </w:p>
    <w:p>
      <w:pPr>
        <w:spacing w:line="360" w:lineRule="auto"/>
        <w:rPr>
          <w:rFonts w:ascii="宋体" w:hAnsi="宋体" w:cs="宋体"/>
          <w:szCs w:val="21"/>
        </w:rPr>
      </w:pPr>
      <w:r>
        <w:rPr>
          <w:rFonts w:ascii="宋体" w:hAnsi="宋体" w:cs="宋体" w:hint="eastAsia"/>
          <w:szCs w:val="21"/>
        </w:rPr>
        <w:t>招标文件包括下列内容：</w:t>
      </w:r>
    </w:p>
    <w:p>
      <w:pPr>
        <w:spacing w:line="360" w:lineRule="auto"/>
        <w:rPr>
          <w:rFonts w:ascii="宋体" w:hAnsi="宋体" w:cs="宋体"/>
          <w:b/>
          <w:szCs w:val="21"/>
        </w:rPr>
      </w:pPr>
      <w:r>
        <w:rPr>
          <w:rFonts w:ascii="宋体" w:hAnsi="宋体" w:cs="宋体" w:hint="eastAsia"/>
          <w:b/>
          <w:szCs w:val="21"/>
        </w:rPr>
        <w:t>第一册  专用条款</w:t>
      </w:r>
    </w:p>
    <w:p>
      <w:pPr>
        <w:spacing w:line="360" w:lineRule="auto"/>
        <w:rPr>
          <w:rFonts w:ascii="宋体" w:hAnsi="宋体" w:cs="宋体"/>
          <w:b/>
          <w:szCs w:val="21"/>
        </w:rPr>
      </w:pPr>
      <w:r>
        <w:rPr>
          <w:rFonts w:ascii="宋体" w:hAnsi="宋体" w:cs="宋体" w:hint="eastAsia"/>
          <w:b/>
          <w:szCs w:val="21"/>
        </w:rPr>
        <w:t>关键信息</w:t>
      </w:r>
    </w:p>
    <w:p>
      <w:pPr>
        <w:spacing w:line="360" w:lineRule="auto"/>
        <w:rPr>
          <w:rFonts w:ascii="宋体" w:hAnsi="宋体" w:cs="宋体"/>
          <w:szCs w:val="21"/>
        </w:rPr>
      </w:pPr>
      <w:r>
        <w:rPr>
          <w:rFonts w:ascii="宋体" w:hAnsi="宋体" w:cs="宋体" w:hint="eastAsia"/>
          <w:szCs w:val="21"/>
        </w:rPr>
        <w:t>第一章  招标公告</w:t>
      </w:r>
    </w:p>
    <w:p>
      <w:pPr>
        <w:spacing w:line="360" w:lineRule="auto"/>
        <w:rPr>
          <w:rFonts w:ascii="宋体" w:hAnsi="宋体" w:cs="宋体"/>
          <w:szCs w:val="21"/>
        </w:rPr>
      </w:pPr>
      <w:r>
        <w:rPr>
          <w:rFonts w:ascii="宋体" w:hAnsi="宋体" w:cs="宋体" w:hint="eastAsia"/>
          <w:szCs w:val="21"/>
        </w:rPr>
        <w:t>第二章  对通用条款的补充内容及其他关键信息</w:t>
      </w:r>
    </w:p>
    <w:p>
      <w:pPr>
        <w:spacing w:line="360" w:lineRule="auto"/>
        <w:rPr>
          <w:rFonts w:ascii="宋体" w:hAnsi="宋体" w:cs="宋体"/>
          <w:szCs w:val="21"/>
        </w:rPr>
      </w:pPr>
      <w:r>
        <w:rPr>
          <w:rFonts w:ascii="宋体" w:hAnsi="宋体" w:cs="宋体" w:hint="eastAsia"/>
          <w:szCs w:val="21"/>
        </w:rPr>
        <w:t>第三章  用户需求书</w:t>
      </w:r>
    </w:p>
    <w:p>
      <w:pPr>
        <w:spacing w:line="360" w:lineRule="auto"/>
        <w:rPr>
          <w:rFonts w:ascii="宋体" w:hAnsi="宋体" w:cs="宋体"/>
          <w:szCs w:val="21"/>
        </w:rPr>
      </w:pPr>
      <w:r>
        <w:rPr>
          <w:rFonts w:ascii="宋体" w:hAnsi="宋体" w:cs="宋体" w:hint="eastAsia"/>
          <w:szCs w:val="21"/>
        </w:rPr>
        <w:t>第四章  投标文件格式及附件</w:t>
      </w:r>
    </w:p>
    <w:p>
      <w:pPr>
        <w:spacing w:line="360" w:lineRule="auto"/>
        <w:rPr>
          <w:rFonts w:ascii="宋体" w:hAnsi="宋体" w:cs="宋体"/>
          <w:szCs w:val="21"/>
        </w:rPr>
      </w:pPr>
      <w:r>
        <w:rPr>
          <w:rFonts w:ascii="宋体" w:hAnsi="宋体" w:cs="宋体" w:hint="eastAsia"/>
          <w:szCs w:val="21"/>
        </w:rPr>
        <w:t>第五章  合同条款及格式</w:t>
      </w:r>
    </w:p>
    <w:p>
      <w:pPr>
        <w:spacing w:line="360" w:lineRule="auto"/>
        <w:rPr>
          <w:rFonts w:ascii="宋体" w:hAnsi="宋体" w:cs="宋体"/>
          <w:b/>
          <w:szCs w:val="21"/>
        </w:rPr>
      </w:pPr>
      <w:r>
        <w:rPr>
          <w:rFonts w:ascii="宋体" w:hAnsi="宋体" w:cs="宋体" w:hint="eastAsia"/>
          <w:b/>
          <w:szCs w:val="21"/>
        </w:rPr>
        <w:t>第二册  通用条款</w:t>
      </w:r>
    </w:p>
    <w:p>
      <w:pPr>
        <w:spacing w:line="360" w:lineRule="auto"/>
        <w:rPr>
          <w:rFonts w:ascii="宋体" w:hAnsi="宋体" w:cs="宋体"/>
          <w:szCs w:val="21"/>
        </w:rPr>
      </w:pPr>
      <w:r>
        <w:rPr>
          <w:rFonts w:ascii="宋体" w:hAnsi="宋体" w:cs="宋体" w:hint="eastAsia"/>
          <w:szCs w:val="21"/>
        </w:rPr>
        <w:t>第一章  总则</w:t>
      </w:r>
    </w:p>
    <w:p>
      <w:pPr>
        <w:spacing w:line="360" w:lineRule="auto"/>
        <w:rPr>
          <w:rFonts w:ascii="宋体" w:hAnsi="宋体" w:cs="宋体"/>
          <w:szCs w:val="21"/>
        </w:rPr>
      </w:pPr>
      <w:r>
        <w:rPr>
          <w:rFonts w:ascii="宋体" w:hAnsi="宋体" w:cs="宋体" w:hint="eastAsia"/>
          <w:szCs w:val="21"/>
        </w:rPr>
        <w:t>第二章  招标文件</w:t>
      </w:r>
    </w:p>
    <w:p>
      <w:pPr>
        <w:spacing w:line="360" w:lineRule="auto"/>
        <w:rPr>
          <w:rFonts w:ascii="宋体" w:hAnsi="宋体" w:cs="宋体"/>
          <w:szCs w:val="21"/>
        </w:rPr>
      </w:pPr>
      <w:r>
        <w:rPr>
          <w:rFonts w:ascii="宋体" w:hAnsi="宋体" w:cs="宋体" w:hint="eastAsia"/>
          <w:szCs w:val="21"/>
        </w:rPr>
        <w:t>第三章  投标文件的编制</w:t>
      </w:r>
    </w:p>
    <w:p>
      <w:pPr>
        <w:spacing w:line="360" w:lineRule="auto"/>
        <w:rPr>
          <w:rFonts w:ascii="宋体" w:hAnsi="宋体" w:cs="宋体"/>
          <w:szCs w:val="21"/>
        </w:rPr>
      </w:pPr>
      <w:r>
        <w:rPr>
          <w:rFonts w:ascii="宋体" w:hAnsi="宋体" w:cs="宋体" w:hint="eastAsia"/>
          <w:szCs w:val="21"/>
        </w:rPr>
        <w:t>第四章  投标文件的递交</w:t>
      </w:r>
    </w:p>
    <w:p>
      <w:pPr>
        <w:spacing w:line="360" w:lineRule="auto"/>
        <w:rPr>
          <w:rFonts w:ascii="宋体" w:hAnsi="宋体" w:cs="宋体"/>
          <w:szCs w:val="21"/>
        </w:rPr>
      </w:pPr>
      <w:r>
        <w:rPr>
          <w:rFonts w:ascii="宋体" w:hAnsi="宋体" w:cs="宋体" w:hint="eastAsia"/>
          <w:szCs w:val="21"/>
        </w:rPr>
        <w:t>第五章  开标</w:t>
      </w:r>
    </w:p>
    <w:p>
      <w:pPr>
        <w:spacing w:line="360" w:lineRule="auto"/>
        <w:rPr>
          <w:rFonts w:ascii="宋体" w:hAnsi="宋体" w:cs="宋体"/>
          <w:szCs w:val="21"/>
        </w:rPr>
      </w:pPr>
      <w:r>
        <w:rPr>
          <w:rFonts w:ascii="宋体" w:hAnsi="宋体" w:cs="宋体" w:hint="eastAsia"/>
          <w:szCs w:val="21"/>
        </w:rPr>
        <w:t>第六章  评审要求</w:t>
      </w:r>
    </w:p>
    <w:p>
      <w:pPr>
        <w:spacing w:line="360" w:lineRule="auto"/>
        <w:rPr>
          <w:rFonts w:ascii="宋体" w:hAnsi="宋体" w:cs="宋体"/>
          <w:szCs w:val="21"/>
        </w:rPr>
      </w:pPr>
      <w:r>
        <w:rPr>
          <w:rFonts w:ascii="宋体" w:hAnsi="宋体" w:cs="宋体" w:hint="eastAsia"/>
          <w:szCs w:val="21"/>
        </w:rPr>
        <w:t>第七章  评审程序及评审方法</w:t>
      </w:r>
    </w:p>
    <w:p>
      <w:pPr>
        <w:spacing w:line="360" w:lineRule="auto"/>
        <w:rPr>
          <w:rFonts w:ascii="宋体" w:hAnsi="宋体" w:cs="宋体"/>
          <w:szCs w:val="21"/>
        </w:rPr>
      </w:pPr>
      <w:r>
        <w:rPr>
          <w:rFonts w:ascii="宋体" w:hAnsi="宋体" w:cs="宋体" w:hint="eastAsia"/>
          <w:szCs w:val="21"/>
        </w:rPr>
        <w:t>第八章  定标及公示</w:t>
      </w:r>
    </w:p>
    <w:p>
      <w:pPr>
        <w:spacing w:line="360" w:lineRule="auto"/>
        <w:rPr>
          <w:rFonts w:ascii="宋体" w:hAnsi="宋体" w:cs="宋体"/>
          <w:szCs w:val="21"/>
        </w:rPr>
      </w:pPr>
      <w:r>
        <w:rPr>
          <w:rFonts w:ascii="宋体" w:hAnsi="宋体" w:cs="宋体" w:hint="eastAsia"/>
          <w:szCs w:val="21"/>
        </w:rPr>
        <w:t>第九章  公开招标失败的后续处理</w:t>
      </w:r>
    </w:p>
    <w:p>
      <w:pPr>
        <w:spacing w:line="360" w:lineRule="auto"/>
        <w:rPr>
          <w:rFonts w:ascii="宋体" w:hAnsi="宋体" w:cs="宋体"/>
          <w:szCs w:val="21"/>
        </w:rPr>
      </w:pPr>
      <w:r>
        <w:rPr>
          <w:rFonts w:ascii="宋体" w:hAnsi="宋体" w:cs="宋体" w:hint="eastAsia"/>
          <w:szCs w:val="21"/>
        </w:rPr>
        <w:t>第十章  合同的授予与备案</w:t>
      </w:r>
    </w:p>
    <w:p>
      <w:pPr>
        <w:spacing w:line="360" w:lineRule="auto"/>
        <w:rPr>
          <w:rFonts w:ascii="宋体" w:hAnsi="宋体" w:cs="宋体"/>
          <w:szCs w:val="21"/>
        </w:rPr>
      </w:pPr>
      <w:r>
        <w:rPr>
          <w:rFonts w:ascii="宋体" w:hAnsi="宋体" w:cs="宋体" w:hint="eastAsia"/>
          <w:szCs w:val="21"/>
        </w:rPr>
        <w:t>第十一章  质疑处理</w:t>
      </w:r>
    </w:p>
    <w:p>
      <w:pPr>
        <w:spacing w:line="360" w:lineRule="auto"/>
        <w:rPr>
          <w:rFonts w:ascii="宋体" w:hAnsi="宋体" w:cs="宋体"/>
          <w:szCs w:val="21"/>
        </w:rPr>
      </w:pPr>
      <w:r>
        <w:rPr>
          <w:rFonts w:ascii="宋体" w:hAnsi="宋体" w:cs="宋体" w:hint="eastAsia"/>
          <w:szCs w:val="21"/>
        </w:rPr>
        <w:t>11.2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rPr>
          <w:rFonts w:ascii="宋体" w:hAnsi="宋体" w:cs="宋体"/>
          <w:szCs w:val="21"/>
        </w:rPr>
      </w:pPr>
      <w:r>
        <w:rPr>
          <w:rFonts w:ascii="宋体" w:hAnsi="宋体" w:cs="宋体" w:hint="eastAsia"/>
          <w:szCs w:val="21"/>
        </w:rPr>
        <w:t>11.3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spacing w:line="360" w:lineRule="auto"/>
        <w:rPr>
          <w:rFonts w:ascii="宋体" w:hAnsi="宋体" w:cs="宋体"/>
          <w:szCs w:val="21"/>
        </w:rPr>
      </w:pPr>
      <w:r>
        <w:rPr>
          <w:rFonts w:ascii="宋体" w:hAnsi="宋体" w:cs="宋体" w:hint="eastAsia"/>
          <w:szCs w:val="21"/>
        </w:rPr>
        <w:t>12．招标文件的澄清</w:t>
      </w:r>
    </w:p>
    <w:p>
      <w:pPr>
        <w:spacing w:line="360" w:lineRule="auto"/>
        <w:rPr>
          <w:rFonts w:ascii="宋体" w:hAnsi="宋体" w:cs="宋体"/>
          <w:szCs w:val="21"/>
        </w:rPr>
      </w:pPr>
      <w:r>
        <w:rPr>
          <w:rFonts w:ascii="宋体" w:hAnsi="宋体" w:cs="宋体" w:hint="eastAsia"/>
          <w:szCs w:val="21"/>
        </w:rPr>
        <w:t>12.1招标文件澄清的目的是澄清、解答投标人在查阅招标文件后或现场踏勘中可能提出的与投标有关的疑问或询问。</w:t>
      </w:r>
    </w:p>
    <w:p>
      <w:pPr>
        <w:spacing w:line="360" w:lineRule="auto"/>
        <w:rPr>
          <w:rFonts w:ascii="宋体" w:hAnsi="宋体" w:cs="宋体"/>
          <w:szCs w:val="21"/>
        </w:rPr>
      </w:pPr>
      <w:r>
        <w:rPr>
          <w:rFonts w:ascii="宋体" w:hAnsi="宋体" w:cs="宋体" w:hint="eastAsia"/>
          <w:szCs w:val="21"/>
        </w:rPr>
        <w:t>12.2投标人如对招标文件内容有疑问，应当在招标公告规定的澄清（提问）截止时间前以网上提问的形式通过网上政府采购系统提交政府集中采购机构。</w:t>
      </w:r>
    </w:p>
    <w:p>
      <w:pPr>
        <w:spacing w:line="360" w:lineRule="auto"/>
        <w:rPr>
          <w:rFonts w:ascii="宋体" w:hAnsi="宋体" w:cs="宋体"/>
          <w:szCs w:val="21"/>
        </w:rPr>
      </w:pPr>
      <w:r>
        <w:rPr>
          <w:rFonts w:ascii="宋体" w:hAnsi="宋体" w:cs="宋体" w:hint="eastAsia"/>
          <w:szCs w:val="21"/>
        </w:rPr>
        <w:t>12.3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13.3、13.4款规定执行。</w:t>
      </w:r>
    </w:p>
    <w:p>
      <w:pPr>
        <w:spacing w:line="360" w:lineRule="auto"/>
        <w:rPr>
          <w:rFonts w:ascii="宋体" w:hAnsi="宋体" w:cs="宋体"/>
          <w:szCs w:val="21"/>
        </w:rPr>
      </w:pPr>
      <w:r>
        <w:rPr>
          <w:rFonts w:ascii="宋体" w:hAnsi="宋体" w:cs="宋体" w:hint="eastAsia"/>
          <w:szCs w:val="21"/>
        </w:rPr>
        <w:t>13．招标文件的修改</w:t>
      </w:r>
    </w:p>
    <w:p>
      <w:pPr>
        <w:spacing w:line="360" w:lineRule="auto"/>
        <w:rPr>
          <w:rFonts w:ascii="宋体" w:hAnsi="宋体" w:cs="宋体"/>
          <w:szCs w:val="21"/>
        </w:rPr>
      </w:pPr>
      <w:r>
        <w:rPr>
          <w:rFonts w:ascii="宋体" w:hAnsi="宋体" w:cs="宋体" w:hint="eastAsia"/>
          <w:szCs w:val="21"/>
        </w:rPr>
        <w:t>13.1招标文件发出后，在投标截止日期前任何时候，确需要变更招标文件内容的，政府集中采购机构可主动或在解答投标人提出的澄清问题时对招标文件进行修改。</w:t>
      </w:r>
    </w:p>
    <w:p>
      <w:pPr>
        <w:spacing w:line="360" w:lineRule="auto"/>
        <w:rPr>
          <w:rFonts w:ascii="宋体" w:hAnsi="宋体" w:cs="宋体"/>
          <w:szCs w:val="21"/>
        </w:rPr>
      </w:pPr>
      <w:r>
        <w:rPr>
          <w:rFonts w:ascii="宋体" w:hAnsi="宋体" w:cs="宋体" w:hint="eastAsia"/>
          <w:szCs w:val="21"/>
        </w:rPr>
        <w:t>13.2招标文件的修改以书面形式（包括政府集中采购机构网站发布方式，如更正公告等）发送给所有投标人，招标文件的修改内容作为招标文件的组成部分，并具有约束力。</w:t>
      </w:r>
    </w:p>
    <w:p>
      <w:pPr>
        <w:spacing w:line="360" w:lineRule="auto"/>
        <w:rPr>
          <w:rFonts w:ascii="宋体" w:hAnsi="宋体" w:cs="宋体"/>
          <w:szCs w:val="21"/>
        </w:rPr>
      </w:pPr>
      <w:r>
        <w:rPr>
          <w:rFonts w:ascii="宋体" w:hAnsi="宋体" w:cs="宋体" w:hint="eastAsia"/>
          <w:szCs w:val="21"/>
        </w:rPr>
        <w:t>13.3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spacing w:line="360" w:lineRule="auto"/>
        <w:rPr>
          <w:rFonts w:ascii="宋体" w:hAnsi="宋体" w:cs="宋体"/>
          <w:szCs w:val="21"/>
        </w:rPr>
      </w:pPr>
      <w:r>
        <w:rPr>
          <w:rFonts w:ascii="宋体" w:hAnsi="宋体" w:cs="宋体" w:hint="eastAsia"/>
          <w:szCs w:val="21"/>
        </w:rPr>
        <w:t>13.4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p>
    <w:p>
      <w:pPr>
        <w:spacing w:line="360" w:lineRule="auto"/>
        <w:rPr>
          <w:rFonts w:ascii="宋体" w:hAnsi="宋体" w:cs="宋体"/>
          <w:szCs w:val="21"/>
        </w:rPr>
      </w:pP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投标文件的编制</w:t>
      </w:r>
    </w:p>
    <w:p>
      <w:pPr>
        <w:spacing w:line="360" w:lineRule="auto"/>
        <w:rPr>
          <w:rFonts w:ascii="宋体" w:hAnsi="宋体" w:cs="宋体"/>
          <w:szCs w:val="21"/>
        </w:rPr>
      </w:pPr>
      <w:r>
        <w:rPr>
          <w:rFonts w:ascii="宋体" w:hAnsi="宋体" w:cs="宋体" w:hint="eastAsia"/>
          <w:szCs w:val="21"/>
        </w:rPr>
        <w:t>14．投标文件的语言及度量单位</w:t>
      </w:r>
    </w:p>
    <w:p>
      <w:pPr>
        <w:spacing w:line="360" w:lineRule="auto"/>
        <w:rPr>
          <w:rFonts w:ascii="宋体" w:hAnsi="宋体" w:cs="宋体"/>
          <w:szCs w:val="21"/>
        </w:rPr>
      </w:pPr>
      <w:r>
        <w:rPr>
          <w:rFonts w:ascii="宋体" w:hAnsi="宋体" w:cs="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rPr>
          <w:rFonts w:ascii="宋体" w:hAnsi="宋体" w:cs="宋体"/>
          <w:szCs w:val="21"/>
        </w:rPr>
      </w:pPr>
      <w:r>
        <w:rPr>
          <w:rFonts w:ascii="宋体" w:hAnsi="宋体" w:cs="宋体" w:hint="eastAsia"/>
          <w:szCs w:val="21"/>
        </w:rPr>
        <w:t>14.2 除技术规范另有规定外，投标文件使用的度量单位，均采用中华人民共和国法定计量单位。</w:t>
      </w:r>
    </w:p>
    <w:p>
      <w:pPr>
        <w:spacing w:line="360" w:lineRule="auto"/>
        <w:rPr>
          <w:rFonts w:ascii="宋体" w:hAnsi="宋体" w:cs="宋体"/>
          <w:szCs w:val="21"/>
        </w:rPr>
      </w:pPr>
      <w:r>
        <w:rPr>
          <w:rFonts w:ascii="宋体" w:hAnsi="宋体" w:cs="宋体" w:hint="eastAsia"/>
          <w:szCs w:val="21"/>
        </w:rPr>
        <w:t>15．投标文件的组成</w:t>
      </w:r>
    </w:p>
    <w:p>
      <w:pPr>
        <w:spacing w:line="360" w:lineRule="auto"/>
        <w:rPr>
          <w:rFonts w:ascii="宋体" w:hAnsi="宋体" w:cs="宋体"/>
          <w:szCs w:val="21"/>
        </w:rPr>
      </w:pPr>
      <w:r>
        <w:rPr>
          <w:rFonts w:ascii="宋体" w:hAnsi="宋体" w:cs="宋体" w:hint="eastAsia"/>
          <w:szCs w:val="21"/>
        </w:rPr>
        <w:t>具体内容在招标文件专用条款中进行规定。</w:t>
      </w:r>
    </w:p>
    <w:p>
      <w:pPr>
        <w:spacing w:line="360" w:lineRule="auto"/>
        <w:rPr>
          <w:rFonts w:ascii="宋体" w:hAnsi="宋体" w:cs="宋体"/>
          <w:szCs w:val="21"/>
        </w:rPr>
      </w:pPr>
      <w:r>
        <w:rPr>
          <w:rFonts w:ascii="宋体" w:hAnsi="宋体" w:cs="宋体" w:hint="eastAsia"/>
          <w:szCs w:val="21"/>
        </w:rPr>
        <w:t>16．投标文件格式</w:t>
      </w:r>
    </w:p>
    <w:p>
      <w:pPr>
        <w:spacing w:line="360" w:lineRule="auto"/>
        <w:rPr>
          <w:rFonts w:ascii="宋体" w:hAnsi="宋体" w:cs="宋体"/>
          <w:szCs w:val="21"/>
        </w:rPr>
      </w:pPr>
      <w:r>
        <w:rPr>
          <w:rFonts w:ascii="宋体" w:hAnsi="宋体" w:cs="宋体" w:hint="eastAsia"/>
          <w:szCs w:val="21"/>
        </w:rPr>
        <w:t>投标文件包括本通用条款第15条中规定的内容。如招标文件提供了投标文件格式，则</w:t>
      </w:r>
      <w:r>
        <w:rPr>
          <w:rFonts w:ascii="宋体" w:hAnsi="宋体" w:cs="宋体" w:hint="eastAsia"/>
          <w:b/>
          <w:bCs/>
          <w:szCs w:val="21"/>
        </w:rPr>
        <w:t>投标人提交的投标文件应毫无例外地使用招标文件所提供的相应格式</w:t>
      </w:r>
      <w:r>
        <w:rPr>
          <w:rFonts w:ascii="宋体" w:hAnsi="宋体" w:cs="宋体" w:hint="eastAsia"/>
          <w:szCs w:val="21"/>
        </w:rPr>
        <w:t>（表格均可按同样格式扩展）。</w:t>
      </w:r>
    </w:p>
    <w:p>
      <w:pPr>
        <w:spacing w:line="360" w:lineRule="auto"/>
        <w:rPr>
          <w:rFonts w:ascii="宋体" w:hAnsi="宋体" w:cs="宋体"/>
          <w:szCs w:val="21"/>
        </w:rPr>
      </w:pPr>
      <w:r>
        <w:rPr>
          <w:rFonts w:ascii="宋体" w:hAnsi="宋体" w:cs="宋体" w:hint="eastAsia"/>
          <w:szCs w:val="21"/>
        </w:rPr>
        <w:t>17．投标货币</w:t>
      </w:r>
    </w:p>
    <w:p>
      <w:pPr>
        <w:spacing w:line="360" w:lineRule="auto"/>
        <w:rPr>
          <w:rFonts w:ascii="宋体" w:hAnsi="宋体" w:cs="宋体"/>
          <w:szCs w:val="21"/>
        </w:rPr>
      </w:pPr>
      <w:r>
        <w:rPr>
          <w:rFonts w:ascii="宋体" w:hAnsi="宋体" w:cs="宋体" w:hint="eastAsia"/>
          <w:szCs w:val="21"/>
        </w:rPr>
        <w:t>本项目的投标报价应以人民币计。</w:t>
      </w:r>
    </w:p>
    <w:p>
      <w:pPr>
        <w:spacing w:line="360" w:lineRule="auto"/>
        <w:rPr>
          <w:rFonts w:ascii="宋体" w:hAnsi="宋体" w:cs="宋体"/>
          <w:szCs w:val="21"/>
        </w:rPr>
      </w:pPr>
      <w:r>
        <w:rPr>
          <w:rFonts w:ascii="宋体" w:hAnsi="宋体" w:cs="宋体" w:hint="eastAsia"/>
          <w:szCs w:val="21"/>
        </w:rPr>
        <w:t>18．证明投标文件投标技术方案的合格性和符合招标文件规定的文件要求</w:t>
      </w:r>
    </w:p>
    <w:p>
      <w:pPr>
        <w:spacing w:line="360" w:lineRule="auto"/>
        <w:rPr>
          <w:rFonts w:ascii="宋体" w:hAnsi="宋体" w:cs="宋体"/>
          <w:szCs w:val="21"/>
        </w:rPr>
      </w:pPr>
      <w:r>
        <w:rPr>
          <w:rFonts w:ascii="宋体" w:hAnsi="宋体" w:cs="宋体" w:hint="eastAsia"/>
          <w:szCs w:val="21"/>
        </w:rPr>
        <w:t>18.1 投标人应提交证明文件，证明其投标技术方案项下的货物、工程和服务的合格性符合招标文件规定。该投标技术方案及其证明文件均作为投标文件组成部分。</w:t>
      </w:r>
    </w:p>
    <w:p>
      <w:pPr>
        <w:spacing w:line="360" w:lineRule="auto"/>
        <w:rPr>
          <w:rFonts w:ascii="宋体" w:hAnsi="宋体" w:cs="宋体"/>
          <w:szCs w:val="21"/>
        </w:rPr>
      </w:pPr>
      <w:r>
        <w:rPr>
          <w:rFonts w:ascii="宋体" w:hAnsi="宋体" w:cs="宋体" w:hint="eastAsia"/>
          <w:szCs w:val="21"/>
        </w:rPr>
        <w:t>18.2 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rPr>
          <w:rFonts w:ascii="宋体" w:hAnsi="宋体" w:cs="宋体"/>
          <w:szCs w:val="21"/>
        </w:rPr>
      </w:pPr>
      <w:r>
        <w:rPr>
          <w:rFonts w:ascii="宋体" w:hAnsi="宋体" w:cs="宋体" w:hint="eastAsia"/>
          <w:szCs w:val="21"/>
        </w:rPr>
        <w:t>18.2.1主要技术指标和性能的详细说明。</w:t>
      </w:r>
    </w:p>
    <w:p>
      <w:pPr>
        <w:spacing w:line="360" w:lineRule="auto"/>
        <w:rPr>
          <w:rFonts w:ascii="宋体" w:hAnsi="宋体" w:cs="宋体"/>
          <w:szCs w:val="21"/>
        </w:rPr>
      </w:pPr>
      <w:r>
        <w:rPr>
          <w:rFonts w:ascii="宋体" w:hAnsi="宋体" w:cs="宋体" w:hint="eastAsia"/>
          <w:szCs w:val="21"/>
        </w:rPr>
        <w:t>18.2.2投标产品从采购人开始使用至招标文件中规定的周期内正常、连续地使用所必须的备件和专用工具清单，包括备件和专用工具的货源及现行价格。</w:t>
      </w:r>
    </w:p>
    <w:p>
      <w:pPr>
        <w:spacing w:line="360" w:lineRule="auto"/>
        <w:rPr>
          <w:rFonts w:ascii="宋体" w:hAnsi="宋体" w:cs="宋体"/>
          <w:szCs w:val="21"/>
        </w:rPr>
      </w:pPr>
      <w:r>
        <w:rPr>
          <w:rFonts w:ascii="宋体" w:hAnsi="宋体" w:cs="宋体" w:hint="eastAsia"/>
          <w:szCs w:val="21"/>
        </w:rPr>
        <w:t>18.2.3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rPr>
          <w:rFonts w:ascii="宋体" w:hAnsi="宋体" w:cs="宋体"/>
          <w:szCs w:val="21"/>
        </w:rPr>
      </w:pPr>
      <w:r>
        <w:rPr>
          <w:rFonts w:ascii="宋体" w:hAnsi="宋体" w:cs="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rPr>
          <w:rFonts w:ascii="宋体" w:hAnsi="宋体" w:cs="宋体"/>
          <w:szCs w:val="21"/>
        </w:rPr>
      </w:pPr>
      <w:r>
        <w:rPr>
          <w:rFonts w:ascii="宋体" w:hAnsi="宋体" w:cs="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rPr>
          <w:rFonts w:ascii="宋体" w:hAnsi="宋体" w:cs="宋体"/>
          <w:szCs w:val="21"/>
        </w:rPr>
      </w:pPr>
      <w:r>
        <w:rPr>
          <w:rFonts w:ascii="宋体" w:hAnsi="宋体" w:cs="宋体" w:hint="eastAsia"/>
          <w:szCs w:val="21"/>
        </w:rPr>
        <w:t>18.3相关资料不符合18.2款要求的，评审委员会有权认定为投标技术方案不合格响应，其相关分数予以扣减或作投标无效处理。</w:t>
      </w:r>
    </w:p>
    <w:p>
      <w:pPr>
        <w:spacing w:line="360" w:lineRule="auto"/>
        <w:rPr>
          <w:rFonts w:ascii="宋体" w:hAnsi="宋体" w:cs="宋体"/>
          <w:szCs w:val="21"/>
        </w:rPr>
      </w:pPr>
      <w:r>
        <w:rPr>
          <w:rFonts w:ascii="宋体" w:hAnsi="宋体" w:cs="宋体" w:hint="eastAsia"/>
          <w:szCs w:val="21"/>
        </w:rPr>
        <w:t>18.4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rPr>
          <w:rFonts w:ascii="宋体" w:hAnsi="宋体" w:cs="宋体"/>
          <w:szCs w:val="21"/>
        </w:rPr>
      </w:pPr>
      <w:r>
        <w:rPr>
          <w:rFonts w:ascii="宋体" w:hAnsi="宋体" w:cs="宋体" w:hint="eastAsia"/>
          <w:szCs w:val="21"/>
        </w:rPr>
        <w:t>18.5除非另有规定或说明，投标人对同一项目投标时，不得同时提供两套或两套以上的投标方案。</w:t>
      </w:r>
    </w:p>
    <w:p>
      <w:pPr>
        <w:spacing w:line="360" w:lineRule="auto"/>
        <w:rPr>
          <w:rFonts w:ascii="宋体" w:hAnsi="宋体" w:cs="宋体"/>
          <w:szCs w:val="21"/>
        </w:rPr>
      </w:pPr>
      <w:r>
        <w:rPr>
          <w:rFonts w:ascii="宋体" w:hAnsi="宋体" w:cs="宋体" w:hint="eastAsia"/>
          <w:szCs w:val="21"/>
        </w:rPr>
        <w:t>19．投标文件其他证明文件的要求</w:t>
      </w:r>
    </w:p>
    <w:p>
      <w:pPr>
        <w:spacing w:line="360" w:lineRule="auto"/>
        <w:rPr>
          <w:rFonts w:ascii="宋体" w:hAnsi="宋体" w:cs="宋体"/>
          <w:color w:val="FF0000"/>
          <w:szCs w:val="21"/>
        </w:rPr>
      </w:pPr>
      <w:r>
        <w:rPr>
          <w:rFonts w:ascii="宋体" w:hAnsi="宋体" w:cs="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p>
    <w:p>
      <w:pPr>
        <w:spacing w:line="360" w:lineRule="auto"/>
        <w:rPr>
          <w:rFonts w:ascii="宋体" w:hAnsi="宋体" w:cs="宋体"/>
          <w:szCs w:val="21"/>
        </w:rPr>
      </w:pPr>
      <w:r>
        <w:rPr>
          <w:rFonts w:ascii="宋体" w:hAnsi="宋体" w:cs="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宋体" w:hAnsi="宋体" w:cs="宋体"/>
          <w:szCs w:val="21"/>
        </w:rPr>
      </w:pPr>
      <w:r>
        <w:rPr>
          <w:rFonts w:ascii="宋体" w:hAnsi="宋体" w:cs="宋体" w:hint="eastAsia"/>
          <w:szCs w:val="21"/>
        </w:rPr>
        <w:t>20．投标有效期</w:t>
      </w:r>
    </w:p>
    <w:p>
      <w:pPr>
        <w:spacing w:line="360" w:lineRule="auto"/>
        <w:rPr>
          <w:rFonts w:ascii="宋体" w:hAnsi="宋体" w:cs="宋体"/>
          <w:szCs w:val="21"/>
        </w:rPr>
      </w:pPr>
      <w:r>
        <w:rPr>
          <w:rFonts w:ascii="宋体" w:hAnsi="宋体" w:cs="宋体" w:hint="eastAsia"/>
          <w:szCs w:val="21"/>
        </w:rPr>
        <w:t>20.1 投标有效期为从投标截止之日算起的日历天数，具体见专用条款中投标有效期的天数要求。在此期限内，所有投标文件均保持有效。</w:t>
      </w:r>
    </w:p>
    <w:p>
      <w:pPr>
        <w:spacing w:line="360" w:lineRule="auto"/>
        <w:rPr>
          <w:rFonts w:ascii="宋体" w:hAnsi="宋体" w:cs="宋体"/>
          <w:szCs w:val="21"/>
        </w:rPr>
      </w:pPr>
      <w:r>
        <w:rPr>
          <w:rFonts w:ascii="宋体" w:hAnsi="宋体" w:cs="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spacing w:line="360" w:lineRule="auto"/>
        <w:rPr>
          <w:rFonts w:ascii="宋体" w:hAnsi="宋体" w:cs="宋体"/>
          <w:szCs w:val="21"/>
        </w:rPr>
      </w:pPr>
      <w:r>
        <w:rPr>
          <w:rFonts w:ascii="宋体" w:hAnsi="宋体" w:cs="宋体" w:hint="eastAsia"/>
          <w:szCs w:val="21"/>
        </w:rPr>
        <w:t>20.3 中标供应商的投标文件有效期，截止于完成本招标文件规定的全部项目内容，并通过竣工验收及保修期结束。</w:t>
      </w:r>
    </w:p>
    <w:p>
      <w:pPr>
        <w:spacing w:line="360" w:lineRule="auto"/>
        <w:rPr>
          <w:rFonts w:ascii="宋体" w:hAnsi="宋体" w:cs="宋体"/>
          <w:szCs w:val="21"/>
        </w:rPr>
      </w:pPr>
      <w:r>
        <w:rPr>
          <w:rFonts w:ascii="宋体" w:hAnsi="宋体" w:cs="宋体" w:hint="eastAsia"/>
          <w:szCs w:val="21"/>
        </w:rPr>
        <w:t xml:space="preserve">21．关于投标保证金 </w:t>
      </w:r>
    </w:p>
    <w:p>
      <w:pPr>
        <w:spacing w:line="360" w:lineRule="auto"/>
        <w:rPr>
          <w:rFonts w:ascii="宋体" w:hAnsi="宋体" w:cs="宋体"/>
          <w:szCs w:val="21"/>
        </w:rPr>
      </w:pPr>
      <w:r>
        <w:rPr>
          <w:rFonts w:ascii="宋体" w:hAnsi="宋体" w:cs="宋体" w:hint="eastAsia"/>
          <w:szCs w:val="21"/>
        </w:rPr>
        <w:t>21.1 根据《深圳市财政局关于调整政府采购投标（响应）保证金管理政策的通知》（深财购〔2021〕51号），明确对重大采购项目，即单个项目预算金额或打包采购项目预算总金额1000万元（含）以上的项目，或预算金额未达到1000万元但涉及民生、社会影响较大的项目，采购人可综合考虑项目情况、供应商资信状况、市场供需关系等自主选择是否收取投标（响应）保证金。本项目不收取投标保证金。允许供应商自主选择以支票、汇票、本票、保函等非现金形式缴纳或提交投标保证金。</w:t>
      </w:r>
    </w:p>
    <w:p>
      <w:pPr>
        <w:spacing w:line="360" w:lineRule="auto"/>
        <w:rPr>
          <w:rFonts w:ascii="宋体" w:hAnsi="宋体" w:cs="宋体"/>
          <w:szCs w:val="21"/>
        </w:rPr>
      </w:pPr>
      <w:r>
        <w:rPr>
          <w:rFonts w:ascii="宋体" w:hAnsi="宋体" w:cs="宋体" w:hint="eastAsia"/>
          <w:szCs w:val="21"/>
        </w:rPr>
        <w:t>22．投标人的替代方案</w:t>
      </w:r>
    </w:p>
    <w:p>
      <w:pPr>
        <w:spacing w:line="360" w:lineRule="auto"/>
        <w:rPr>
          <w:rFonts w:ascii="宋体" w:hAnsi="宋体" w:cs="宋体"/>
          <w:szCs w:val="21"/>
        </w:rPr>
      </w:pPr>
      <w:r>
        <w:rPr>
          <w:rFonts w:ascii="宋体" w:hAnsi="宋体" w:cs="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rPr>
          <w:rFonts w:ascii="宋体" w:hAnsi="宋体" w:cs="宋体"/>
          <w:szCs w:val="21"/>
        </w:rPr>
      </w:pPr>
      <w:r>
        <w:rPr>
          <w:rFonts w:ascii="宋体" w:hAnsi="宋体" w:cs="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宋体" w:hAnsi="宋体" w:cs="宋体"/>
          <w:szCs w:val="21"/>
        </w:rPr>
      </w:pPr>
      <w:r>
        <w:rPr>
          <w:rFonts w:ascii="宋体" w:hAnsi="宋体" w:cs="宋体" w:hint="eastAsia"/>
          <w:szCs w:val="21"/>
        </w:rPr>
        <w:t>23．投标文件的制作要求</w:t>
      </w:r>
    </w:p>
    <w:p>
      <w:pPr>
        <w:spacing w:line="360" w:lineRule="auto"/>
        <w:rPr>
          <w:rFonts w:ascii="宋体" w:hAnsi="宋体" w:cs="宋体"/>
        </w:rPr>
      </w:pPr>
      <w:r>
        <w:rPr>
          <w:rFonts w:ascii="宋体" w:hAnsi="宋体" w:cs="宋体" w:hint="eastAsia"/>
        </w:rPr>
        <w:t>23.1投标人应准备所投项目的电子投标文件一份。此电子投标文件须由投标人根据政府集中采购机构提供的后缀名为.szczf的电子招标文件，下载并使用相应的深圳智慧采购平台投标文件制作专用软件打开招标文件（.szczf格式）【下载地址：http://zfcg.szggzy.com/TPBidder/DownLoad/深圳市智慧采购平台投标文件制作专用软件.zip】。</w:t>
      </w:r>
    </w:p>
    <w:p>
      <w:pPr>
        <w:spacing w:line="360" w:lineRule="auto"/>
        <w:rPr>
          <w:rFonts w:ascii="宋体" w:hAnsi="宋体" w:cs="宋体"/>
        </w:rPr>
      </w:pPr>
      <w:r>
        <w:rPr>
          <w:rFonts w:ascii="宋体" w:hAnsi="宋体" w:cs="宋体" w:hint="eastAsia"/>
        </w:rPr>
        <w:t>23.2投标人在使用《投标文件制作软件》编制投标书时须注意：</w:t>
      </w:r>
    </w:p>
    <w:p>
      <w:pPr>
        <w:spacing w:line="360" w:lineRule="auto"/>
        <w:rPr>
          <w:rFonts w:ascii="宋体" w:hAnsi="宋体" w:cs="宋体"/>
        </w:rPr>
      </w:pPr>
      <w:r>
        <w:rPr>
          <w:rFonts w:ascii="宋体" w:hAnsi="宋体" w:cs="宋体" w:hint="eastAsia"/>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rPr>
          <w:rFonts w:ascii="宋体" w:hAnsi="宋体" w:cs="宋体"/>
        </w:rPr>
      </w:pPr>
      <w:r>
        <w:rPr>
          <w:rFonts w:ascii="宋体" w:hAnsi="宋体" w:cs="宋体" w:hint="eastAsia"/>
        </w:rPr>
        <w:t>23.2.2不能用非本公司的电子密钥加密本公司的投标文件，或者用其它公司的登录用户上传本公司的投标文件。</w:t>
      </w:r>
    </w:p>
    <w:p>
      <w:pPr>
        <w:spacing w:line="360" w:lineRule="auto"/>
        <w:rPr>
          <w:rFonts w:ascii="宋体" w:hAnsi="宋体" w:cs="宋体"/>
        </w:rPr>
      </w:pPr>
      <w:r>
        <w:rPr>
          <w:rFonts w:ascii="宋体" w:hAnsi="宋体" w:cs="宋体" w:hint="eastAsia"/>
        </w:rPr>
        <w:t>23.2.3要求用《投标文件制作软件》编制投标书的包，不能用其它方式编制投标书。编制投标文件时，电脑须连通互联网。</w:t>
      </w:r>
    </w:p>
    <w:p>
      <w:pPr>
        <w:spacing w:line="360" w:lineRule="auto"/>
        <w:rPr>
          <w:rFonts w:ascii="宋体" w:hAnsi="宋体" w:cs="宋体"/>
        </w:rPr>
      </w:pPr>
      <w:r>
        <w:rPr>
          <w:rFonts w:ascii="宋体" w:hAnsi="宋体" w:cs="宋体" w:hint="eastAsia"/>
        </w:rPr>
        <w:t>23.2.4投标文件不能带病毒。政府集中采购机构将用专业杀毒软件对投标文件进行病毒检测，如果这两种软件均报告发现病毒，则政府集中采购机构认为该投标文件带病毒。</w:t>
      </w:r>
    </w:p>
    <w:p>
      <w:pPr>
        <w:spacing w:line="360" w:lineRule="auto"/>
        <w:rPr>
          <w:rFonts w:ascii="宋体" w:hAnsi="宋体" w:cs="宋体"/>
        </w:rPr>
      </w:pPr>
      <w:r>
        <w:rPr>
          <w:rFonts w:ascii="宋体" w:hAnsi="宋体" w:cs="宋体" w:hint="eastAsia"/>
        </w:rPr>
        <w:t>23.2.5完整填写“投标关键信息”，如下图所示：</w:t>
      </w:r>
    </w:p>
    <w:p>
      <w:pPr>
        <w:spacing w:line="360" w:lineRule="auto"/>
        <w:rPr>
          <w:rFonts w:ascii="宋体" w:hAnsi="宋体" w:cs="宋体"/>
        </w:rPr>
      </w:pPr>
      <w:r>
        <w:rPr>
          <w:rFonts w:ascii="宋体" w:hAnsi="宋体" w:cs="宋体" w:hint="eastAsia"/>
        </w:rPr>
        <w:drawing>
          <wp:inline distT="0" distB="0" distL="0" distR="0">
            <wp:extent cx="5278755" cy="2721610"/>
            <wp:effectExtent l="0" t="0" r="17145" b="254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rPr>
          <w:rFonts w:ascii="宋体" w:hAnsi="宋体" w:cs="宋体"/>
          <w:b/>
        </w:rPr>
      </w:pPr>
      <w:r>
        <w:rPr>
          <w:rFonts w:ascii="宋体" w:hAnsi="宋体" w:cs="宋体" w:hint="eastAsia"/>
          <w:b/>
        </w:rPr>
        <w:t>备注：上述“开标一览表”中的“投标总价”将作为价格分计算依据；其它信息仅是对投标文件相关内容的概括性表述，不作为评审依据。</w:t>
      </w:r>
    </w:p>
    <w:p>
      <w:pPr>
        <w:spacing w:line="360" w:lineRule="auto"/>
        <w:rPr>
          <w:rFonts w:ascii="宋体" w:hAnsi="宋体" w:cs="宋体"/>
        </w:rPr>
      </w:pPr>
      <w:r>
        <w:rPr>
          <w:rFonts w:ascii="宋体" w:hAnsi="宋体" w:cs="宋体" w:hint="eastAsia"/>
        </w:rPr>
        <w:t>23.2.6投标人在编辑投标文件时，</w:t>
      </w:r>
      <w:r>
        <w:rPr>
          <w:rFonts w:ascii="宋体" w:hAnsi="宋体" w:cs="宋体" w:hint="eastAsia"/>
          <w:b/>
        </w:rPr>
        <w:t>在投标文件目录中属于本节点内容的必须在本节点中填写，填写到其他节点或附件，</w:t>
      </w:r>
      <w:r>
        <w:rPr>
          <w:rFonts w:ascii="宋体" w:hAnsi="宋体" w:cs="宋体" w:hint="eastAsia"/>
        </w:rPr>
        <w:t>一切后果由供应商自行承担。</w:t>
      </w:r>
    </w:p>
    <w:p>
      <w:pPr>
        <w:spacing w:line="360" w:lineRule="auto"/>
        <w:rPr>
          <w:rFonts w:ascii="宋体" w:hAnsi="宋体" w:cs="宋体"/>
        </w:rPr>
      </w:pPr>
      <w:r>
        <w:rPr>
          <w:rFonts w:ascii="宋体" w:hAnsi="宋体" w:cs="宋体" w:hint="eastAsia"/>
        </w:rPr>
        <w:t>23.2.7投标文件编写完成后，</w:t>
      </w:r>
      <w:r>
        <w:rPr>
          <w:rFonts w:ascii="宋体" w:hAnsi="宋体" w:cs="宋体" w:hint="eastAsia"/>
          <w:b/>
        </w:rPr>
        <w:t>必须用属于投标人的电子密钥进行加密，否则视同未盖公章，将导致投标文件无效。</w:t>
      </w:r>
    </w:p>
    <w:p>
      <w:pPr>
        <w:spacing w:line="360" w:lineRule="auto"/>
        <w:rPr>
          <w:rFonts w:ascii="宋体" w:hAnsi="宋体" w:cs="宋体"/>
        </w:rPr>
      </w:pPr>
      <w:r>
        <w:rPr>
          <w:rFonts w:ascii="宋体" w:hAnsi="宋体" w:cs="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spacing w:line="360" w:lineRule="auto"/>
        <w:rPr>
          <w:rFonts w:ascii="宋体" w:hAnsi="宋体" w:cs="宋体"/>
        </w:rPr>
      </w:pPr>
      <w:r>
        <w:rPr>
          <w:rFonts w:ascii="宋体" w:hAnsi="宋体" w:cs="宋体" w:hint="eastAsia"/>
        </w:rPr>
        <w:t>23.2.9如果开标时出现网络故障、技术故障，影响了政府采购活动，政府集中采购机构有权采取措施如延期、接受无法从网上上传的投标书等，以保障政府采购活动的公开、公平和公正。</w:t>
      </w:r>
    </w:p>
    <w:p>
      <w:pPr>
        <w:spacing w:line="360" w:lineRule="auto"/>
        <w:rPr>
          <w:rFonts w:ascii="宋体" w:hAnsi="宋体" w:cs="宋体"/>
        </w:rPr>
      </w:pPr>
      <w:r>
        <w:rPr>
          <w:rFonts w:ascii="宋体" w:hAnsi="宋体" w:cs="宋体" w:hint="eastAsia"/>
        </w:rPr>
        <w:t>23.3电报、电话、传真形式的投标概不接受。</w:t>
      </w:r>
    </w:p>
    <w:p>
      <w:pPr>
        <w:spacing w:line="360" w:lineRule="auto"/>
        <w:rPr>
          <w:rFonts w:ascii="宋体" w:hAnsi="宋体" w:cs="宋体"/>
          <w:b/>
        </w:rPr>
      </w:pPr>
      <w:r>
        <w:rPr>
          <w:rFonts w:ascii="宋体" w:hAnsi="宋体" w:cs="宋体" w:hint="eastAsia"/>
          <w:b/>
        </w:rPr>
        <w:t>23.4经投标人电子密钥加密的投标文件无须盖章或签字，</w:t>
      </w:r>
      <w:r>
        <w:rPr>
          <w:rFonts w:ascii="宋体" w:hAnsi="宋体" w:cs="宋体" w:hint="eastAsia"/>
        </w:rPr>
        <w:t>专用条款另有要求的除外。</w:t>
      </w:r>
    </w:p>
    <w:p>
      <w:pPr>
        <w:spacing w:line="360" w:lineRule="auto"/>
        <w:rPr>
          <w:rFonts w:ascii="宋体" w:hAnsi="宋体" w:cs="宋体"/>
          <w:szCs w:val="21"/>
        </w:rPr>
      </w:pPr>
      <w:r>
        <w:rPr>
          <w:rFonts w:ascii="宋体" w:hAnsi="宋体" w:cs="宋体" w:hint="eastAsia"/>
          <w:b/>
        </w:rPr>
        <w:t>23.5</w:t>
      </w:r>
      <w:r>
        <w:rPr>
          <w:rFonts w:ascii="宋体" w:hAnsi="宋体" w:cs="宋体" w:hint="eastAsia"/>
        </w:rPr>
        <w:t xml:space="preserve"> 各类资格（资质）文件提供扫描件，专用条款另有要求的除外。</w:t>
      </w: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投标文件的递交</w:t>
      </w:r>
    </w:p>
    <w:p>
      <w:pPr>
        <w:spacing w:line="360" w:lineRule="auto"/>
        <w:rPr>
          <w:rFonts w:ascii="宋体" w:hAnsi="宋体" w:cs="宋体"/>
          <w:szCs w:val="21"/>
        </w:rPr>
      </w:pPr>
      <w:r>
        <w:rPr>
          <w:rFonts w:ascii="宋体" w:hAnsi="宋体" w:cs="宋体" w:hint="eastAsia"/>
          <w:szCs w:val="21"/>
        </w:rPr>
        <w:t>24．投标文件的保密</w:t>
      </w:r>
    </w:p>
    <w:p>
      <w:pPr>
        <w:spacing w:line="360" w:lineRule="auto"/>
        <w:rPr>
          <w:rFonts w:ascii="宋体" w:hAnsi="宋体" w:cs="宋体"/>
        </w:rPr>
      </w:pPr>
      <w:r>
        <w:rPr>
          <w:rFonts w:ascii="宋体" w:hAnsi="宋体" w:cs="宋体" w:hint="eastAsia"/>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rPr>
          <w:rFonts w:ascii="宋体" w:hAnsi="宋体" w:cs="宋体"/>
        </w:rPr>
      </w:pPr>
      <w:r>
        <w:rPr>
          <w:rFonts w:ascii="宋体" w:hAnsi="宋体" w:cs="宋体" w:hint="eastAsia"/>
        </w:rPr>
        <w:drawing>
          <wp:inline distT="0" distB="0" distL="0" distR="0">
            <wp:extent cx="5278755" cy="2721610"/>
            <wp:effectExtent l="0" t="0" r="17145"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rPr>
          <w:rFonts w:ascii="宋体" w:hAnsi="宋体" w:cs="宋体"/>
        </w:rPr>
      </w:pPr>
      <w:r>
        <w:rPr>
          <w:rFonts w:ascii="宋体" w:hAnsi="宋体" w:cs="宋体" w:hint="eastAsia"/>
        </w:rPr>
        <w:t>在投标文件制作软件点击【生成标书】按钮进入【填写开标一览表界面】界面，在该界面填写完开标一览表信息后点击【确定】，进入投标文件生成环节。</w:t>
      </w:r>
      <w:r>
        <w:rPr>
          <w:rFonts w:ascii="宋体" w:hAnsi="宋体" w:cs="宋体" w:hint="eastAsia"/>
        </w:rPr>
        <w:drawing>
          <wp:inline distT="0" distB="0" distL="0" distR="0">
            <wp:extent cx="5278755" cy="2732405"/>
            <wp:effectExtent l="0" t="0" r="17145" b="10795"/>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rPr>
          <w:rFonts w:ascii="宋体" w:hAnsi="宋体" w:cs="宋体"/>
        </w:rPr>
      </w:pPr>
      <w:r>
        <w:rPr>
          <w:rFonts w:ascii="宋体" w:hAnsi="宋体" w:cs="宋体" w:hint="eastAsia"/>
        </w:rPr>
        <w:t>投标文件制作软件会在投标文件生成过程中，提示用户输入密码，输入密码后对标文件自动进行加密。</w:t>
      </w:r>
    </w:p>
    <w:p>
      <w:pPr>
        <w:spacing w:line="360" w:lineRule="auto"/>
        <w:rPr>
          <w:rFonts w:ascii="宋体" w:hAnsi="宋体" w:cs="宋体"/>
          <w:b/>
        </w:rPr>
      </w:pPr>
      <w:r>
        <w:rPr>
          <w:rFonts w:ascii="宋体" w:hAnsi="宋体" w:cs="宋体" w:hint="eastAsia"/>
          <w:b/>
        </w:rPr>
        <w:t>24.2若采购项目出现延期情况：</w:t>
      </w:r>
    </w:p>
    <w:p>
      <w:pPr>
        <w:spacing w:line="360" w:lineRule="auto"/>
        <w:rPr>
          <w:rFonts w:ascii="宋体" w:hAnsi="宋体" w:cs="宋体"/>
          <w:b/>
          <w:sz w:val="24"/>
        </w:rPr>
      </w:pPr>
      <w:r>
        <w:rPr>
          <w:rFonts w:ascii="宋体" w:hAnsi="宋体" w:cs="宋体" w:hint="eastAsia"/>
          <w:b/>
        </w:rPr>
        <w:t>如果供下载的招标文件（后缀名为.szczf）有更新，投标人必须重新下载招标文件、重新制作投标文件、重新加密投标文件、重新上传投标文件；如果供下载的招标文件（后缀名为.szczf）没有更新，投标人必须重新加密投标文件、重新上传投标文件（是否重新制作投标文件根据项目实际情况定）。否则，投标人自行承担投标文件无法解密导致投标无效的后果。</w:t>
      </w:r>
    </w:p>
    <w:p>
      <w:pPr>
        <w:spacing w:line="360" w:lineRule="auto"/>
        <w:rPr>
          <w:rFonts w:ascii="宋体" w:hAnsi="宋体" w:cs="宋体"/>
          <w:sz w:val="24"/>
        </w:rPr>
      </w:pPr>
      <w:r>
        <w:rPr>
          <w:rFonts w:ascii="宋体" w:hAnsi="宋体" w:cs="宋体" w:hint="eastAsia"/>
          <w:sz w:val="24"/>
        </w:rPr>
        <w:t>25．上传投标文件及投标截止日期</w:t>
      </w:r>
    </w:p>
    <w:p>
      <w:pPr>
        <w:spacing w:line="360" w:lineRule="auto"/>
        <w:rPr>
          <w:rFonts w:ascii="宋体" w:hAnsi="宋体" w:cs="宋体"/>
        </w:rPr>
      </w:pPr>
      <w:r>
        <w:rPr>
          <w:rFonts w:ascii="宋体" w:hAnsi="宋体" w:cs="宋体" w:hint="eastAsia"/>
        </w:rPr>
        <w:t>25.1实行网上投标，投标人必须在招标文件规定的投标截止时间前用电子密钥登录“深圳政府采购智慧平台用户网上办事子系统（http://zfcg.szggzy.com/TPBidder/memberLogin）”，用“【我的项目】→【项目流程】→【递交投标(应答)文件】”功能点上传投标文件。如果确有困难，多次上传均告失败，请在投标截止时间之前携带加密后的电子投标文件送达至</w:t>
      </w:r>
      <w:r>
        <w:rPr>
          <w:rFonts w:ascii="宋体" w:hAnsi="宋体" w:cs="宋体" w:hint="eastAsia"/>
          <w:b/>
          <w:bCs/>
          <w:szCs w:val="21"/>
        </w:rPr>
        <w:t>深圳公共资源交易中心（深圳交易集团有限公司龙华分公司）1102室（地址：深圳市龙华区龙华街道国鸿大厦7栋A座11楼），联系方式：0755-23338582。</w:t>
      </w:r>
    </w:p>
    <w:p>
      <w:pPr>
        <w:spacing w:line="360" w:lineRule="auto"/>
        <w:rPr>
          <w:rFonts w:ascii="宋体" w:hAnsi="宋体" w:cs="宋体"/>
        </w:rPr>
      </w:pPr>
      <w:r>
        <w:rPr>
          <w:rFonts w:ascii="宋体" w:hAnsi="宋体" w:cs="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spacing w:line="360" w:lineRule="auto"/>
        <w:rPr>
          <w:rFonts w:ascii="宋体" w:hAnsi="宋体" w:cs="宋体"/>
        </w:rPr>
      </w:pPr>
      <w:r>
        <w:rPr>
          <w:rFonts w:ascii="宋体" w:hAnsi="宋体" w:cs="宋体" w:hint="eastAsia"/>
        </w:rPr>
        <w:t>25.3投标截止时间以后不得上传投标文件。</w:t>
      </w:r>
    </w:p>
    <w:p>
      <w:pPr>
        <w:spacing w:line="360" w:lineRule="auto"/>
        <w:rPr>
          <w:rFonts w:ascii="宋体" w:hAnsi="宋体" w:cs="宋体"/>
          <w:szCs w:val="21"/>
        </w:rPr>
      </w:pPr>
      <w:r>
        <w:rPr>
          <w:rFonts w:ascii="宋体" w:hAnsi="宋体" w:cs="宋体" w:hint="eastAsia"/>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spacing w:line="360" w:lineRule="auto"/>
        <w:rPr>
          <w:rFonts w:ascii="宋体" w:hAnsi="宋体" w:cs="宋体"/>
          <w:szCs w:val="21"/>
        </w:rPr>
      </w:pPr>
      <w:r>
        <w:rPr>
          <w:rFonts w:ascii="宋体" w:hAnsi="宋体" w:cs="宋体" w:hint="eastAsia"/>
          <w:szCs w:val="21"/>
        </w:rPr>
        <w:t>26. 样品、现场演示、方案讲解</w:t>
      </w:r>
    </w:p>
    <w:p>
      <w:pPr>
        <w:spacing w:line="360" w:lineRule="auto"/>
        <w:rPr>
          <w:rFonts w:ascii="宋体" w:hAnsi="宋体" w:cs="宋体"/>
          <w:szCs w:val="21"/>
        </w:rPr>
      </w:pPr>
      <w:r>
        <w:rPr>
          <w:rFonts w:ascii="宋体" w:hAnsi="宋体" w:cs="宋体" w:hint="eastAsia"/>
          <w:szCs w:val="21"/>
        </w:rPr>
        <w:t>26.1 样品、现场演示、方案讲解等事项在招标文件专用条款中进行规定。</w:t>
      </w:r>
    </w:p>
    <w:p>
      <w:pPr>
        <w:spacing w:line="360" w:lineRule="auto"/>
        <w:rPr>
          <w:rFonts w:ascii="宋体" w:hAnsi="宋体" w:cs="宋体"/>
          <w:szCs w:val="21"/>
        </w:rPr>
      </w:pPr>
      <w:bookmarkStart w:id="91" w:name="_Hlk72428346"/>
      <w:r>
        <w:rPr>
          <w:rFonts w:ascii="宋体" w:hAnsi="宋体" w:cs="宋体" w:hint="eastAsia"/>
          <w:szCs w:val="21"/>
        </w:rPr>
        <w:t>27．投标文件的修改和撤销</w:t>
      </w:r>
    </w:p>
    <w:p>
      <w:pPr>
        <w:spacing w:line="360" w:lineRule="auto"/>
        <w:rPr>
          <w:rFonts w:ascii="宋体" w:hAnsi="宋体" w:cs="宋体"/>
          <w:szCs w:val="21"/>
        </w:rPr>
      </w:pPr>
      <w:r>
        <w:rPr>
          <w:rFonts w:ascii="宋体" w:hAnsi="宋体" w:cs="宋体" w:hint="eastAsia"/>
          <w:szCs w:val="21"/>
        </w:rPr>
        <w:t>27.1投标方在提交投标文件后可对其投标文件进行修改并重新上传投标文件或在网上进行撤销投标的操作。</w:t>
      </w:r>
    </w:p>
    <w:p>
      <w:pPr>
        <w:spacing w:line="360" w:lineRule="auto"/>
        <w:rPr>
          <w:rFonts w:ascii="宋体" w:hAnsi="宋体" w:cs="宋体"/>
          <w:szCs w:val="21"/>
        </w:rPr>
      </w:pPr>
      <w:r>
        <w:rPr>
          <w:rFonts w:ascii="宋体" w:hAnsi="宋体" w:cs="宋体" w:hint="eastAsia"/>
          <w:szCs w:val="21"/>
        </w:rPr>
        <w:t>27.2投标截止时间以后不得修改投标文件。</w:t>
      </w:r>
    </w:p>
    <w:p>
      <w:pPr>
        <w:spacing w:line="360" w:lineRule="auto"/>
        <w:rPr>
          <w:rFonts w:ascii="宋体" w:hAnsi="宋体" w:cs="宋体"/>
          <w:szCs w:val="21"/>
        </w:rPr>
      </w:pPr>
      <w:r>
        <w:rPr>
          <w:rFonts w:ascii="宋体" w:hAnsi="宋体" w:cs="宋体" w:hint="eastAsia"/>
          <w:szCs w:val="21"/>
        </w:rPr>
        <w:t>27.3从投标截止期至投标人在投标文件中确定的投标有效期之间的这段时间内，投标人不得撤回其投标。</w:t>
      </w:r>
    </w:p>
    <w:p>
      <w:pPr>
        <w:spacing w:line="360" w:lineRule="auto"/>
        <w:rPr>
          <w:rFonts w:ascii="宋体" w:hAnsi="宋体" w:cs="宋体"/>
          <w:szCs w:val="21"/>
        </w:rPr>
      </w:pPr>
      <w:r>
        <w:rPr>
          <w:rFonts w:ascii="宋体" w:hAnsi="宋体" w:cs="宋体" w:hint="eastAsia"/>
          <w:szCs w:val="21"/>
        </w:rPr>
        <w:t>27.4政府集中采购机构不退还投标文件，专用条款另有规定的除外。</w:t>
      </w:r>
    </w:p>
    <w:p>
      <w:pPr>
        <w:pStyle w:val="Heading2"/>
        <w:numPr>
          <w:ilvl w:val="0"/>
          <w:numId w:val="11"/>
        </w:numPr>
        <w:spacing w:line="360" w:lineRule="auto"/>
        <w:ind w:left="0" w:firstLine="0"/>
        <w:rPr>
          <w:rFonts w:ascii="宋体" w:hAnsi="宋体" w:cs="宋体"/>
          <w:sz w:val="28"/>
          <w:szCs w:val="28"/>
        </w:rPr>
      </w:pPr>
      <w:bookmarkEnd w:id="91"/>
      <w:r>
        <w:rPr>
          <w:rFonts w:ascii="宋体" w:hAnsi="宋体" w:cs="宋体" w:hint="eastAsia"/>
          <w:sz w:val="28"/>
          <w:szCs w:val="28"/>
        </w:rPr>
        <w:t>开标</w:t>
      </w:r>
    </w:p>
    <w:p>
      <w:pPr>
        <w:spacing w:line="360" w:lineRule="auto"/>
        <w:rPr>
          <w:rFonts w:ascii="宋体" w:hAnsi="宋体" w:cs="宋体"/>
          <w:szCs w:val="21"/>
        </w:rPr>
      </w:pPr>
      <w:r>
        <w:rPr>
          <w:rFonts w:ascii="宋体" w:hAnsi="宋体" w:cs="宋体" w:hint="eastAsia"/>
          <w:szCs w:val="21"/>
        </w:rPr>
        <w:t>28．开标</w:t>
      </w:r>
    </w:p>
    <w:p>
      <w:pPr>
        <w:spacing w:line="360" w:lineRule="auto"/>
        <w:rPr>
          <w:rFonts w:ascii="宋体" w:hAnsi="宋体" w:cs="宋体"/>
          <w:szCs w:val="21"/>
        </w:rPr>
      </w:pPr>
      <w:r>
        <w:rPr>
          <w:rFonts w:ascii="宋体" w:hAnsi="宋体" w:cs="宋体" w:hint="eastAsia"/>
          <w:szCs w:val="21"/>
        </w:rPr>
        <w:t>28.1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spacing w:line="360" w:lineRule="auto"/>
        <w:rPr>
          <w:rFonts w:ascii="宋体" w:hAnsi="宋体" w:cs="宋体"/>
          <w:szCs w:val="21"/>
        </w:rPr>
      </w:pPr>
      <w:r>
        <w:rPr>
          <w:rFonts w:ascii="宋体" w:hAnsi="宋体" w:cs="宋体" w:hint="eastAsia"/>
          <w:szCs w:val="21"/>
        </w:rPr>
        <w:t>28.2 政府集中采购机构将在满足开标条件（①解密时间结束，解密后的投标供应商数量满足开标要求或②解密时间结束前所有投标供应商均完成投标文件解密）后，对投标文件进行开标，并在网上公布开标结果。</w:t>
      </w: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评审要求</w:t>
      </w:r>
    </w:p>
    <w:p>
      <w:pPr>
        <w:spacing w:line="360" w:lineRule="auto"/>
        <w:rPr>
          <w:rFonts w:ascii="宋体" w:hAnsi="宋体" w:cs="宋体"/>
          <w:szCs w:val="21"/>
        </w:rPr>
      </w:pPr>
      <w:r>
        <w:rPr>
          <w:rFonts w:ascii="宋体" w:hAnsi="宋体" w:cs="宋体" w:hint="eastAsia"/>
          <w:szCs w:val="21"/>
        </w:rPr>
        <w:t>29．评审委员会组成</w:t>
      </w:r>
    </w:p>
    <w:p>
      <w:pPr>
        <w:spacing w:line="360" w:lineRule="auto"/>
        <w:rPr>
          <w:rFonts w:ascii="宋体" w:hAnsi="宋体" w:cs="宋体"/>
          <w:szCs w:val="21"/>
        </w:rPr>
      </w:pPr>
      <w:r>
        <w:rPr>
          <w:rFonts w:ascii="宋体" w:hAnsi="宋体" w:cs="宋体" w:hint="eastAsia"/>
          <w:szCs w:val="21"/>
        </w:rPr>
        <w:t>29.1网上开标结束后召开评审会议，评审委员会由政府集中采购机构依法组建，负责评审活动。</w:t>
      </w:r>
    </w:p>
    <w:p>
      <w:pPr>
        <w:spacing w:line="360" w:lineRule="auto"/>
        <w:rPr>
          <w:rFonts w:ascii="宋体" w:hAnsi="宋体" w:cs="宋体"/>
          <w:szCs w:val="21"/>
        </w:rPr>
      </w:pPr>
      <w:r>
        <w:rPr>
          <w:rFonts w:ascii="宋体" w:hAnsi="宋体" w:cs="宋体" w:hint="eastAsia"/>
          <w:szCs w:val="21"/>
        </w:rPr>
        <w:t>评审委员会的组成及行为规范执行《深圳经济特区政府采购条例实施细则》、《深圳市政府采购评标定标分离管理办法》，评审委员会由评审专家组成，人数为五人（含）以上的单数，重大项目人数为七人（含）以上的单数。评审专家从政府采购评审专家库中随机抽取。因行业或者技能等特殊要求，专家库中没有符合条件的可选专家，采购人可以自行推荐具有项目相关专业知识或技能的专家参与项目评审。采购人应当建立健全政府采购内控机制，按照内控程序自定评审专家。财政部门依法依规对评审专家及其评审活动进行监督管理。评定分离项目评审委员会均由评审专家组成。评审专家一般是从深圳市政府采购评审专家库中随机抽取。采购人代表须持本单位签发的《评审授权书》参加评审。</w:t>
      </w:r>
    </w:p>
    <w:p>
      <w:pPr>
        <w:spacing w:line="360" w:lineRule="auto"/>
        <w:rPr>
          <w:rFonts w:ascii="宋体" w:hAnsi="宋体" w:cs="宋体"/>
          <w:szCs w:val="21"/>
        </w:rPr>
      </w:pPr>
      <w:r>
        <w:rPr>
          <w:rFonts w:ascii="宋体" w:hAnsi="宋体" w:cs="宋体" w:hint="eastAsia"/>
          <w:szCs w:val="21"/>
        </w:rPr>
        <w:t>29.2评审定标应当遵循公平、公正、科学、择优的原则。</w:t>
      </w:r>
    </w:p>
    <w:p>
      <w:pPr>
        <w:spacing w:line="360" w:lineRule="auto"/>
        <w:rPr>
          <w:rFonts w:ascii="宋体" w:hAnsi="宋体" w:cs="宋体"/>
          <w:szCs w:val="21"/>
        </w:rPr>
      </w:pPr>
      <w:r>
        <w:rPr>
          <w:rFonts w:ascii="宋体" w:hAnsi="宋体" w:cs="宋体" w:hint="eastAsia"/>
          <w:szCs w:val="21"/>
        </w:rPr>
        <w:t>29.3评审活动依法进行，任何单位和个人不得非法干预评标过程和结果。</w:t>
      </w:r>
    </w:p>
    <w:p>
      <w:pPr>
        <w:spacing w:line="360" w:lineRule="auto"/>
        <w:rPr>
          <w:rFonts w:ascii="宋体" w:hAnsi="宋体" w:cs="宋体"/>
          <w:szCs w:val="21"/>
        </w:rPr>
      </w:pPr>
      <w:r>
        <w:rPr>
          <w:rFonts w:ascii="宋体" w:hAnsi="宋体" w:cs="宋体" w:hint="eastAsia"/>
          <w:szCs w:val="21"/>
        </w:rPr>
        <w:t>29.4评审过程中不允许违背评标程序或采用招标文件未载明的评标方法或评标因素进行评标。</w:t>
      </w:r>
    </w:p>
    <w:p>
      <w:pPr>
        <w:spacing w:line="360" w:lineRule="auto"/>
        <w:rPr>
          <w:rFonts w:ascii="宋体" w:hAnsi="宋体" w:cs="宋体"/>
          <w:bCs/>
          <w:szCs w:val="21"/>
        </w:rPr>
      </w:pPr>
      <w:r>
        <w:rPr>
          <w:rFonts w:ascii="宋体" w:hAnsi="宋体" w:cs="宋体" w:hint="eastAsia"/>
          <w:bCs/>
          <w:szCs w:val="21"/>
        </w:rPr>
        <w:t>29.5 开标后，直到签订合同为止，凡属于对投标文件的审查、澄清、评价和比较的有关资料以及中标候选人的推荐情况、与评审有关的其他任何情况均严格保密（</w:t>
      </w:r>
      <w:r>
        <w:rPr>
          <w:rFonts w:ascii="宋体" w:hAnsi="宋体" w:cs="宋体" w:hint="eastAsia"/>
          <w:szCs w:val="21"/>
        </w:rPr>
        <w:t>信息公开的内容除外</w:t>
      </w:r>
      <w:r>
        <w:rPr>
          <w:rFonts w:ascii="宋体" w:hAnsi="宋体" w:cs="宋体" w:hint="eastAsia"/>
          <w:bCs/>
          <w:szCs w:val="21"/>
        </w:rPr>
        <w:t>）。</w:t>
      </w:r>
    </w:p>
    <w:p>
      <w:pPr>
        <w:spacing w:line="360" w:lineRule="auto"/>
        <w:rPr>
          <w:rFonts w:ascii="宋体" w:hAnsi="宋体" w:cs="宋体"/>
          <w:szCs w:val="21"/>
        </w:rPr>
      </w:pPr>
      <w:r>
        <w:rPr>
          <w:rFonts w:ascii="宋体" w:hAnsi="宋体" w:cs="宋体" w:hint="eastAsia"/>
          <w:szCs w:val="21"/>
        </w:rPr>
        <w:t>30．向评审委员会提供的资料</w:t>
      </w:r>
    </w:p>
    <w:p>
      <w:pPr>
        <w:spacing w:line="360" w:lineRule="auto"/>
        <w:rPr>
          <w:rFonts w:ascii="宋体" w:hAnsi="宋体" w:cs="宋体"/>
          <w:szCs w:val="21"/>
        </w:rPr>
      </w:pPr>
      <w:r>
        <w:rPr>
          <w:rFonts w:ascii="宋体" w:hAnsi="宋体" w:cs="宋体" w:hint="eastAsia"/>
          <w:szCs w:val="21"/>
        </w:rPr>
        <w:t>30.1公开发布的招标文件，包括图纸、服务清单、答疑文件等；</w:t>
      </w:r>
    </w:p>
    <w:p>
      <w:pPr>
        <w:spacing w:line="360" w:lineRule="auto"/>
        <w:rPr>
          <w:rFonts w:ascii="宋体" w:hAnsi="宋体" w:cs="宋体"/>
          <w:szCs w:val="21"/>
        </w:rPr>
      </w:pPr>
      <w:r>
        <w:rPr>
          <w:rFonts w:ascii="宋体" w:hAnsi="宋体" w:cs="宋体" w:hint="eastAsia"/>
          <w:szCs w:val="21"/>
        </w:rPr>
        <w:t>30.2其他评标必须的资料。</w:t>
      </w:r>
    </w:p>
    <w:p>
      <w:pPr>
        <w:spacing w:line="360" w:lineRule="auto"/>
        <w:rPr>
          <w:rFonts w:ascii="宋体" w:hAnsi="宋体" w:cs="宋体"/>
          <w:szCs w:val="21"/>
        </w:rPr>
      </w:pPr>
      <w:r>
        <w:rPr>
          <w:rFonts w:ascii="宋体" w:hAnsi="宋体" w:cs="宋体" w:hint="eastAsia"/>
          <w:szCs w:val="21"/>
        </w:rPr>
        <w:t>30.3评审委员会应当认真研究招标文件，至少应了解熟悉以下内容：</w:t>
      </w:r>
    </w:p>
    <w:p>
      <w:pPr>
        <w:spacing w:line="360" w:lineRule="auto"/>
        <w:rPr>
          <w:rFonts w:ascii="宋体" w:hAnsi="宋体" w:cs="宋体"/>
          <w:szCs w:val="21"/>
        </w:rPr>
      </w:pPr>
      <w:r>
        <w:rPr>
          <w:rFonts w:ascii="宋体" w:hAnsi="宋体" w:cs="宋体" w:hint="eastAsia"/>
          <w:szCs w:val="21"/>
        </w:rPr>
        <w:t>（1）招标的目的；</w:t>
      </w:r>
    </w:p>
    <w:p>
      <w:pPr>
        <w:spacing w:line="360" w:lineRule="auto"/>
        <w:rPr>
          <w:rFonts w:ascii="宋体" w:hAnsi="宋体" w:cs="宋体"/>
          <w:szCs w:val="21"/>
        </w:rPr>
      </w:pPr>
      <w:r>
        <w:rPr>
          <w:rFonts w:ascii="宋体" w:hAnsi="宋体" w:cs="宋体" w:hint="eastAsia"/>
          <w:szCs w:val="21"/>
        </w:rPr>
        <w:t>（2）招标项目需求的范围和性质；</w:t>
      </w:r>
    </w:p>
    <w:p>
      <w:pPr>
        <w:spacing w:line="360" w:lineRule="auto"/>
        <w:rPr>
          <w:rFonts w:ascii="宋体" w:hAnsi="宋体" w:cs="宋体"/>
          <w:szCs w:val="21"/>
        </w:rPr>
      </w:pPr>
      <w:r>
        <w:rPr>
          <w:rFonts w:ascii="宋体" w:hAnsi="宋体" w:cs="宋体" w:hint="eastAsia"/>
          <w:szCs w:val="21"/>
        </w:rPr>
        <w:t>（3）招标文件规定的投标人的资格、财政预算限额、商务条款；</w:t>
      </w:r>
    </w:p>
    <w:p>
      <w:pPr>
        <w:spacing w:line="360" w:lineRule="auto"/>
        <w:rPr>
          <w:rFonts w:ascii="宋体" w:hAnsi="宋体" w:cs="宋体"/>
          <w:szCs w:val="21"/>
        </w:rPr>
      </w:pPr>
      <w:r>
        <w:rPr>
          <w:rFonts w:ascii="宋体" w:hAnsi="宋体" w:cs="宋体" w:hint="eastAsia"/>
          <w:szCs w:val="21"/>
        </w:rPr>
        <w:t>（4）招标文件规定的评标程序、评标方法和评标因素；</w:t>
      </w:r>
    </w:p>
    <w:p>
      <w:pPr>
        <w:spacing w:line="360" w:lineRule="auto"/>
        <w:rPr>
          <w:rFonts w:ascii="宋体" w:hAnsi="宋体" w:cs="宋体"/>
          <w:szCs w:val="21"/>
        </w:rPr>
      </w:pPr>
      <w:r>
        <w:rPr>
          <w:rFonts w:ascii="宋体" w:hAnsi="宋体" w:cs="宋体" w:hint="eastAsia"/>
          <w:szCs w:val="21"/>
        </w:rPr>
        <w:t>（5）招标文件所列示的资格性审查表及符合性审查表。</w:t>
      </w:r>
    </w:p>
    <w:p>
      <w:pPr>
        <w:spacing w:line="360" w:lineRule="auto"/>
        <w:rPr>
          <w:rFonts w:ascii="宋体" w:hAnsi="宋体" w:cs="宋体"/>
          <w:szCs w:val="21"/>
        </w:rPr>
      </w:pPr>
      <w:r>
        <w:rPr>
          <w:rFonts w:ascii="宋体" w:hAnsi="宋体" w:cs="宋体" w:hint="eastAsia"/>
          <w:szCs w:val="21"/>
        </w:rPr>
        <w:t>31．独立评审</w:t>
      </w:r>
    </w:p>
    <w:p>
      <w:pPr>
        <w:spacing w:line="360" w:lineRule="auto"/>
        <w:rPr>
          <w:rFonts w:ascii="宋体" w:hAnsi="宋体" w:cs="宋体"/>
          <w:bCs/>
          <w:szCs w:val="21"/>
        </w:rPr>
      </w:pPr>
      <w:r>
        <w:rPr>
          <w:rFonts w:ascii="宋体" w:hAnsi="宋体" w:cs="宋体" w:hint="eastAsia"/>
          <w:bCs/>
          <w:szCs w:val="21"/>
        </w:rPr>
        <w:t>31.1</w:t>
      </w:r>
      <w:r>
        <w:rPr>
          <w:rFonts w:ascii="宋体" w:hAnsi="宋体" w:cs="宋体" w:hint="eastAsia"/>
          <w:szCs w:val="21"/>
        </w:rPr>
        <w:t>评审委员会</w:t>
      </w:r>
      <w:r>
        <w:rPr>
          <w:rFonts w:ascii="宋体" w:hAnsi="宋体" w:cs="宋体" w:hint="eastAsia"/>
          <w:bCs/>
          <w:szCs w:val="21"/>
        </w:rPr>
        <w:t>成员的评标活动应当独立进行，并应遵循投标文件初审、澄清有关问题、比较与评价、确定中标供应商、编写评审报告的工作程序。</w:t>
      </w:r>
    </w:p>
    <w:p>
      <w:pPr>
        <w:spacing w:line="360" w:lineRule="auto"/>
        <w:rPr>
          <w:rFonts w:ascii="宋体" w:hAnsi="宋体" w:cs="宋体"/>
          <w:bCs/>
          <w:szCs w:val="21"/>
        </w:rPr>
      </w:pP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评审程序及评审方法</w:t>
      </w:r>
    </w:p>
    <w:p>
      <w:pPr>
        <w:spacing w:line="360" w:lineRule="auto"/>
        <w:rPr>
          <w:rFonts w:ascii="宋体" w:hAnsi="宋体" w:cs="宋体"/>
          <w:szCs w:val="21"/>
        </w:rPr>
      </w:pPr>
      <w:r>
        <w:rPr>
          <w:rFonts w:ascii="宋体" w:hAnsi="宋体" w:cs="宋体" w:hint="eastAsia"/>
          <w:szCs w:val="21"/>
        </w:rPr>
        <w:t>32．投标文件初审</w:t>
      </w:r>
    </w:p>
    <w:p>
      <w:pPr>
        <w:spacing w:line="360" w:lineRule="auto"/>
        <w:rPr>
          <w:rFonts w:ascii="宋体" w:hAnsi="宋体" w:cs="宋体"/>
          <w:szCs w:val="21"/>
        </w:rPr>
      </w:pPr>
      <w:r>
        <w:rPr>
          <w:rFonts w:ascii="宋体" w:hAnsi="宋体" w:cs="宋体" w:hint="eastAsia"/>
          <w:szCs w:val="21"/>
        </w:rPr>
        <w:t>32.1投标文件初审包括资格性审查和符合性审查。</w:t>
      </w:r>
    </w:p>
    <w:p>
      <w:pPr>
        <w:spacing w:line="360" w:lineRule="auto"/>
        <w:rPr>
          <w:rFonts w:ascii="宋体" w:hAnsi="宋体" w:cs="宋体"/>
          <w:szCs w:val="21"/>
        </w:rPr>
      </w:pPr>
      <w:r>
        <w:rPr>
          <w:rFonts w:ascii="宋体" w:hAnsi="宋体" w:cs="宋体" w:hint="eastAsia"/>
          <w:szCs w:val="21"/>
        </w:rPr>
        <w:t>资格性审查：依据法律法规和招标文件的规定，对投标文件中的资格证明等进行审查，以确定投标供应商是否具备投标资格。</w:t>
      </w:r>
    </w:p>
    <w:p>
      <w:pPr>
        <w:spacing w:line="360" w:lineRule="auto"/>
        <w:rPr>
          <w:rFonts w:ascii="宋体" w:hAnsi="宋体" w:cs="宋体"/>
          <w:szCs w:val="21"/>
        </w:rPr>
      </w:pPr>
      <w:r>
        <w:rPr>
          <w:rFonts w:ascii="宋体" w:hAnsi="宋体" w:cs="宋体" w:hint="eastAsia"/>
          <w:szCs w:val="21"/>
        </w:rPr>
        <w:t>符合性审查：依据招标文件的规定，对投标文件的有效性、完整性和对招标文件的响应程度进行审查，以确定是否满足符合性审查的要求。</w:t>
      </w:r>
    </w:p>
    <w:p>
      <w:pPr>
        <w:spacing w:line="360" w:lineRule="auto"/>
        <w:rPr>
          <w:rFonts w:ascii="宋体" w:hAnsi="宋体" w:cs="宋体"/>
          <w:szCs w:val="21"/>
        </w:rPr>
      </w:pPr>
      <w:r>
        <w:rPr>
          <w:rFonts w:ascii="宋体" w:hAnsi="宋体" w:cs="宋体" w:hint="eastAsia"/>
          <w:szCs w:val="21"/>
        </w:rPr>
        <w:t>32.2 投标文件初审内容请详见《资格性审查表》和《符合性审查表》部分。投标人若有一条审查不通过则按投标无效处理。</w:t>
      </w:r>
    </w:p>
    <w:p>
      <w:pPr>
        <w:spacing w:line="360" w:lineRule="auto"/>
        <w:rPr>
          <w:rFonts w:ascii="宋体" w:hAnsi="宋体" w:cs="宋体"/>
          <w:bCs/>
          <w:szCs w:val="21"/>
        </w:rPr>
      </w:pPr>
      <w:r>
        <w:rPr>
          <w:rFonts w:ascii="宋体" w:hAnsi="宋体" w:cs="宋体" w:hint="eastAsia"/>
          <w:bCs/>
          <w:szCs w:val="21"/>
        </w:rPr>
        <w:t>32.3 投标文件初审中关于供应商家数的计算:</w:t>
      </w:r>
    </w:p>
    <w:p>
      <w:pPr>
        <w:spacing w:line="360" w:lineRule="auto"/>
        <w:jc w:val="left"/>
        <w:rPr>
          <w:rFonts w:ascii="宋体" w:hAnsi="宋体" w:cs="宋体"/>
          <w:bCs/>
          <w:szCs w:val="21"/>
        </w:rPr>
      </w:pPr>
      <w:r>
        <w:rPr>
          <w:rFonts w:ascii="宋体" w:hAnsi="宋体" w:cs="宋体" w:hint="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w:t>
      </w:r>
      <w:r>
        <w:rPr>
          <w:rFonts w:ascii="宋体" w:hAnsi="宋体" w:cs="宋体" w:hint="eastAsia"/>
          <w:color w:val="000000"/>
          <w:szCs w:val="21"/>
        </w:rPr>
        <w:t>抽签原则：在深圳公共资源交易中心（深圳交易集团有限公司龙华分公司）的组织下，由评标委员会作为抽签小组进行随机抽签确定排序。（1）编号。抽签小组按上传投标文件的时间先后确定抽签编号，如A 公司上传投标文件的时间最早，则抽签编号为1，以此类推。（2）抽签。按抽签编号的数量在摇号机放入相应数量及对应编号的号码球，抽签小组成员随机抽取号码球，按抽出号码球的顺序，确定号码球对应的供应商排序。（3）确认结果。全体抽签小组成员签字确认抽签结果。</w:t>
      </w:r>
      <w:r>
        <w:rPr>
          <w:rFonts w:ascii="宋体" w:hAnsi="宋体" w:cs="宋体" w:hint="eastAsia"/>
          <w:bCs/>
          <w:szCs w:val="21"/>
        </w:rPr>
        <w:t>）确定，其他投标无效。</w:t>
      </w:r>
    </w:p>
    <w:p>
      <w:pPr>
        <w:spacing w:line="360" w:lineRule="auto"/>
        <w:rPr>
          <w:rFonts w:ascii="宋体" w:hAnsi="宋体" w:cs="宋体"/>
          <w:bCs/>
          <w:szCs w:val="21"/>
        </w:rPr>
      </w:pPr>
      <w:r>
        <w:rPr>
          <w:rFonts w:ascii="宋体" w:hAnsi="宋体" w:cs="宋体" w:hint="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w:t>
      </w:r>
      <w:r>
        <w:rPr>
          <w:rFonts w:ascii="宋体" w:hAnsi="宋体" w:cs="宋体" w:hint="eastAsia"/>
          <w:color w:val="000000"/>
          <w:szCs w:val="21"/>
        </w:rPr>
        <w:t>抽签原则：在深圳公共资源交易中心（深圳交易集团有限公司龙华分公司）的组织下，由评标委员会作为抽签小组进行随机抽签确定排序。（1）编号。抽签小组按上传投标文件的时间先后确定抽签编号，如A 公司上传投标文件的时间最早，则抽签编号为1，以此类推。（2）抽签。按抽签编号的数量在摇号机放入相应数量及对应编号的号码球，抽签小组成员随机抽取号码球，按抽出号码球的顺序，确定号码球对应的供应商排序。（3）确认结果。全体抽签小组成员签字确认抽签结果。</w:t>
      </w:r>
      <w:r>
        <w:rPr>
          <w:rFonts w:ascii="宋体" w:hAnsi="宋体" w:cs="宋体" w:hint="eastAsia"/>
          <w:bCs/>
          <w:szCs w:val="21"/>
        </w:rPr>
        <w:t>）确定，其他同品牌投标人不作为中标候选人。</w:t>
      </w:r>
    </w:p>
    <w:p>
      <w:pPr>
        <w:spacing w:line="360" w:lineRule="auto"/>
        <w:rPr>
          <w:rFonts w:ascii="宋体" w:hAnsi="宋体" w:cs="宋体"/>
          <w:bCs/>
          <w:szCs w:val="21"/>
        </w:rPr>
      </w:pPr>
      <w:r>
        <w:rPr>
          <w:rFonts w:ascii="宋体" w:hAnsi="宋体" w:cs="宋体" w:hint="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rPr>
          <w:rFonts w:ascii="宋体" w:hAnsi="宋体" w:cs="宋体"/>
          <w:szCs w:val="21"/>
        </w:rPr>
      </w:pPr>
      <w:r>
        <w:rPr>
          <w:rFonts w:ascii="宋体" w:hAnsi="宋体" w:cs="宋体" w:hint="eastAsia"/>
          <w:szCs w:val="21"/>
        </w:rPr>
        <w:t>32.4投标人投标文件作无效处理的情形，具体包括但不限于以下：</w:t>
      </w:r>
    </w:p>
    <w:p>
      <w:pPr>
        <w:spacing w:line="360" w:lineRule="auto"/>
        <w:rPr>
          <w:rFonts w:ascii="宋体" w:hAnsi="宋体" w:cs="宋体"/>
          <w:szCs w:val="21"/>
        </w:rPr>
      </w:pPr>
      <w:r>
        <w:rPr>
          <w:rFonts w:ascii="宋体" w:hAnsi="宋体" w:cs="宋体" w:hint="eastAsia"/>
          <w:szCs w:val="21"/>
        </w:rPr>
        <w:t>32.4.1不同投标人的投标文件由同一单位或者同一个人编制，或者由同一个人分阶段参与编制；</w:t>
      </w:r>
    </w:p>
    <w:p>
      <w:pPr>
        <w:spacing w:line="360" w:lineRule="auto"/>
        <w:rPr>
          <w:rFonts w:ascii="宋体" w:hAnsi="宋体" w:cs="宋体"/>
          <w:szCs w:val="21"/>
        </w:rPr>
      </w:pPr>
      <w:r>
        <w:rPr>
          <w:rFonts w:ascii="宋体" w:hAnsi="宋体" w:cs="宋体" w:hint="eastAsia"/>
          <w:szCs w:val="21"/>
        </w:rPr>
        <w:t>32.4.2不同投标人委托同一单位或者个人办理投标事宜；</w:t>
      </w:r>
    </w:p>
    <w:p>
      <w:pPr>
        <w:spacing w:line="360" w:lineRule="auto"/>
        <w:rPr>
          <w:rFonts w:ascii="宋体" w:hAnsi="宋体" w:cs="宋体"/>
          <w:szCs w:val="21"/>
        </w:rPr>
      </w:pPr>
      <w:r>
        <w:rPr>
          <w:rFonts w:ascii="宋体" w:hAnsi="宋体" w:cs="宋体" w:hint="eastAsia"/>
          <w:szCs w:val="21"/>
        </w:rPr>
        <w:t>32.4.3不同投标人的投标文件载明的项目管理成员或者联系人员为同一人；</w:t>
      </w:r>
    </w:p>
    <w:p>
      <w:pPr>
        <w:spacing w:line="360" w:lineRule="auto"/>
        <w:rPr>
          <w:rFonts w:ascii="宋体" w:hAnsi="宋体" w:cs="宋体"/>
          <w:szCs w:val="21"/>
        </w:rPr>
      </w:pPr>
      <w:r>
        <w:rPr>
          <w:rFonts w:ascii="宋体" w:hAnsi="宋体" w:cs="宋体" w:hint="eastAsia"/>
          <w:szCs w:val="21"/>
        </w:rPr>
        <w:t>32.4.4不同投标人的投标文件异常一致或者投标报价呈规律性差异；</w:t>
      </w:r>
    </w:p>
    <w:p>
      <w:pPr>
        <w:spacing w:line="360" w:lineRule="auto"/>
        <w:rPr>
          <w:rFonts w:ascii="宋体" w:hAnsi="宋体" w:cs="宋体"/>
          <w:szCs w:val="21"/>
        </w:rPr>
      </w:pPr>
      <w:r>
        <w:rPr>
          <w:rFonts w:ascii="宋体" w:hAnsi="宋体" w:cs="宋体" w:hint="eastAsia"/>
          <w:szCs w:val="21"/>
        </w:rPr>
        <w:t>32.4.5不同投标供应商的投标文件或部分投标文件相互混装；</w:t>
      </w:r>
    </w:p>
    <w:p>
      <w:pPr>
        <w:spacing w:line="360" w:lineRule="auto"/>
        <w:rPr>
          <w:rFonts w:ascii="宋体" w:hAnsi="宋体" w:cs="宋体"/>
          <w:szCs w:val="21"/>
        </w:rPr>
      </w:pPr>
      <w:r>
        <w:rPr>
          <w:rFonts w:ascii="宋体" w:hAnsi="宋体" w:cs="宋体" w:hint="eastAsia"/>
          <w:szCs w:val="21"/>
        </w:rPr>
        <w:t>32.4.6投标供应商之间相互约定给予未中标的供应商利益补偿；</w:t>
      </w:r>
    </w:p>
    <w:p>
      <w:pPr>
        <w:spacing w:line="360" w:lineRule="auto"/>
        <w:rPr>
          <w:rFonts w:ascii="宋体" w:hAnsi="宋体" w:cs="宋体"/>
          <w:szCs w:val="21"/>
        </w:rPr>
      </w:pPr>
      <w:r>
        <w:rPr>
          <w:rFonts w:ascii="宋体" w:hAnsi="宋体" w:cs="宋体" w:hint="eastAsia"/>
          <w:szCs w:val="21"/>
        </w:rPr>
        <w:t>32.4.7不同投标供应商的法定代表人、主要经营负责人、项目投标授权代表人、项目负责人、主要技术人员为同一人、属同一单位或者同一单位缴纳社会保险；</w:t>
      </w:r>
    </w:p>
    <w:p>
      <w:pPr>
        <w:spacing w:line="360" w:lineRule="auto"/>
        <w:rPr>
          <w:rFonts w:ascii="宋体" w:hAnsi="宋体" w:cs="宋体"/>
          <w:szCs w:val="21"/>
        </w:rPr>
      </w:pPr>
      <w:r>
        <w:rPr>
          <w:rFonts w:ascii="宋体" w:hAnsi="宋体" w:cs="宋体" w:hint="eastAsia"/>
          <w:szCs w:val="21"/>
        </w:rPr>
        <w:t>32.4.8不同投标供应商的投标文件内容存在非正常一致；</w:t>
      </w:r>
    </w:p>
    <w:p>
      <w:pPr>
        <w:spacing w:line="360" w:lineRule="auto"/>
        <w:rPr>
          <w:rFonts w:ascii="宋体" w:hAnsi="宋体" w:cs="宋体"/>
          <w:szCs w:val="21"/>
        </w:rPr>
      </w:pPr>
      <w:r>
        <w:rPr>
          <w:rFonts w:ascii="宋体" w:hAnsi="宋体" w:cs="宋体" w:hint="eastAsia"/>
          <w:szCs w:val="21"/>
        </w:rPr>
        <w:t>32.4.9在同一单位工作人员为两家以上（含两家）供应商进行同一项投标活动；</w:t>
      </w:r>
    </w:p>
    <w:p>
      <w:pPr>
        <w:spacing w:line="360" w:lineRule="auto"/>
        <w:rPr>
          <w:rFonts w:ascii="宋体" w:hAnsi="宋体" w:cs="宋体"/>
          <w:szCs w:val="21"/>
        </w:rPr>
      </w:pPr>
      <w:r>
        <w:rPr>
          <w:rFonts w:ascii="宋体" w:hAnsi="宋体" w:cs="宋体" w:hint="eastAsia"/>
          <w:szCs w:val="21"/>
        </w:rPr>
        <w:t>32.4.10主管部门依照法律、法规认定的其他情形；</w:t>
      </w:r>
    </w:p>
    <w:p>
      <w:pPr>
        <w:spacing w:line="360" w:lineRule="auto"/>
        <w:rPr>
          <w:rFonts w:ascii="宋体" w:hAnsi="宋体" w:cs="宋体"/>
          <w:szCs w:val="21"/>
        </w:rPr>
      </w:pPr>
      <w:r>
        <w:rPr>
          <w:rFonts w:ascii="宋体" w:hAnsi="宋体" w:cs="宋体" w:hint="eastAsia"/>
          <w:szCs w:val="21"/>
        </w:rPr>
        <w:t>32.4.11不同投标人通过系统上传投标文件电子档，存在IP地址一致、文件制作机器码一致或文件创建标识码一致（以深圳政府采购智慧平台系统截图为准）。</w:t>
      </w:r>
    </w:p>
    <w:p>
      <w:pPr>
        <w:spacing w:line="360" w:lineRule="auto"/>
        <w:rPr>
          <w:rFonts w:ascii="宋体" w:hAnsi="宋体" w:cs="宋体"/>
          <w:szCs w:val="21"/>
        </w:rPr>
      </w:pPr>
      <w:r>
        <w:rPr>
          <w:rFonts w:ascii="宋体" w:hAnsi="宋体" w:cs="宋体" w:hint="eastAsia"/>
          <w:szCs w:val="21"/>
        </w:rPr>
        <w:t>32.5对不属于《资格性审查表》和《符合性审查表》所列的其他情形，除专用条款另有规定和32.4条款所列情形外，不得作为投标无效的理由。</w:t>
      </w:r>
    </w:p>
    <w:p>
      <w:pPr>
        <w:spacing w:line="360" w:lineRule="auto"/>
        <w:rPr>
          <w:rFonts w:ascii="宋体" w:hAnsi="宋体" w:cs="宋体"/>
          <w:szCs w:val="21"/>
        </w:rPr>
      </w:pPr>
      <w:r>
        <w:rPr>
          <w:rFonts w:ascii="宋体" w:hAnsi="宋体" w:cs="宋体" w:hint="eastAsia"/>
          <w:szCs w:val="21"/>
        </w:rPr>
        <w:t>33．澄清有关问题</w:t>
      </w:r>
    </w:p>
    <w:p>
      <w:pPr>
        <w:spacing w:line="360" w:lineRule="auto"/>
        <w:rPr>
          <w:rFonts w:ascii="宋体" w:hAnsi="宋体" w:cs="宋体"/>
          <w:szCs w:val="21"/>
        </w:rPr>
      </w:pPr>
      <w:r>
        <w:rPr>
          <w:rFonts w:ascii="宋体" w:hAnsi="宋体" w:cs="宋体" w:hint="eastAsia"/>
          <w:szCs w:val="21"/>
        </w:rPr>
        <w:t>33.1对招标文件中描述有歧义或前后不一致的地方（不含招标文件存在歧义、重大缺陷导致评审工作无法进行的情况），评审委员会有权进行评判，但对同一条款的评判应适用于每个投标人。</w:t>
      </w:r>
    </w:p>
    <w:p>
      <w:pPr>
        <w:spacing w:line="360" w:lineRule="auto"/>
        <w:rPr>
          <w:rFonts w:ascii="宋体" w:hAnsi="宋体" w:cs="宋体"/>
          <w:szCs w:val="21"/>
        </w:rPr>
      </w:pPr>
      <w:r>
        <w:rPr>
          <w:rFonts w:ascii="宋体" w:hAnsi="宋体" w:cs="宋体" w:hint="eastAsia"/>
          <w:szCs w:val="21"/>
        </w:rPr>
        <w:t>33.2评审委员会发现招标文件存在歧义、重大缺陷导致评审工作无法进行，或者招标文件内容违反国家有关强制性规定的，应当停止评审工作，与政府集中采购机构沟通并作书面记录。经确认后，项目应当修改招标文件，重新组织采购活动。</w:t>
      </w:r>
    </w:p>
    <w:p>
      <w:pPr>
        <w:spacing w:line="360" w:lineRule="auto"/>
        <w:rPr>
          <w:rFonts w:ascii="宋体" w:hAnsi="宋体" w:cs="宋体"/>
          <w:szCs w:val="21"/>
        </w:rPr>
      </w:pPr>
      <w:r>
        <w:rPr>
          <w:rFonts w:ascii="宋体" w:hAnsi="宋体" w:cs="宋体" w:hint="eastAsia"/>
          <w:szCs w:val="21"/>
        </w:rPr>
        <w:t>33.3对于投标文件中含义不明确、同类问题表述不一致或者有明显文字和计算错误的内容，评审委员会应当以书面形式要求投标人作出必要的澄清、说明或者补正。</w:t>
      </w:r>
    </w:p>
    <w:p>
      <w:pPr>
        <w:spacing w:line="360" w:lineRule="auto"/>
        <w:rPr>
          <w:rFonts w:ascii="宋体" w:hAnsi="宋体" w:cs="宋体"/>
          <w:szCs w:val="21"/>
        </w:rPr>
      </w:pPr>
      <w:r>
        <w:rPr>
          <w:rFonts w:ascii="宋体" w:hAnsi="宋体" w:cs="宋体" w:hint="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rPr>
          <w:rFonts w:ascii="宋体" w:hAnsi="宋体" w:cs="宋体"/>
          <w:szCs w:val="21"/>
        </w:rPr>
      </w:pPr>
      <w:r>
        <w:rPr>
          <w:rFonts w:ascii="宋体" w:hAnsi="宋体" w:cs="宋体" w:hint="eastAsia"/>
          <w:szCs w:val="21"/>
        </w:rPr>
        <w:t>根据本通用条款第34条，凡属于评审委员会在评审中发现的算术错误进行核实的修改不在此列。</w:t>
      </w:r>
    </w:p>
    <w:p>
      <w:pPr>
        <w:spacing w:line="360" w:lineRule="auto"/>
        <w:rPr>
          <w:rFonts w:ascii="宋体" w:hAnsi="宋体" w:cs="宋体"/>
          <w:szCs w:val="21"/>
        </w:rPr>
      </w:pPr>
      <w:r>
        <w:rPr>
          <w:rFonts w:ascii="宋体" w:hAnsi="宋体" w:cs="宋体" w:hint="eastAsia"/>
          <w:szCs w:val="21"/>
        </w:rPr>
        <w:t>34．错误的修正</w:t>
      </w:r>
    </w:p>
    <w:p>
      <w:pPr>
        <w:spacing w:line="360" w:lineRule="auto"/>
        <w:rPr>
          <w:rFonts w:ascii="宋体" w:hAnsi="宋体" w:cs="宋体"/>
          <w:szCs w:val="21"/>
        </w:rPr>
      </w:pPr>
      <w:r>
        <w:rPr>
          <w:rFonts w:ascii="宋体" w:hAnsi="宋体" w:cs="宋体" w:hint="eastAsia"/>
          <w:szCs w:val="21"/>
        </w:rPr>
        <w:t>投标文件报价出现前后不一致的，除专用条款另有规定外，按照下列规定修正：</w:t>
      </w:r>
    </w:p>
    <w:p>
      <w:pPr>
        <w:spacing w:line="360" w:lineRule="auto"/>
        <w:rPr>
          <w:rFonts w:ascii="宋体" w:hAnsi="宋体" w:cs="宋体"/>
          <w:szCs w:val="21"/>
        </w:rPr>
      </w:pPr>
      <w:r>
        <w:rPr>
          <w:rFonts w:ascii="宋体" w:hAnsi="宋体" w:cs="宋体" w:hint="eastAsia"/>
          <w:szCs w:val="21"/>
        </w:rPr>
        <w:t>34.1投标文件中开标一览表投标报价内容与投标文件中投标报价相应内容不一致的，以开标一览表为准；</w:t>
      </w:r>
    </w:p>
    <w:p>
      <w:pPr>
        <w:spacing w:line="360" w:lineRule="auto"/>
        <w:rPr>
          <w:rFonts w:ascii="宋体" w:hAnsi="宋体" w:cs="宋体"/>
          <w:szCs w:val="21"/>
        </w:rPr>
      </w:pPr>
      <w:r>
        <w:rPr>
          <w:rFonts w:ascii="宋体" w:hAnsi="宋体" w:cs="宋体" w:hint="eastAsia"/>
          <w:szCs w:val="21"/>
        </w:rPr>
        <w:t>34.2大写金额和小写金额不一致的，以大写金额为准；</w:t>
      </w:r>
    </w:p>
    <w:p>
      <w:pPr>
        <w:spacing w:line="360" w:lineRule="auto"/>
        <w:rPr>
          <w:rFonts w:ascii="宋体" w:hAnsi="宋体" w:cs="宋体"/>
          <w:szCs w:val="21"/>
        </w:rPr>
      </w:pPr>
      <w:r>
        <w:rPr>
          <w:rFonts w:ascii="宋体" w:hAnsi="宋体" w:cs="宋体" w:hint="eastAsia"/>
          <w:szCs w:val="21"/>
        </w:rPr>
        <w:t>34.3单价金额小数点或者百分比有明显错位，以开标一览表的总价为准，并修改单价；</w:t>
      </w:r>
    </w:p>
    <w:p>
      <w:pPr>
        <w:spacing w:line="360" w:lineRule="auto"/>
        <w:rPr>
          <w:rFonts w:ascii="宋体" w:hAnsi="宋体" w:cs="宋体"/>
          <w:szCs w:val="21"/>
        </w:rPr>
      </w:pPr>
      <w:r>
        <w:rPr>
          <w:rFonts w:ascii="宋体" w:hAnsi="宋体" w:cs="宋体" w:hint="eastAsia"/>
          <w:szCs w:val="21"/>
        </w:rPr>
        <w:t>34.4总价金额与按单价汇总金额不一致的，以单价金额计算结果为准。</w:t>
      </w:r>
    </w:p>
    <w:p>
      <w:pPr>
        <w:spacing w:line="360" w:lineRule="auto"/>
        <w:rPr>
          <w:rFonts w:ascii="宋体" w:hAnsi="宋体" w:cs="宋体"/>
          <w:szCs w:val="21"/>
        </w:rPr>
      </w:pPr>
      <w:r>
        <w:rPr>
          <w:rFonts w:ascii="宋体" w:hAnsi="宋体" w:cs="宋体" w:hint="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宋体" w:hAnsi="宋体" w:cs="宋体"/>
          <w:szCs w:val="21"/>
        </w:rPr>
      </w:pPr>
      <w:r>
        <w:rPr>
          <w:rFonts w:ascii="宋体" w:hAnsi="宋体" w:cs="宋体" w:hint="eastAsia"/>
          <w:szCs w:val="21"/>
        </w:rPr>
        <w:t>35．投标文件的比较与评价</w:t>
      </w:r>
    </w:p>
    <w:p>
      <w:pPr>
        <w:spacing w:line="360" w:lineRule="auto"/>
        <w:rPr>
          <w:rFonts w:ascii="宋体" w:hAnsi="宋体" w:cs="宋体"/>
          <w:szCs w:val="21"/>
        </w:rPr>
      </w:pPr>
      <w:r>
        <w:rPr>
          <w:rFonts w:ascii="宋体" w:hAnsi="宋体" w:cs="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rPr>
          <w:rFonts w:ascii="宋体" w:hAnsi="宋体" w:cs="宋体"/>
          <w:szCs w:val="21"/>
        </w:rPr>
      </w:pPr>
      <w:r>
        <w:rPr>
          <w:rFonts w:ascii="宋体" w:hAnsi="宋体" w:cs="宋体" w:hint="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宋体" w:hAnsi="宋体" w:cs="宋体"/>
          <w:szCs w:val="21"/>
        </w:rPr>
      </w:pPr>
      <w:r>
        <w:rPr>
          <w:rFonts w:ascii="宋体" w:hAnsi="宋体" w:cs="宋体" w:hint="eastAsia"/>
          <w:szCs w:val="21"/>
        </w:rPr>
        <w:t>36. 实地考察或资料查验</w:t>
      </w:r>
    </w:p>
    <w:p>
      <w:pPr>
        <w:spacing w:line="360" w:lineRule="auto"/>
        <w:rPr>
          <w:rFonts w:ascii="宋体" w:hAnsi="宋体" w:cs="宋体"/>
          <w:szCs w:val="21"/>
        </w:rPr>
      </w:pPr>
      <w:r>
        <w:rPr>
          <w:rFonts w:ascii="宋体" w:hAnsi="宋体" w:cs="宋体" w:hint="eastAsia"/>
          <w:szCs w:val="21"/>
        </w:rPr>
        <w:t>36.1在评审过程中，评审委员会有权决定是否对本项目投标人进行实地考察或资料查验（原件）。投标人应随时做好接受实地考察或资料查验的准备。</w:t>
      </w:r>
    </w:p>
    <w:p>
      <w:pPr>
        <w:spacing w:line="360" w:lineRule="auto"/>
        <w:rPr>
          <w:rFonts w:ascii="宋体" w:hAnsi="宋体" w:cs="宋体"/>
          <w:szCs w:val="21"/>
        </w:rPr>
      </w:pPr>
      <w:r>
        <w:rPr>
          <w:rFonts w:ascii="宋体" w:hAnsi="宋体" w:cs="宋体" w:hint="eastAsia"/>
          <w:szCs w:val="21"/>
        </w:rPr>
        <w:t>37．评审方法</w:t>
      </w:r>
    </w:p>
    <w:p>
      <w:pPr>
        <w:spacing w:line="360" w:lineRule="auto"/>
        <w:rPr>
          <w:rFonts w:ascii="宋体" w:hAnsi="宋体" w:cs="宋体"/>
          <w:b/>
          <w:bCs/>
          <w:szCs w:val="21"/>
        </w:rPr>
      </w:pPr>
      <w:r>
        <w:rPr>
          <w:rFonts w:ascii="宋体" w:hAnsi="宋体" w:cs="宋体" w:hint="eastAsia"/>
          <w:b/>
          <w:bCs/>
          <w:szCs w:val="21"/>
        </w:rPr>
        <w:t>37.1.1最低价法</w:t>
      </w:r>
    </w:p>
    <w:p>
      <w:pPr>
        <w:spacing w:line="360" w:lineRule="auto"/>
        <w:rPr>
          <w:rFonts w:ascii="宋体" w:hAnsi="宋体" w:cs="宋体"/>
          <w:szCs w:val="21"/>
        </w:rPr>
      </w:pPr>
      <w:r>
        <w:rPr>
          <w:rFonts w:ascii="宋体" w:hAnsi="宋体" w:cs="宋体" w:hint="eastAsia"/>
          <w:szCs w:val="21"/>
        </w:rPr>
        <w:t>最低价法，是指完全满足招标文件实质性要求，按照报价由低到高的顺序，依据招标文件中规定的数量或者比例推荐候选中标供应商。</w:t>
      </w:r>
    </w:p>
    <w:p>
      <w:pPr>
        <w:spacing w:line="360" w:lineRule="auto"/>
        <w:rPr>
          <w:rFonts w:ascii="宋体" w:hAnsi="宋体" w:cs="宋体"/>
          <w:b/>
          <w:bCs/>
          <w:szCs w:val="21"/>
        </w:rPr>
      </w:pPr>
      <w:r>
        <w:rPr>
          <w:rFonts w:ascii="宋体" w:hAnsi="宋体" w:cs="宋体" w:hint="eastAsia"/>
          <w:b/>
          <w:bCs/>
          <w:szCs w:val="21"/>
        </w:rPr>
        <w:t>37.1.2综合评分法</w:t>
      </w:r>
    </w:p>
    <w:p>
      <w:pPr>
        <w:spacing w:line="360" w:lineRule="auto"/>
        <w:rPr>
          <w:rFonts w:ascii="宋体" w:hAnsi="宋体" w:cs="宋体"/>
          <w:b/>
          <w:bCs/>
          <w:szCs w:val="21"/>
        </w:rPr>
      </w:pPr>
      <w:r>
        <w:rPr>
          <w:rFonts w:ascii="宋体" w:hAnsi="宋体" w:cs="宋体" w:hint="eastAsia"/>
          <w:szCs w:val="21"/>
        </w:rPr>
        <w:t>综合评分法，是指在满足招标文件全部实质性要求的前提下，按照招标文件中规定的各项因素进行综合评审，评审总得分排名前列的投标人，作为推荐的候选中标供应商。</w:t>
      </w:r>
      <w:r>
        <w:rPr>
          <w:rFonts w:ascii="宋体" w:hAnsi="宋体" w:cs="宋体" w:hint="eastAsia"/>
          <w:bCs/>
          <w:color w:val="FF0000"/>
          <w:szCs w:val="21"/>
        </w:rPr>
        <w:t xml:space="preserve">  </w:t>
      </w:r>
      <w:r>
        <w:rPr>
          <w:rFonts w:ascii="宋体" w:hAnsi="宋体" w:cs="宋体" w:hint="eastAsia"/>
          <w:bCs/>
          <w:szCs w:val="21"/>
        </w:rPr>
        <w:t xml:space="preserve">                                                                                                                                                                                                                                                                                                                                                                                                                                                                                                                                                                                                                                                                                                                                                                                                                                                                                                                                                                                                                                                                                                                                                                                                                                                                                                                                                                                                                                                                                                                                                                                                                                                                                                                                                                                                                                                                                                                                                                                                                                                                                                                                                                                                                                                                                                                                                                                                                                                                                                                                                                                                                                                                                                                                                                                                                                                                                                                                                                                                                           </w:t>
      </w:r>
    </w:p>
    <w:p>
      <w:pPr>
        <w:spacing w:line="360" w:lineRule="auto"/>
        <w:rPr>
          <w:rFonts w:ascii="宋体" w:hAnsi="宋体" w:cs="宋体"/>
          <w:b/>
          <w:bCs/>
          <w:szCs w:val="21"/>
        </w:rPr>
      </w:pPr>
      <w:r>
        <w:rPr>
          <w:rFonts w:ascii="宋体" w:hAnsi="宋体" w:cs="宋体" w:hint="eastAsia"/>
          <w:b/>
          <w:bCs/>
          <w:szCs w:val="21"/>
        </w:rPr>
        <w:t>37.2 本项目采用的评审方法见本项目招标文件第一册“专用条款”的相关内容。</w:t>
      </w:r>
    </w:p>
    <w:p>
      <w:pPr>
        <w:spacing w:line="360" w:lineRule="auto"/>
        <w:rPr>
          <w:rFonts w:ascii="宋体" w:hAnsi="宋体" w:cs="宋体"/>
          <w:b/>
          <w:bCs/>
          <w:szCs w:val="21"/>
        </w:rPr>
      </w:pPr>
      <w:r>
        <w:rPr>
          <w:rFonts w:ascii="宋体" w:hAnsi="宋体" w:cs="宋体" w:hint="eastAsia"/>
          <w:b/>
          <w:bCs/>
          <w:szCs w:val="21"/>
        </w:rPr>
        <w:t>37.3重新评审的情形</w:t>
      </w:r>
    </w:p>
    <w:p>
      <w:pPr>
        <w:spacing w:line="360" w:lineRule="auto"/>
        <w:rPr>
          <w:rFonts w:ascii="宋体" w:hAnsi="宋体" w:cs="宋体"/>
          <w:b/>
          <w:bCs/>
          <w:szCs w:val="21"/>
        </w:rPr>
      </w:pPr>
      <w:r>
        <w:rPr>
          <w:rFonts w:ascii="宋体" w:hAnsi="宋体" w:cs="宋体" w:hint="eastAsia"/>
          <w:kern w:val="0"/>
          <w:szCs w:val="21"/>
        </w:rPr>
        <w:t>评审结果汇总完成后，除下列情形外，任何人不得修改评审结果：</w:t>
      </w:r>
    </w:p>
    <w:p>
      <w:pPr>
        <w:spacing w:line="360" w:lineRule="auto"/>
        <w:rPr>
          <w:rFonts w:ascii="宋体" w:hAnsi="宋体" w:cs="宋体"/>
          <w:kern w:val="0"/>
          <w:szCs w:val="21"/>
        </w:rPr>
      </w:pPr>
      <w:r>
        <w:rPr>
          <w:rFonts w:ascii="宋体" w:hAnsi="宋体" w:cs="宋体" w:hint="eastAsia"/>
          <w:kern w:val="0"/>
          <w:szCs w:val="21"/>
        </w:rPr>
        <w:t>37.3.1分值汇总计算错误的；</w:t>
      </w:r>
    </w:p>
    <w:p>
      <w:pPr>
        <w:spacing w:line="360" w:lineRule="auto"/>
        <w:rPr>
          <w:rFonts w:ascii="宋体" w:hAnsi="宋体" w:cs="宋体"/>
          <w:kern w:val="0"/>
          <w:szCs w:val="21"/>
        </w:rPr>
      </w:pPr>
      <w:r>
        <w:rPr>
          <w:rFonts w:ascii="宋体" w:hAnsi="宋体" w:cs="宋体" w:hint="eastAsia"/>
          <w:kern w:val="0"/>
          <w:szCs w:val="21"/>
        </w:rPr>
        <w:t>37.3.2分项评分超出评分标准范围的；</w:t>
      </w:r>
    </w:p>
    <w:p>
      <w:pPr>
        <w:spacing w:line="360" w:lineRule="auto"/>
        <w:rPr>
          <w:rFonts w:ascii="宋体" w:hAnsi="宋体" w:cs="宋体"/>
          <w:kern w:val="0"/>
          <w:szCs w:val="21"/>
        </w:rPr>
      </w:pPr>
      <w:r>
        <w:rPr>
          <w:rFonts w:ascii="宋体" w:hAnsi="宋体" w:cs="宋体" w:hint="eastAsia"/>
          <w:kern w:val="0"/>
          <w:szCs w:val="21"/>
        </w:rPr>
        <w:t>37.3.3评审委员会成员对客观评审因素评分不一致的；</w:t>
      </w:r>
    </w:p>
    <w:p>
      <w:pPr>
        <w:spacing w:line="360" w:lineRule="auto"/>
        <w:rPr>
          <w:rFonts w:ascii="宋体" w:hAnsi="宋体" w:cs="宋体"/>
          <w:kern w:val="0"/>
          <w:szCs w:val="21"/>
        </w:rPr>
      </w:pPr>
      <w:r>
        <w:rPr>
          <w:rFonts w:ascii="宋体" w:hAnsi="宋体" w:cs="宋体" w:hint="eastAsia"/>
          <w:kern w:val="0"/>
          <w:szCs w:val="21"/>
        </w:rPr>
        <w:t>37.3.4经评审委员会认定评分畸高、畸低的。</w:t>
      </w:r>
    </w:p>
    <w:p>
      <w:pPr>
        <w:spacing w:line="360" w:lineRule="auto"/>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pPr>
        <w:spacing w:line="360" w:lineRule="auto"/>
        <w:rPr>
          <w:rFonts w:ascii="宋体" w:hAnsi="宋体" w:cs="宋体"/>
          <w:b/>
          <w:bCs/>
          <w:szCs w:val="21"/>
        </w:rPr>
      </w:pPr>
      <w:r>
        <w:rPr>
          <w:rFonts w:ascii="宋体" w:hAnsi="宋体" w:cs="宋体" w:hint="eastAsia"/>
          <w:b/>
          <w:bCs/>
          <w:szCs w:val="21"/>
        </w:rPr>
        <w:t>37.4重新组建评审委员会的情形</w:t>
      </w:r>
    </w:p>
    <w:p>
      <w:pPr>
        <w:spacing w:line="360" w:lineRule="auto"/>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pPr>
        <w:spacing w:line="360" w:lineRule="auto"/>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pPr>
        <w:spacing w:line="360" w:lineRule="auto"/>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pPr>
        <w:spacing w:line="360" w:lineRule="auto"/>
        <w:rPr>
          <w:rFonts w:ascii="宋体" w:hAnsi="宋体" w:cs="宋体"/>
          <w:kern w:val="0"/>
          <w:szCs w:val="21"/>
        </w:rPr>
      </w:pPr>
      <w:r>
        <w:rPr>
          <w:rFonts w:ascii="宋体" w:hAnsi="宋体" w:cs="宋体" w:hint="eastAsia"/>
          <w:kern w:val="0"/>
          <w:szCs w:val="21"/>
        </w:rPr>
        <w:t>37.4.3评审委员会及其成员独立评标受到非法干预的；</w:t>
      </w:r>
    </w:p>
    <w:p>
      <w:pPr>
        <w:spacing w:line="360" w:lineRule="auto"/>
        <w:rPr>
          <w:rFonts w:ascii="宋体" w:hAnsi="宋体" w:cs="宋体"/>
          <w:kern w:val="0"/>
          <w:szCs w:val="21"/>
        </w:rPr>
      </w:pPr>
      <w:r>
        <w:rPr>
          <w:rFonts w:ascii="宋体" w:hAnsi="宋体" w:cs="宋体" w:hint="eastAsia"/>
          <w:kern w:val="0"/>
          <w:szCs w:val="21"/>
        </w:rPr>
        <w:t>37.4.4有政府采购法实施条例第七十五条规定的违法行为的。</w:t>
      </w:r>
    </w:p>
    <w:p>
      <w:pPr>
        <w:spacing w:line="360" w:lineRule="auto"/>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pPr>
        <w:spacing w:line="360" w:lineRule="auto"/>
        <w:rPr>
          <w:rFonts w:ascii="宋体" w:hAnsi="宋体" w:cs="宋体"/>
          <w:szCs w:val="21"/>
        </w:rPr>
      </w:pP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定标及公示</w:t>
      </w:r>
    </w:p>
    <w:p>
      <w:pPr>
        <w:spacing w:line="360" w:lineRule="auto"/>
        <w:rPr>
          <w:rFonts w:ascii="宋体" w:hAnsi="宋体" w:cs="宋体"/>
          <w:szCs w:val="21"/>
        </w:rPr>
      </w:pPr>
      <w:r>
        <w:rPr>
          <w:rFonts w:ascii="宋体" w:hAnsi="宋体" w:cs="宋体" w:hint="eastAsia"/>
          <w:szCs w:val="21"/>
        </w:rPr>
        <w:t>38．定标方法</w:t>
      </w:r>
    </w:p>
    <w:p>
      <w:pPr>
        <w:spacing w:line="360" w:lineRule="auto"/>
        <w:rPr>
          <w:rFonts w:ascii="宋体" w:hAnsi="宋体" w:cs="宋体"/>
          <w:szCs w:val="21"/>
        </w:rPr>
      </w:pPr>
      <w:r>
        <w:rPr>
          <w:rFonts w:ascii="宋体" w:hAnsi="宋体" w:cs="宋体" w:hint="eastAsia"/>
          <w:szCs w:val="21"/>
        </w:rPr>
        <w:t>38.1非评定分离项目定标方法</w:t>
      </w:r>
    </w:p>
    <w:p>
      <w:pPr>
        <w:spacing w:line="360" w:lineRule="auto"/>
        <w:rPr>
          <w:rFonts w:ascii="宋体" w:hAnsi="宋体" w:cs="宋体"/>
          <w:szCs w:val="21"/>
        </w:rPr>
      </w:pPr>
      <w:r>
        <w:rPr>
          <w:rFonts w:ascii="宋体" w:hAnsi="宋体" w:cs="宋体" w:hint="eastAsia"/>
          <w:szCs w:val="21"/>
        </w:rPr>
        <w:t>38.1.1评审委员会依据本项目招标文件所约定的评审方法进行评审和比较，向政府集中采购机构提交书面评审报告，并根据评审方法比较评价结果从优到劣进行排序，确定候选中标供应商。</w:t>
      </w:r>
    </w:p>
    <w:p>
      <w:pPr>
        <w:spacing w:line="360" w:lineRule="auto"/>
        <w:jc w:val="left"/>
        <w:rPr>
          <w:rFonts w:ascii="宋体" w:hAnsi="宋体" w:cs="宋体"/>
          <w:szCs w:val="21"/>
        </w:rPr>
      </w:pPr>
      <w:r>
        <w:rPr>
          <w:rFonts w:ascii="宋体" w:hAnsi="宋体" w:cs="宋体" w:hint="eastAsia"/>
          <w:szCs w:val="21"/>
        </w:rPr>
        <w:t>38.1.2采用最低价法的，评审结果按投标报价由低到高顺序排列。投标报价相同的并列。投标文件满足招标文件全部实质性要求且投标报价最低的投标人为中标供应商。出现投标报价相同的并列情况时，采取随机抽取的方式确定。</w:t>
      </w:r>
      <w:r>
        <w:rPr>
          <w:rFonts w:ascii="宋体" w:hAnsi="宋体" w:cs="宋体" w:hint="eastAsia"/>
          <w:bCs/>
          <w:szCs w:val="21"/>
        </w:rPr>
        <w:t>（</w:t>
      </w:r>
      <w:r>
        <w:rPr>
          <w:rFonts w:ascii="宋体" w:hAnsi="宋体" w:cs="宋体" w:hint="eastAsia"/>
          <w:color w:val="000000"/>
          <w:szCs w:val="21"/>
        </w:rPr>
        <w:t>抽签原则：在深圳公共资源交易中心（深圳交易集团有限公司龙华分公司）的组织下，由评标委员会作为抽签小组进行随机抽签确定排序。（1）编号。抽签小组按上传投标文件的时间先后确定抽签编号，如A 公司上传投标文件的时间最早，则抽签编号为1，以此类推。（2）抽签。按抽签编号的数量在摇号机放入相应数量及对应编号的号码球，抽签小组成员随机抽取号码球，按抽出号码球的顺序，确定号码球对应的供应商排序。（3）确认结果。全体抽签小组成员签字确认抽签结果。</w:t>
      </w:r>
      <w:r>
        <w:rPr>
          <w:rFonts w:ascii="宋体" w:hAnsi="宋体" w:cs="宋体" w:hint="eastAsia"/>
          <w:bCs/>
          <w:szCs w:val="21"/>
        </w:rPr>
        <w:t>）</w:t>
      </w:r>
    </w:p>
    <w:p>
      <w:pPr>
        <w:spacing w:line="360" w:lineRule="auto"/>
        <w:rPr>
          <w:rFonts w:ascii="宋体" w:hAnsi="宋体" w:cs="宋体"/>
          <w:szCs w:val="21"/>
        </w:rPr>
      </w:pPr>
      <w:r>
        <w:rPr>
          <w:rFonts w:ascii="宋体" w:hAnsi="宋体" w:cs="宋体" w:hint="eastAsia"/>
          <w:szCs w:val="21"/>
        </w:rPr>
        <w:t>38.1.3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供应商。出现得分且投标报价相同的并列情况时，采取随机抽取的方式确定。</w:t>
      </w:r>
      <w:r>
        <w:rPr>
          <w:rFonts w:ascii="宋体" w:hAnsi="宋体" w:cs="宋体" w:hint="eastAsia"/>
          <w:bCs/>
          <w:szCs w:val="21"/>
        </w:rPr>
        <w:t>（</w:t>
      </w:r>
      <w:r>
        <w:rPr>
          <w:rFonts w:ascii="宋体" w:hAnsi="宋体" w:cs="宋体" w:hint="eastAsia"/>
          <w:color w:val="000000"/>
          <w:szCs w:val="21"/>
        </w:rPr>
        <w:t>抽签原则：在深圳公共资源交易中心（深圳交易集团有限公司龙华分公司）的组织下，由评标委员会作为抽签小组进行随机抽签确定排序。（1）编号。抽签小组按上传投标文件的时间先后确定抽签编号，如A 公司上传投标文件的时间最早，则抽签编号为1，以此类推。（2）抽签。按抽签编号的数量在摇号机放入相应数量及对应编号的号码球，抽签小组成员随机抽取号码球，按抽出号码球的顺序，确定号码球对应的供应商排序。（3）确认结果。全体抽签小组成员签字确认抽签结果。</w:t>
      </w:r>
      <w:r>
        <w:rPr>
          <w:rFonts w:ascii="宋体" w:hAnsi="宋体" w:cs="宋体" w:hint="eastAsia"/>
          <w:bCs/>
          <w:szCs w:val="21"/>
        </w:rPr>
        <w:t>）</w:t>
      </w:r>
    </w:p>
    <w:p>
      <w:pPr>
        <w:spacing w:line="360" w:lineRule="auto"/>
        <w:rPr>
          <w:rFonts w:ascii="宋体" w:hAnsi="宋体" w:cs="宋体"/>
          <w:szCs w:val="21"/>
        </w:rPr>
      </w:pPr>
      <w:r>
        <w:rPr>
          <w:rFonts w:ascii="宋体" w:hAnsi="宋体" w:cs="宋体" w:hint="eastAsia"/>
          <w:szCs w:val="21"/>
        </w:rPr>
        <w:t>38.2评定分离项目定标方法</w:t>
      </w:r>
    </w:p>
    <w:p>
      <w:pPr>
        <w:spacing w:line="360" w:lineRule="auto"/>
        <w:rPr>
          <w:rFonts w:ascii="宋体" w:hAnsi="宋体" w:cs="宋体"/>
          <w:szCs w:val="21"/>
        </w:rPr>
      </w:pPr>
      <w:r>
        <w:rPr>
          <w:rFonts w:ascii="宋体" w:hAnsi="宋体" w:cs="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rPr>
          <w:rFonts w:ascii="宋体" w:hAnsi="宋体" w:cs="宋体"/>
          <w:szCs w:val="21"/>
        </w:rPr>
      </w:pPr>
      <w:r>
        <w:rPr>
          <w:rFonts w:ascii="宋体" w:hAnsi="宋体" w:cs="宋体" w:hint="eastAsia"/>
          <w:szCs w:val="21"/>
        </w:rPr>
        <w:t>38.2.2 适用评定分离的政府采购项目，采用综合评分法评审。评审委员会按照评审结果，推荐三个合格的候选中标供应商。</w:t>
      </w:r>
    </w:p>
    <w:p>
      <w:pPr>
        <w:spacing w:line="360" w:lineRule="auto"/>
        <w:rPr>
          <w:rFonts w:ascii="宋体" w:hAnsi="宋体" w:cs="宋体"/>
          <w:szCs w:val="21"/>
        </w:rPr>
      </w:pPr>
      <w:r>
        <w:rPr>
          <w:rFonts w:ascii="宋体" w:hAnsi="宋体" w:cs="宋体" w:hint="eastAsia"/>
          <w:szCs w:val="21"/>
        </w:rPr>
        <w:t>38.2.3适用评定分离的政府采购项目，按照自定法确定中标供应商：自定法是指采购人组织定标委员会，由定标委员会在三家候选中标供应商中确定中标供应商。</w:t>
      </w:r>
    </w:p>
    <w:p>
      <w:pPr>
        <w:spacing w:line="360" w:lineRule="auto"/>
        <w:rPr>
          <w:rFonts w:ascii="宋体" w:hAnsi="宋体" w:cs="宋体"/>
          <w:szCs w:val="21"/>
        </w:rPr>
      </w:pPr>
      <w:r>
        <w:rPr>
          <w:rFonts w:ascii="宋体" w:hAnsi="宋体" w:cs="宋体" w:hint="eastAsia"/>
          <w:szCs w:val="21"/>
        </w:rPr>
        <w:t>38.2.4政府集中采购机构应当自评审结束之日起两个工作日内将候选中标供应商名单及其投标文件、评审报告送交采购人。采购人应当安排专人对定标过程进行书面记录，形成定标报告，作为采购文件的组成部分存档，并及时将定标结果反馈政府集中采购机构。具体定标程序及相关要求以按照《深圳市财政局关于印发〈深圳市政府采购评标定标分离管理办法〉的通知》（深财规【2020】1号）执行。</w:t>
      </w:r>
    </w:p>
    <w:p>
      <w:pPr>
        <w:spacing w:line="360" w:lineRule="auto"/>
        <w:rPr>
          <w:rFonts w:ascii="宋体" w:hAnsi="宋体" w:cs="宋体"/>
          <w:szCs w:val="21"/>
        </w:rPr>
      </w:pPr>
      <w:r>
        <w:rPr>
          <w:rFonts w:ascii="宋体" w:hAnsi="宋体" w:cs="宋体" w:hint="eastAsia"/>
          <w:szCs w:val="21"/>
        </w:rPr>
        <w:t>说明：采购人及投标供应商应按照上述方法提前做好相关准备。</w:t>
      </w:r>
    </w:p>
    <w:p>
      <w:pPr>
        <w:spacing w:line="360" w:lineRule="auto"/>
        <w:rPr>
          <w:rFonts w:ascii="宋体" w:hAnsi="宋体" w:cs="宋体"/>
          <w:szCs w:val="21"/>
        </w:rPr>
      </w:pPr>
      <w:r>
        <w:rPr>
          <w:rFonts w:ascii="宋体" w:hAnsi="宋体" w:cs="宋体" w:hint="eastAsia"/>
          <w:szCs w:val="21"/>
        </w:rPr>
        <w:t>38.3 专用条款另有规定的，按专用条款相关要求定标。</w:t>
      </w:r>
    </w:p>
    <w:p>
      <w:pPr>
        <w:spacing w:line="360" w:lineRule="auto"/>
        <w:rPr>
          <w:rFonts w:ascii="宋体" w:hAnsi="宋体" w:cs="宋体"/>
          <w:szCs w:val="21"/>
        </w:rPr>
      </w:pPr>
      <w:r>
        <w:rPr>
          <w:rFonts w:ascii="宋体" w:hAnsi="宋体" w:cs="宋体" w:hint="eastAsia"/>
          <w:szCs w:val="21"/>
        </w:rPr>
        <w:t>39．编写评审报告</w:t>
      </w:r>
    </w:p>
    <w:p>
      <w:pPr>
        <w:spacing w:line="360" w:lineRule="auto"/>
        <w:rPr>
          <w:rFonts w:ascii="宋体" w:hAnsi="宋体" w:cs="宋体"/>
          <w:szCs w:val="21"/>
        </w:rPr>
      </w:pPr>
      <w:r>
        <w:rPr>
          <w:rFonts w:ascii="宋体" w:hAnsi="宋体" w:cs="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宋体" w:hAnsi="宋体" w:cs="宋体"/>
          <w:szCs w:val="21"/>
        </w:rPr>
      </w:pPr>
      <w:r>
        <w:rPr>
          <w:rFonts w:ascii="宋体" w:hAnsi="宋体" w:cs="宋体" w:hint="eastAsia"/>
          <w:szCs w:val="21"/>
        </w:rPr>
        <w:t>40．中标公告</w:t>
      </w:r>
    </w:p>
    <w:p>
      <w:pPr>
        <w:spacing w:line="360" w:lineRule="auto"/>
        <w:rPr>
          <w:rFonts w:ascii="宋体" w:hAnsi="宋体" w:cs="宋体"/>
          <w:szCs w:val="21"/>
        </w:rPr>
      </w:pPr>
      <w:r>
        <w:rPr>
          <w:rFonts w:ascii="宋体" w:hAnsi="宋体" w:cs="宋体" w:hint="eastAsia"/>
          <w:szCs w:val="21"/>
        </w:rPr>
        <w:t>40.1为体现“公开、公平、公正”的原则，评审结束后经采购人确认（确定）评审结果，政府集中采购机构将在“深圳政府采购智慧平台（http://zfcg.szggzy.com/）”上发布中标结果公告。供应商如对评审结果有异议，可在发布公示日期起七个工作日内向政府集中采购机构提出。 监督电话：0755-23338582。若在公示期内未提出质疑，则视为认同该评审结果。</w:t>
      </w:r>
    </w:p>
    <w:p>
      <w:pPr>
        <w:spacing w:line="360" w:lineRule="auto"/>
        <w:rPr>
          <w:rFonts w:ascii="宋体" w:hAnsi="宋体" w:cs="宋体"/>
          <w:szCs w:val="21"/>
        </w:rPr>
      </w:pPr>
      <w:r>
        <w:rPr>
          <w:rFonts w:ascii="宋体" w:hAnsi="宋体" w:cs="宋体" w:hint="eastAsia"/>
          <w:szCs w:val="21"/>
        </w:rPr>
        <w:t>40.2质疑、投诉供应商应保证质疑、投诉内容的真实性和可靠性，并承担相应的法律责任。41．中标通知书</w:t>
      </w:r>
    </w:p>
    <w:p>
      <w:pPr>
        <w:spacing w:line="360" w:lineRule="auto"/>
        <w:rPr>
          <w:rFonts w:ascii="宋体" w:hAnsi="宋体" w:cs="宋体"/>
          <w:szCs w:val="21"/>
        </w:rPr>
      </w:pPr>
      <w:r>
        <w:rPr>
          <w:rFonts w:ascii="宋体" w:hAnsi="宋体" w:cs="宋体" w:hint="eastAsia"/>
          <w:szCs w:val="21"/>
        </w:rPr>
        <w:t>41.1中标公告公布以后无异常的情况下,中标供应商和采购人可自行在“深圳政府采购智慧平台（http://zfcg.szggzy.com/）”上打印《数字中标通知书》（咨询电话：0755-23338582）。</w:t>
      </w:r>
    </w:p>
    <w:p>
      <w:pPr>
        <w:spacing w:line="360" w:lineRule="auto"/>
        <w:rPr>
          <w:rFonts w:ascii="宋体" w:hAnsi="宋体" w:cs="宋体"/>
          <w:szCs w:val="21"/>
        </w:rPr>
      </w:pPr>
      <w:r>
        <w:rPr>
          <w:rFonts w:ascii="宋体" w:hAnsi="宋体" w:cs="宋体" w:hint="eastAsia"/>
          <w:szCs w:val="21"/>
        </w:rPr>
        <w:t>41.2中标通知书是合同的重要组成部分。</w:t>
      </w:r>
    </w:p>
    <w:p>
      <w:pPr>
        <w:spacing w:line="360" w:lineRule="auto"/>
        <w:rPr>
          <w:rFonts w:ascii="宋体" w:hAnsi="宋体" w:cs="宋体"/>
          <w:szCs w:val="21"/>
        </w:rPr>
      </w:pPr>
      <w:r>
        <w:rPr>
          <w:rFonts w:ascii="宋体" w:hAnsi="宋体" w:cs="宋体" w:hint="eastAsia"/>
          <w:szCs w:val="21"/>
        </w:rPr>
        <w:t>41.3因质疑投诉或其它原因导致项目结果变更或采购终止的，政府集中采购机构有权吊销中标通知书。</w:t>
      </w: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公开招标失败的后续处理</w:t>
      </w:r>
    </w:p>
    <w:p>
      <w:pPr>
        <w:spacing w:line="360" w:lineRule="auto"/>
        <w:rPr>
          <w:rFonts w:ascii="宋体" w:hAnsi="宋体" w:cs="宋体"/>
          <w:szCs w:val="21"/>
        </w:rPr>
      </w:pPr>
      <w:r>
        <w:rPr>
          <w:rFonts w:ascii="宋体" w:hAnsi="宋体" w:cs="宋体" w:hint="eastAsia"/>
          <w:szCs w:val="21"/>
        </w:rPr>
        <w:t>42．公开招标失败的处理</w:t>
      </w:r>
    </w:p>
    <w:p>
      <w:pPr>
        <w:spacing w:line="360" w:lineRule="auto"/>
        <w:rPr>
          <w:rFonts w:ascii="宋体" w:hAnsi="宋体" w:cs="宋体"/>
          <w:szCs w:val="21"/>
        </w:rPr>
      </w:pPr>
      <w:r>
        <w:rPr>
          <w:rFonts w:ascii="宋体" w:hAnsi="宋体" w:cs="宋体" w:hint="eastAsia"/>
          <w:szCs w:val="21"/>
        </w:rPr>
        <w:t>42.1本项目公开招标过程中若由于投标截止后实际递交投标文件的供应商数量不足、经评审委员会评审对招标文件作实质响应的供应商不足等原因造成公开招标失败，可由政府集中采购机构重新组织采购。</w:t>
      </w:r>
    </w:p>
    <w:p>
      <w:pPr>
        <w:spacing w:line="360" w:lineRule="auto"/>
        <w:rPr>
          <w:rFonts w:ascii="宋体" w:hAnsi="宋体" w:cs="宋体"/>
          <w:szCs w:val="21"/>
        </w:rPr>
      </w:pPr>
      <w:r>
        <w:rPr>
          <w:rFonts w:ascii="宋体" w:hAnsi="宋体" w:cs="宋体" w:hint="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rPr>
          <w:rFonts w:ascii="宋体" w:hAnsi="宋体" w:cs="宋体"/>
          <w:szCs w:val="21"/>
        </w:rPr>
      </w:pPr>
      <w:r>
        <w:rPr>
          <w:rFonts w:ascii="宋体" w:hAnsi="宋体" w:cs="宋体" w:hint="eastAsia"/>
          <w:szCs w:val="21"/>
        </w:rPr>
        <w:t>42.3重新组织采购有以下两种组织形式：</w:t>
      </w:r>
    </w:p>
    <w:p>
      <w:pPr>
        <w:spacing w:line="360" w:lineRule="auto"/>
        <w:rPr>
          <w:rFonts w:ascii="宋体" w:hAnsi="宋体" w:cs="宋体"/>
          <w:szCs w:val="21"/>
        </w:rPr>
      </w:pPr>
      <w:r>
        <w:rPr>
          <w:rFonts w:ascii="宋体" w:hAnsi="宋体" w:cs="宋体" w:hint="eastAsia"/>
          <w:szCs w:val="21"/>
        </w:rPr>
        <w:t>（1）由政府集中采购机构重新组织公开招标；</w:t>
      </w:r>
    </w:p>
    <w:p>
      <w:pPr>
        <w:spacing w:line="360" w:lineRule="auto"/>
        <w:rPr>
          <w:rFonts w:ascii="宋体" w:hAnsi="宋体" w:cs="宋体"/>
          <w:szCs w:val="21"/>
        </w:rPr>
      </w:pPr>
      <w:r>
        <w:rPr>
          <w:rFonts w:ascii="宋体" w:hAnsi="宋体" w:cs="宋体" w:hint="eastAsia"/>
          <w:szCs w:val="21"/>
        </w:rPr>
        <w:t>（2）根据实际情况需要向同级财政部门提出非公开招标方式申请，经同级财政部门批准，公开招标失败采购项目可转为竞争性谈判或单一来源谈判方式采购。</w:t>
      </w:r>
    </w:p>
    <w:p>
      <w:pPr>
        <w:spacing w:line="360" w:lineRule="auto"/>
        <w:rPr>
          <w:rFonts w:ascii="宋体" w:hAnsi="宋体" w:cs="宋体"/>
          <w:szCs w:val="21"/>
        </w:rPr>
      </w:pPr>
      <w:r>
        <w:rPr>
          <w:rFonts w:ascii="宋体" w:hAnsi="宋体" w:cs="宋体" w:hint="eastAsia"/>
          <w:szCs w:val="21"/>
        </w:rPr>
        <w:t>42.4公开招标失败的采购项目重新组织公开招标，由政府集中采购机构重新按公开招标流程组织采购活动。</w:t>
      </w:r>
    </w:p>
    <w:p>
      <w:pPr>
        <w:spacing w:line="360" w:lineRule="auto"/>
        <w:rPr>
          <w:rFonts w:ascii="宋体" w:hAnsi="宋体" w:cs="宋体"/>
          <w:szCs w:val="21"/>
        </w:rPr>
      </w:pPr>
      <w:r>
        <w:rPr>
          <w:rFonts w:ascii="宋体" w:hAnsi="宋体" w:cs="宋体" w:hint="eastAsia"/>
          <w:szCs w:val="21"/>
        </w:rPr>
        <w:t>42.5公开招标失败的采购项目经同级财政部门批准转为竞争性谈判或单一来源谈判方式采购的，按规定要求组织政府采购工作。</w:t>
      </w:r>
    </w:p>
    <w:p>
      <w:pPr>
        <w:spacing w:line="360" w:lineRule="auto"/>
        <w:rPr>
          <w:rFonts w:ascii="宋体" w:hAnsi="宋体" w:cs="宋体"/>
          <w:sz w:val="24"/>
        </w:rPr>
      </w:pP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合同的授予与备案</w:t>
      </w:r>
    </w:p>
    <w:p>
      <w:pPr>
        <w:spacing w:line="360" w:lineRule="auto"/>
        <w:rPr>
          <w:rFonts w:ascii="宋体" w:hAnsi="宋体" w:cs="宋体"/>
          <w:szCs w:val="21"/>
        </w:rPr>
      </w:pPr>
      <w:r>
        <w:rPr>
          <w:rFonts w:ascii="宋体" w:hAnsi="宋体" w:cs="宋体" w:hint="eastAsia"/>
          <w:szCs w:val="21"/>
        </w:rPr>
        <w:t>43．合同授予标准</w:t>
      </w:r>
    </w:p>
    <w:p>
      <w:pPr>
        <w:spacing w:line="360" w:lineRule="auto"/>
        <w:rPr>
          <w:rFonts w:ascii="宋体" w:hAnsi="宋体" w:cs="宋体"/>
          <w:szCs w:val="21"/>
        </w:rPr>
      </w:pPr>
      <w:r>
        <w:rPr>
          <w:rFonts w:ascii="宋体" w:hAnsi="宋体" w:cs="宋体" w:hint="eastAsia"/>
          <w:szCs w:val="21"/>
        </w:rPr>
        <w:t>本项目的合同将授予经本招标文件规定评审确定的中标人。</w:t>
      </w:r>
    </w:p>
    <w:p>
      <w:pPr>
        <w:spacing w:line="360" w:lineRule="auto"/>
        <w:rPr>
          <w:rFonts w:ascii="宋体" w:hAnsi="宋体" w:cs="宋体"/>
          <w:szCs w:val="21"/>
        </w:rPr>
      </w:pPr>
      <w:r>
        <w:rPr>
          <w:rFonts w:ascii="宋体" w:hAnsi="宋体" w:cs="宋体" w:hint="eastAsia"/>
          <w:szCs w:val="21"/>
        </w:rPr>
        <w:t>44．接受和拒绝任何或所有投标的权力</w:t>
      </w:r>
    </w:p>
    <w:p>
      <w:pPr>
        <w:spacing w:line="360" w:lineRule="auto"/>
        <w:rPr>
          <w:rFonts w:ascii="宋体" w:hAnsi="宋体" w:cs="宋体"/>
          <w:szCs w:val="21"/>
        </w:rPr>
      </w:pPr>
      <w:r>
        <w:rPr>
          <w:rFonts w:ascii="宋体" w:hAnsi="宋体" w:cs="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宋体" w:hAnsi="宋体" w:cs="宋体"/>
          <w:szCs w:val="21"/>
        </w:rPr>
      </w:pPr>
      <w:r>
        <w:rPr>
          <w:rFonts w:ascii="宋体" w:hAnsi="宋体" w:cs="宋体" w:hint="eastAsia"/>
          <w:szCs w:val="21"/>
        </w:rPr>
        <w:t>45．合同的签订</w:t>
      </w:r>
    </w:p>
    <w:p>
      <w:pPr>
        <w:spacing w:line="360" w:lineRule="auto"/>
        <w:rPr>
          <w:rFonts w:ascii="宋体" w:hAnsi="宋体" w:cs="宋体"/>
          <w:szCs w:val="21"/>
        </w:rPr>
      </w:pPr>
      <w:r>
        <w:rPr>
          <w:rFonts w:ascii="宋体" w:hAnsi="宋体" w:cs="宋体" w:hint="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rPr>
          <w:rFonts w:ascii="宋体" w:hAnsi="宋体" w:cs="宋体"/>
          <w:szCs w:val="21"/>
        </w:rPr>
      </w:pPr>
      <w:r>
        <w:rPr>
          <w:rFonts w:ascii="宋体" w:hAnsi="宋体" w:cs="宋体" w:hint="eastAsia"/>
          <w:szCs w:val="21"/>
        </w:rPr>
        <w:t>45.2中标人如不按本通用条款第45.1款的规定与采购人签订合同，</w:t>
      </w:r>
      <w:r>
        <w:rPr>
          <w:rFonts w:ascii="宋体" w:hAnsi="宋体" w:cs="宋体" w:hint="eastAsia"/>
          <w:kern w:val="0"/>
          <w:szCs w:val="21"/>
        </w:rPr>
        <w:t>情节严重的，由同级财政部门记入供应商诚信档案，予以通报</w:t>
      </w:r>
      <w:r>
        <w:rPr>
          <w:rFonts w:ascii="宋体" w:hAnsi="宋体" w:cs="宋体" w:hint="eastAsia"/>
          <w:szCs w:val="21"/>
        </w:rPr>
        <w:t>；</w:t>
      </w:r>
    </w:p>
    <w:p>
      <w:pPr>
        <w:spacing w:line="360" w:lineRule="auto"/>
        <w:rPr>
          <w:rFonts w:ascii="宋体" w:hAnsi="宋体" w:cs="宋体"/>
          <w:szCs w:val="21"/>
        </w:rPr>
      </w:pPr>
      <w:r>
        <w:rPr>
          <w:rFonts w:ascii="宋体" w:hAnsi="宋体" w:cs="宋体" w:hint="eastAsia"/>
          <w:szCs w:val="21"/>
        </w:rPr>
        <w:t>45.3中标人应当按照合同约定履行义务，完成中标项目，不得将中标项目转让（转包）给他人。</w:t>
      </w:r>
    </w:p>
    <w:p>
      <w:pPr>
        <w:spacing w:line="360" w:lineRule="auto"/>
        <w:rPr>
          <w:rFonts w:ascii="宋体" w:hAnsi="宋体" w:cs="宋体"/>
          <w:szCs w:val="21"/>
        </w:rPr>
      </w:pPr>
      <w:r>
        <w:rPr>
          <w:rFonts w:ascii="宋体" w:hAnsi="宋体" w:cs="宋体" w:hint="eastAsia"/>
          <w:szCs w:val="21"/>
        </w:rPr>
        <w:t>46．履约担保</w:t>
      </w:r>
    </w:p>
    <w:p>
      <w:pPr>
        <w:spacing w:line="360" w:lineRule="auto"/>
        <w:rPr>
          <w:rFonts w:ascii="宋体" w:hAnsi="宋体" w:cs="宋体"/>
          <w:szCs w:val="21"/>
        </w:rPr>
      </w:pPr>
      <w:r>
        <w:rPr>
          <w:rFonts w:ascii="宋体" w:hAnsi="宋体" w:cs="宋体" w:hint="eastAsia"/>
          <w:szCs w:val="21"/>
        </w:rPr>
        <w:t>46.1在签订项目合同的同时，中标人应按“对通用条款的补充内容”中规定的金额向采购人提交履约担保；</w:t>
      </w:r>
    </w:p>
    <w:p>
      <w:pPr>
        <w:spacing w:line="360" w:lineRule="auto"/>
        <w:rPr>
          <w:rFonts w:ascii="宋体" w:hAnsi="宋体" w:cs="宋体"/>
          <w:szCs w:val="21"/>
        </w:rPr>
      </w:pPr>
      <w:r>
        <w:rPr>
          <w:rFonts w:ascii="宋体" w:hAnsi="宋体" w:cs="宋体" w:hint="eastAsia"/>
          <w:szCs w:val="21"/>
        </w:rPr>
        <w:t>46.2，允许供应商自主选择以支票、汇票、本票、保函等非现金方式提交履约担保；中标人提交履约担保不是合同签订的前提条件，不要求中标人提供除法律、法规明确规定外的其他担保。</w:t>
      </w:r>
    </w:p>
    <w:p>
      <w:pPr>
        <w:spacing w:line="360" w:lineRule="auto"/>
        <w:rPr>
          <w:rFonts w:ascii="宋体" w:hAnsi="宋体" w:cs="宋体"/>
          <w:szCs w:val="21"/>
        </w:rPr>
      </w:pPr>
      <w:r>
        <w:rPr>
          <w:rFonts w:ascii="宋体" w:hAnsi="宋体" w:cs="宋体" w:hint="eastAsia"/>
          <w:szCs w:val="21"/>
        </w:rPr>
        <w:t>47. 合同备案</w:t>
      </w:r>
    </w:p>
    <w:p>
      <w:pPr>
        <w:spacing w:line="360" w:lineRule="auto"/>
        <w:rPr>
          <w:rFonts w:ascii="宋体" w:hAnsi="宋体" w:cs="宋体"/>
          <w:szCs w:val="21"/>
        </w:rPr>
      </w:pPr>
      <w:r>
        <w:rPr>
          <w:rFonts w:ascii="宋体" w:hAnsi="宋体" w:cs="宋体" w:hint="eastAsia"/>
          <w:szCs w:val="21"/>
        </w:rPr>
        <w:t>采购人与中标人应于合同签订之日起十日内，由采购人或委托中标人将采购合同副本抄送合同备案工作实施机构备案。</w:t>
      </w:r>
    </w:p>
    <w:p>
      <w:pPr>
        <w:spacing w:line="360" w:lineRule="auto"/>
        <w:rPr>
          <w:rFonts w:ascii="宋体" w:hAnsi="宋体" w:cs="宋体"/>
          <w:szCs w:val="21"/>
        </w:rPr>
      </w:pPr>
      <w:r>
        <w:rPr>
          <w:rFonts w:ascii="宋体" w:hAnsi="宋体" w:cs="宋体" w:hint="eastAsia"/>
          <w:szCs w:val="21"/>
        </w:rPr>
        <w:t>48. 合同变更</w:t>
      </w:r>
    </w:p>
    <w:p>
      <w:pPr>
        <w:spacing w:line="360" w:lineRule="auto"/>
        <w:rPr>
          <w:rFonts w:ascii="宋体" w:hAnsi="宋体" w:cs="宋体"/>
          <w:szCs w:val="21"/>
        </w:rPr>
      </w:pPr>
      <w:r>
        <w:rPr>
          <w:rFonts w:ascii="宋体" w:hAnsi="宋体" w:cs="宋体" w:hint="eastAsia"/>
          <w:szCs w:val="21"/>
        </w:rPr>
        <w:t>合同变更事宜按《深圳市财政局 深圳市政府采购中心关于进一步加强市本级政府采购合同备案管理工作的通知》（深财购〔2019〕43号）相关规定执行。</w:t>
      </w:r>
    </w:p>
    <w:p>
      <w:pPr>
        <w:spacing w:line="360" w:lineRule="auto"/>
        <w:rPr>
          <w:rFonts w:ascii="宋体" w:hAnsi="宋体" w:cs="宋体"/>
          <w:szCs w:val="21"/>
        </w:rPr>
      </w:pPr>
      <w:r>
        <w:rPr>
          <w:rFonts w:ascii="宋体" w:hAnsi="宋体" w:cs="宋体" w:hint="eastAsia"/>
          <w:szCs w:val="21"/>
        </w:rPr>
        <w:t>49. 项目验收</w:t>
      </w:r>
    </w:p>
    <w:p>
      <w:pPr>
        <w:widowControl/>
        <w:spacing w:line="360" w:lineRule="auto"/>
        <w:jc w:val="left"/>
        <w:rPr>
          <w:rFonts w:ascii="宋体" w:hAnsi="宋体" w:cs="宋体"/>
          <w:szCs w:val="21"/>
        </w:rPr>
      </w:pPr>
      <w:r>
        <w:rPr>
          <w:rFonts w:ascii="宋体" w:hAnsi="宋体" w:cs="宋体" w:hint="eastAsia"/>
          <w:szCs w:val="21"/>
        </w:rPr>
        <w:t xml:space="preserve">49.1采购人应当按照招标文件和合同规定的标准和方法，及时组织验收。 </w:t>
      </w:r>
    </w:p>
    <w:p>
      <w:pPr>
        <w:spacing w:line="360" w:lineRule="auto"/>
        <w:rPr>
          <w:rFonts w:ascii="宋体" w:hAnsi="宋体" w:cs="宋体"/>
          <w:szCs w:val="21"/>
        </w:rPr>
      </w:pPr>
      <w:r>
        <w:rPr>
          <w:rFonts w:ascii="宋体" w:hAnsi="宋体" w:cs="宋体" w:hint="eastAsia"/>
          <w:szCs w:val="21"/>
        </w:rPr>
        <w:t>50. 宣传</w:t>
      </w:r>
    </w:p>
    <w:p>
      <w:pPr>
        <w:spacing w:line="360" w:lineRule="auto"/>
        <w:rPr>
          <w:rFonts w:ascii="宋体" w:hAnsi="宋体" w:cs="宋体"/>
          <w:szCs w:val="21"/>
        </w:rPr>
      </w:pPr>
      <w:r>
        <w:rPr>
          <w:rFonts w:ascii="宋体" w:hAnsi="宋体" w:cs="宋体" w:hint="eastAsia"/>
          <w:szCs w:val="21"/>
        </w:rPr>
        <w:t>凡与政府采购活动有关的宣传或广告，若当中提及政府采购，必须事先将具体对外宣传方案报同级财政部门和政府集中采购机构，并征得其同意。对外市场宣传包括但不限于以下形式：</w:t>
      </w:r>
    </w:p>
    <w:p>
      <w:pPr>
        <w:spacing w:line="360" w:lineRule="auto"/>
        <w:rPr>
          <w:rFonts w:ascii="宋体" w:hAnsi="宋体" w:cs="宋体"/>
          <w:szCs w:val="21"/>
        </w:rPr>
      </w:pPr>
      <w:r>
        <w:rPr>
          <w:rFonts w:ascii="宋体" w:hAnsi="宋体" w:cs="宋体" w:hint="eastAsia"/>
          <w:szCs w:val="21"/>
        </w:rPr>
        <w:t>a.名片、宣传册、广告标语等；</w:t>
      </w:r>
    </w:p>
    <w:p>
      <w:pPr>
        <w:spacing w:line="360" w:lineRule="auto"/>
        <w:rPr>
          <w:rFonts w:ascii="宋体" w:hAnsi="宋体" w:cs="宋体"/>
          <w:szCs w:val="21"/>
        </w:rPr>
      </w:pPr>
      <w:r>
        <w:rPr>
          <w:rFonts w:ascii="宋体" w:hAnsi="宋体" w:cs="宋体" w:hint="eastAsia"/>
          <w:szCs w:val="21"/>
        </w:rPr>
        <w:t>b.案例介绍、推广等；</w:t>
      </w:r>
    </w:p>
    <w:p>
      <w:pPr>
        <w:spacing w:line="360" w:lineRule="auto"/>
        <w:rPr>
          <w:rFonts w:ascii="宋体" w:hAnsi="宋体" w:cs="宋体"/>
          <w:szCs w:val="21"/>
        </w:rPr>
      </w:pPr>
      <w:r>
        <w:rPr>
          <w:rFonts w:ascii="宋体" w:hAnsi="宋体" w:cs="宋体" w:hint="eastAsia"/>
          <w:szCs w:val="21"/>
        </w:rPr>
        <w:t>c.工作人员向其他消费群体宣传。</w:t>
      </w:r>
    </w:p>
    <w:p>
      <w:pPr>
        <w:spacing w:line="360" w:lineRule="auto"/>
        <w:rPr>
          <w:rFonts w:ascii="宋体" w:hAnsi="宋体" w:cs="宋体"/>
          <w:szCs w:val="21"/>
        </w:rPr>
      </w:pPr>
      <w:r>
        <w:rPr>
          <w:rFonts w:ascii="宋体" w:hAnsi="宋体" w:cs="宋体" w:hint="eastAsia"/>
          <w:szCs w:val="21"/>
        </w:rPr>
        <w:t>51. 供应商违法责任</w:t>
      </w:r>
    </w:p>
    <w:p>
      <w:pPr>
        <w:spacing w:line="360" w:lineRule="auto"/>
        <w:rPr>
          <w:rFonts w:ascii="宋体" w:hAnsi="宋体" w:cs="宋体"/>
          <w:szCs w:val="21"/>
        </w:rPr>
      </w:pPr>
      <w:r>
        <w:rPr>
          <w:rFonts w:ascii="宋体" w:hAnsi="宋体" w:cs="宋体" w:hint="eastAsia"/>
          <w:szCs w:val="21"/>
        </w:rPr>
        <w:t>51.1《深圳经济特区政府采购条例》第五十七条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rPr>
          <w:rFonts w:ascii="宋体" w:hAnsi="宋体" w:cs="宋体"/>
          <w:szCs w:val="21"/>
        </w:rPr>
      </w:pPr>
      <w:r>
        <w:rPr>
          <w:rFonts w:ascii="宋体" w:hAnsi="宋体" w:cs="宋体" w:hint="eastAsia"/>
          <w:szCs w:val="21"/>
        </w:rPr>
        <w:t>（1）在采购活动中应当回避而未回避的；</w:t>
      </w:r>
    </w:p>
    <w:p>
      <w:pPr>
        <w:spacing w:line="360" w:lineRule="auto"/>
        <w:rPr>
          <w:rFonts w:ascii="宋体" w:hAnsi="宋体" w:cs="宋体"/>
          <w:szCs w:val="21"/>
        </w:rPr>
      </w:pPr>
      <w:r>
        <w:rPr>
          <w:rFonts w:ascii="宋体" w:hAnsi="宋体" w:cs="宋体" w:hint="eastAsia"/>
          <w:szCs w:val="21"/>
        </w:rPr>
        <w:t>（2）未按本条例规定签订、履行采购合同，造成严重后果的；</w:t>
      </w:r>
    </w:p>
    <w:p>
      <w:pPr>
        <w:spacing w:line="360" w:lineRule="auto"/>
        <w:rPr>
          <w:rFonts w:ascii="宋体" w:hAnsi="宋体" w:cs="宋体"/>
          <w:szCs w:val="21"/>
        </w:rPr>
      </w:pPr>
      <w:r>
        <w:rPr>
          <w:rFonts w:ascii="宋体" w:hAnsi="宋体" w:cs="宋体" w:hint="eastAsia"/>
          <w:szCs w:val="21"/>
        </w:rPr>
        <w:t>（3）隐瞒真实情况，提供虚假资料的；</w:t>
      </w:r>
    </w:p>
    <w:p>
      <w:pPr>
        <w:spacing w:line="360" w:lineRule="auto"/>
        <w:rPr>
          <w:rFonts w:ascii="宋体" w:hAnsi="宋体" w:cs="宋体"/>
          <w:szCs w:val="21"/>
        </w:rPr>
      </w:pPr>
      <w:r>
        <w:rPr>
          <w:rFonts w:ascii="宋体" w:hAnsi="宋体" w:cs="宋体" w:hint="eastAsia"/>
          <w:szCs w:val="21"/>
        </w:rPr>
        <w:t>（4）以非法手段排斥其他供应商参与竞争的；</w:t>
      </w:r>
    </w:p>
    <w:p>
      <w:pPr>
        <w:spacing w:line="360" w:lineRule="auto"/>
        <w:rPr>
          <w:rFonts w:ascii="宋体" w:hAnsi="宋体" w:cs="宋体"/>
          <w:szCs w:val="21"/>
        </w:rPr>
      </w:pPr>
      <w:r>
        <w:rPr>
          <w:rFonts w:ascii="宋体" w:hAnsi="宋体" w:cs="宋体" w:hint="eastAsia"/>
          <w:szCs w:val="21"/>
        </w:rPr>
        <w:t>（5）与其他采购参加人串通投标的；</w:t>
      </w:r>
    </w:p>
    <w:p>
      <w:pPr>
        <w:spacing w:line="360" w:lineRule="auto"/>
        <w:rPr>
          <w:rFonts w:ascii="宋体" w:hAnsi="宋体" w:cs="宋体"/>
          <w:szCs w:val="21"/>
        </w:rPr>
      </w:pPr>
      <w:r>
        <w:rPr>
          <w:rFonts w:ascii="宋体" w:hAnsi="宋体" w:cs="宋体" w:hint="eastAsia"/>
          <w:szCs w:val="21"/>
        </w:rPr>
        <w:t>（6）恶意投诉的；</w:t>
      </w:r>
    </w:p>
    <w:p>
      <w:pPr>
        <w:spacing w:line="360" w:lineRule="auto"/>
        <w:rPr>
          <w:rFonts w:ascii="宋体" w:hAnsi="宋体" w:cs="宋体"/>
          <w:szCs w:val="21"/>
        </w:rPr>
      </w:pPr>
      <w:r>
        <w:rPr>
          <w:rFonts w:ascii="宋体" w:hAnsi="宋体" w:cs="宋体" w:hint="eastAsia"/>
          <w:szCs w:val="21"/>
        </w:rPr>
        <w:t>（7）向采购项目相关人行贿或者提供其他不当利益的；</w:t>
      </w:r>
    </w:p>
    <w:p>
      <w:pPr>
        <w:spacing w:line="360" w:lineRule="auto"/>
        <w:rPr>
          <w:rFonts w:ascii="宋体" w:hAnsi="宋体" w:cs="宋体"/>
          <w:szCs w:val="21"/>
        </w:rPr>
      </w:pPr>
      <w:r>
        <w:rPr>
          <w:rFonts w:ascii="宋体" w:hAnsi="宋体" w:cs="宋体" w:hint="eastAsia"/>
          <w:szCs w:val="21"/>
        </w:rPr>
        <w:t>（8）阻碍、抗拒主管部门监督检查的；</w:t>
      </w:r>
    </w:p>
    <w:p>
      <w:pPr>
        <w:spacing w:line="360" w:lineRule="auto"/>
        <w:rPr>
          <w:rFonts w:ascii="宋体" w:hAnsi="宋体" w:cs="宋体"/>
          <w:szCs w:val="21"/>
        </w:rPr>
      </w:pPr>
      <w:r>
        <w:rPr>
          <w:rFonts w:ascii="宋体" w:hAnsi="宋体" w:cs="宋体" w:hint="eastAsia"/>
          <w:szCs w:val="21"/>
        </w:rPr>
        <w:t>（9）其他违反本条例规定的行为。</w:t>
      </w:r>
    </w:p>
    <w:p>
      <w:pPr>
        <w:spacing w:line="360" w:lineRule="auto"/>
        <w:rPr>
          <w:rFonts w:ascii="宋体" w:hAnsi="宋体" w:cs="宋体"/>
          <w:szCs w:val="21"/>
        </w:rPr>
      </w:pPr>
      <w:r>
        <w:rPr>
          <w:rFonts w:ascii="宋体" w:hAnsi="宋体" w:cs="宋体" w:hint="eastAsia"/>
          <w:szCs w:val="21"/>
        </w:rPr>
        <w:t>51.2 根据《深圳市财政局关于明确政府采购保证金管理工作的通知》（深财购[2019]42号）的要求，供应商在政府采购活动中出现《深圳经济特区政府采购条例实施细则》第八十条所列情形的，采购人或政府集中采购机构可将有关情况报同级财政部门，由财政部门根据实际情况记入供应商诚信档案，予以通报：</w:t>
      </w:r>
    </w:p>
    <w:p>
      <w:pPr>
        <w:spacing w:line="360" w:lineRule="auto"/>
        <w:rPr>
          <w:rFonts w:ascii="宋体" w:hAnsi="宋体" w:cs="宋体"/>
          <w:szCs w:val="21"/>
        </w:rPr>
      </w:pPr>
      <w:r>
        <w:rPr>
          <w:rFonts w:ascii="宋体" w:hAnsi="宋体" w:cs="宋体" w:hint="eastAsia"/>
          <w:szCs w:val="21"/>
        </w:rPr>
        <w:t>（1）投标截止后，撤销投标的；</w:t>
      </w:r>
    </w:p>
    <w:p>
      <w:pPr>
        <w:spacing w:line="360" w:lineRule="auto"/>
        <w:rPr>
          <w:rFonts w:ascii="宋体" w:hAnsi="宋体" w:cs="宋体"/>
          <w:szCs w:val="21"/>
        </w:rPr>
      </w:pPr>
      <w:r>
        <w:rPr>
          <w:rFonts w:ascii="宋体" w:hAnsi="宋体" w:cs="宋体" w:hint="eastAsia"/>
          <w:szCs w:val="21"/>
        </w:rPr>
        <w:t>（2）中标后无正当理由未在规定期限内签订合同的；</w:t>
      </w:r>
    </w:p>
    <w:p>
      <w:pPr>
        <w:spacing w:line="360" w:lineRule="auto"/>
        <w:rPr>
          <w:rFonts w:ascii="宋体" w:hAnsi="宋体" w:cs="宋体"/>
          <w:szCs w:val="21"/>
        </w:rPr>
      </w:pPr>
      <w:r>
        <w:rPr>
          <w:rFonts w:ascii="宋体" w:hAnsi="宋体" w:cs="宋体" w:hint="eastAsia"/>
          <w:szCs w:val="21"/>
        </w:rPr>
        <w:t>（3）将中标项目转让给他人、或者在投标文件中未说明且未经采购人、采购招标机构同意，将中标项目分包给他人的；</w:t>
      </w:r>
    </w:p>
    <w:p>
      <w:pPr>
        <w:spacing w:line="360" w:lineRule="auto"/>
        <w:rPr>
          <w:rFonts w:ascii="宋体" w:hAnsi="宋体" w:cs="宋体"/>
          <w:szCs w:val="21"/>
        </w:rPr>
      </w:pPr>
      <w:r>
        <w:rPr>
          <w:rFonts w:ascii="宋体" w:hAnsi="宋体" w:cs="宋体" w:hint="eastAsia"/>
          <w:szCs w:val="21"/>
        </w:rPr>
        <w:t>（4）拒绝履行合同义务的。</w:t>
      </w:r>
    </w:p>
    <w:p>
      <w:pPr>
        <w:pStyle w:val="Heading2"/>
        <w:numPr>
          <w:ilvl w:val="0"/>
          <w:numId w:val="11"/>
        </w:numPr>
        <w:spacing w:line="360" w:lineRule="auto"/>
        <w:ind w:left="0" w:firstLine="0"/>
        <w:rPr>
          <w:rFonts w:ascii="宋体" w:hAnsi="宋体" w:cs="宋体"/>
          <w:sz w:val="28"/>
          <w:szCs w:val="28"/>
        </w:rPr>
      </w:pPr>
      <w:r>
        <w:rPr>
          <w:rFonts w:ascii="宋体" w:hAnsi="宋体" w:cs="宋体" w:hint="eastAsia"/>
          <w:sz w:val="28"/>
          <w:szCs w:val="28"/>
        </w:rPr>
        <w:t>质疑处理</w:t>
      </w:r>
    </w:p>
    <w:p>
      <w:pPr>
        <w:spacing w:line="360" w:lineRule="auto"/>
        <w:rPr>
          <w:rFonts w:ascii="宋体" w:hAnsi="宋体" w:cs="宋体"/>
          <w:szCs w:val="21"/>
        </w:rPr>
      </w:pPr>
      <w:r>
        <w:rPr>
          <w:rFonts w:ascii="宋体" w:hAnsi="宋体" w:cs="宋体" w:hint="eastAsia"/>
          <w:szCs w:val="21"/>
        </w:rPr>
        <w:t>52.质疑提出与答复</w:t>
      </w:r>
    </w:p>
    <w:p>
      <w:pPr>
        <w:spacing w:line="360" w:lineRule="auto"/>
        <w:rPr>
          <w:rFonts w:ascii="宋体" w:hAnsi="宋体" w:cs="宋体"/>
          <w:szCs w:val="21"/>
        </w:rPr>
      </w:pPr>
      <w:r>
        <w:rPr>
          <w:rFonts w:ascii="宋体" w:hAnsi="宋体" w:cs="宋体" w:hint="eastAsia"/>
          <w:szCs w:val="21"/>
        </w:rPr>
        <w:t>52.1提出质疑</w:t>
      </w:r>
    </w:p>
    <w:p>
      <w:pPr>
        <w:spacing w:line="360" w:lineRule="auto"/>
        <w:rPr>
          <w:rFonts w:ascii="宋体" w:hAnsi="宋体" w:cs="宋体"/>
          <w:szCs w:val="21"/>
        </w:rPr>
      </w:pPr>
      <w:r>
        <w:rPr>
          <w:rFonts w:ascii="宋体" w:hAnsi="宋体" w:cs="宋体" w:hint="eastAsia"/>
          <w:szCs w:val="21"/>
        </w:rPr>
        <w:t>参与政府采购活动的供应商认为自己的权益在采购活动中受到损害的，应当自知道或者应当知道其权益受到损害之日起七个工作日内向采购人、政府集中采购机构以书面形式提出质疑。</w:t>
      </w:r>
    </w:p>
    <w:p>
      <w:pPr>
        <w:spacing w:line="360" w:lineRule="auto"/>
        <w:rPr>
          <w:rFonts w:ascii="宋体" w:hAnsi="宋体" w:cs="宋体"/>
          <w:szCs w:val="21"/>
        </w:rPr>
      </w:pPr>
      <w:r>
        <w:rPr>
          <w:rFonts w:ascii="宋体" w:hAnsi="宋体" w:cs="宋体" w:hint="eastAsia"/>
          <w:szCs w:val="21"/>
        </w:rPr>
        <w:t>52.2法律依据</w:t>
      </w:r>
    </w:p>
    <w:p>
      <w:pPr>
        <w:spacing w:line="360" w:lineRule="auto"/>
        <w:rPr>
          <w:rFonts w:ascii="宋体" w:hAnsi="宋体" w:cs="宋体"/>
          <w:szCs w:val="21"/>
        </w:rPr>
      </w:pPr>
      <w:r>
        <w:rPr>
          <w:rFonts w:ascii="宋体" w:hAnsi="宋体" w:cs="宋体" w:hint="eastAsia"/>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360" w:lineRule="auto"/>
        <w:rPr>
          <w:rFonts w:ascii="宋体" w:hAnsi="宋体" w:cs="宋体"/>
          <w:szCs w:val="21"/>
        </w:rPr>
      </w:pPr>
      <w:r>
        <w:rPr>
          <w:rFonts w:ascii="宋体" w:hAnsi="宋体" w:cs="宋体" w:hint="eastAsia"/>
          <w:szCs w:val="21"/>
        </w:rPr>
        <w:t>52.3质疑条件</w:t>
      </w:r>
    </w:p>
    <w:p>
      <w:pPr>
        <w:spacing w:line="360" w:lineRule="auto"/>
        <w:rPr>
          <w:rFonts w:ascii="宋体" w:hAnsi="宋体" w:cs="宋体"/>
          <w:szCs w:val="21"/>
        </w:rPr>
      </w:pPr>
      <w:r>
        <w:rPr>
          <w:rFonts w:ascii="宋体" w:hAnsi="宋体" w:cs="宋体" w:hint="eastAsia"/>
          <w:szCs w:val="21"/>
        </w:rPr>
        <w:t>52.3.1提出质疑的供应商应当是参与所质疑项目采购活动的供应商；以联合体形式参与的，质疑应当由组成联合体的所有成员共同提出；</w:t>
      </w:r>
    </w:p>
    <w:p>
      <w:pPr>
        <w:spacing w:line="360" w:lineRule="auto"/>
        <w:rPr>
          <w:rFonts w:ascii="宋体" w:hAnsi="宋体" w:cs="宋体"/>
          <w:szCs w:val="21"/>
        </w:rPr>
      </w:pPr>
      <w:r>
        <w:rPr>
          <w:rFonts w:ascii="宋体" w:hAnsi="宋体" w:cs="宋体" w:hint="eastAsia"/>
          <w:szCs w:val="21"/>
        </w:rPr>
        <w:t>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rPr>
          <w:rFonts w:ascii="宋体" w:hAnsi="宋体" w:cs="宋体"/>
          <w:szCs w:val="21"/>
        </w:rPr>
      </w:pPr>
      <w:r>
        <w:rPr>
          <w:rFonts w:ascii="宋体" w:hAnsi="宋体" w:cs="宋体" w:hint="eastAsia"/>
          <w:szCs w:val="21"/>
        </w:rPr>
        <w:t xml:space="preserve">52.3.3应提交书面质疑函，质疑函应当包括以下内容： </w:t>
      </w:r>
    </w:p>
    <w:p>
      <w:pPr>
        <w:spacing w:line="360" w:lineRule="auto"/>
        <w:rPr>
          <w:rFonts w:ascii="宋体" w:hAnsi="宋体" w:cs="宋体"/>
          <w:szCs w:val="21"/>
        </w:rPr>
      </w:pPr>
      <w:r>
        <w:rPr>
          <w:rFonts w:ascii="宋体" w:hAnsi="宋体" w:cs="宋体" w:hint="eastAsia"/>
          <w:szCs w:val="21"/>
        </w:rPr>
        <w:t>（1）供应商的名称（或者姓名）、地址、邮编、邮箱、联系人及联系电话；</w:t>
      </w:r>
    </w:p>
    <w:p>
      <w:pPr>
        <w:spacing w:line="360" w:lineRule="auto"/>
        <w:rPr>
          <w:rFonts w:ascii="宋体" w:hAnsi="宋体" w:cs="宋体"/>
          <w:szCs w:val="21"/>
        </w:rPr>
      </w:pPr>
      <w:r>
        <w:rPr>
          <w:rFonts w:ascii="宋体" w:hAnsi="宋体" w:cs="宋体" w:hint="eastAsia"/>
          <w:szCs w:val="21"/>
        </w:rPr>
        <w:t>（2）质疑项目的名称、编号；</w:t>
      </w:r>
    </w:p>
    <w:p>
      <w:pPr>
        <w:spacing w:line="360" w:lineRule="auto"/>
        <w:rPr>
          <w:rFonts w:ascii="宋体" w:hAnsi="宋体" w:cs="宋体"/>
          <w:szCs w:val="21"/>
        </w:rPr>
      </w:pPr>
      <w:r>
        <w:rPr>
          <w:rFonts w:ascii="宋体" w:hAnsi="宋体" w:cs="宋体" w:hint="eastAsia"/>
          <w:szCs w:val="21"/>
        </w:rPr>
        <w:t>（3）具体、明确的质疑对象、质疑事项和质疑请求；</w:t>
      </w:r>
    </w:p>
    <w:p>
      <w:pPr>
        <w:spacing w:line="360" w:lineRule="auto"/>
        <w:rPr>
          <w:rFonts w:ascii="宋体" w:hAnsi="宋体" w:cs="宋体"/>
          <w:szCs w:val="21"/>
        </w:rPr>
      </w:pPr>
      <w:r>
        <w:rPr>
          <w:rFonts w:ascii="宋体" w:hAnsi="宋体" w:cs="宋体" w:hint="eastAsia"/>
          <w:szCs w:val="21"/>
        </w:rPr>
        <w:t>（4）因质疑事项而受损害的权益；</w:t>
      </w:r>
    </w:p>
    <w:p>
      <w:pPr>
        <w:spacing w:line="360" w:lineRule="auto"/>
        <w:rPr>
          <w:rFonts w:ascii="宋体" w:hAnsi="宋体" w:cs="宋体"/>
          <w:szCs w:val="21"/>
        </w:rPr>
      </w:pPr>
      <w:r>
        <w:rPr>
          <w:rFonts w:ascii="宋体" w:hAnsi="宋体" w:cs="宋体" w:hint="eastAsia"/>
          <w:szCs w:val="21"/>
        </w:rPr>
        <w:t>（5）事实依据；</w:t>
      </w:r>
    </w:p>
    <w:p>
      <w:pPr>
        <w:spacing w:line="360" w:lineRule="auto"/>
        <w:rPr>
          <w:rFonts w:ascii="宋体" w:hAnsi="宋体" w:cs="宋体"/>
          <w:szCs w:val="21"/>
        </w:rPr>
      </w:pPr>
      <w:r>
        <w:rPr>
          <w:rFonts w:ascii="宋体" w:hAnsi="宋体" w:cs="宋体" w:hint="eastAsia"/>
          <w:szCs w:val="21"/>
        </w:rPr>
        <w:t>（6）必要的法律依据；</w:t>
      </w:r>
    </w:p>
    <w:p>
      <w:pPr>
        <w:spacing w:line="360" w:lineRule="auto"/>
        <w:rPr>
          <w:rFonts w:ascii="宋体" w:hAnsi="宋体" w:cs="宋体"/>
          <w:szCs w:val="21"/>
        </w:rPr>
      </w:pPr>
      <w:r>
        <w:rPr>
          <w:rFonts w:ascii="宋体" w:hAnsi="宋体" w:cs="宋体" w:hint="eastAsia"/>
          <w:szCs w:val="21"/>
        </w:rPr>
        <w:t>（7）提出质疑的日期。</w:t>
      </w:r>
    </w:p>
    <w:p>
      <w:pPr>
        <w:spacing w:line="360" w:lineRule="auto"/>
        <w:rPr>
          <w:rFonts w:ascii="宋体" w:hAnsi="宋体" w:cs="宋体"/>
          <w:szCs w:val="21"/>
        </w:rPr>
      </w:pPr>
      <w:r>
        <w:rPr>
          <w:rFonts w:ascii="宋体" w:hAnsi="宋体" w:cs="宋体" w:hint="eastAsia"/>
          <w:szCs w:val="21"/>
        </w:rPr>
        <w:t>供应商为自然人的，应当由本人签字；供应商为法人或者其他组织的，应当由法定代表人（负责人），或者其授权代理人签字或者盖章，并加盖公章。</w:t>
      </w:r>
    </w:p>
    <w:p>
      <w:pPr>
        <w:spacing w:line="360" w:lineRule="auto"/>
        <w:rPr>
          <w:rFonts w:ascii="宋体" w:hAnsi="宋体" w:cs="宋体"/>
          <w:szCs w:val="21"/>
        </w:rPr>
      </w:pPr>
      <w:r>
        <w:rPr>
          <w:rFonts w:ascii="宋体" w:hAnsi="宋体" w:cs="宋体" w:hint="eastAsia"/>
          <w:szCs w:val="21"/>
        </w:rPr>
        <w:t>52.4提交材料</w:t>
      </w:r>
    </w:p>
    <w:p>
      <w:pPr>
        <w:spacing w:line="360" w:lineRule="auto"/>
        <w:rPr>
          <w:rFonts w:ascii="宋体" w:hAnsi="宋体" w:cs="宋体"/>
          <w:szCs w:val="21"/>
        </w:rPr>
      </w:pPr>
      <w:r>
        <w:rPr>
          <w:rFonts w:ascii="宋体" w:hAnsi="宋体" w:cs="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rPr>
          <w:rFonts w:ascii="宋体" w:hAnsi="宋体" w:cs="宋体"/>
          <w:szCs w:val="21"/>
        </w:rPr>
      </w:pPr>
      <w:r>
        <w:rPr>
          <w:rFonts w:ascii="宋体" w:hAnsi="宋体" w:cs="宋体" w:hint="eastAsia"/>
          <w:szCs w:val="21"/>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宋体" w:hAnsi="宋体" w:cs="宋体"/>
          <w:szCs w:val="21"/>
        </w:rPr>
      </w:pPr>
      <w:r>
        <w:rPr>
          <w:rFonts w:ascii="宋体" w:hAnsi="宋体" w:cs="宋体" w:hint="eastAsia"/>
          <w:szCs w:val="21"/>
        </w:rPr>
        <w:t>52.5收文地点</w:t>
      </w:r>
    </w:p>
    <w:p>
      <w:pPr>
        <w:spacing w:line="360" w:lineRule="auto"/>
        <w:rPr>
          <w:rFonts w:ascii="宋体" w:hAnsi="宋体" w:cs="宋体"/>
          <w:b/>
          <w:bCs/>
          <w:szCs w:val="21"/>
        </w:rPr>
      </w:pPr>
      <w:r>
        <w:rPr>
          <w:rFonts w:ascii="宋体" w:hAnsi="宋体" w:cs="宋体" w:hint="eastAsia"/>
          <w:b/>
          <w:bCs/>
          <w:szCs w:val="21"/>
        </w:rPr>
        <w:t>地址：深圳公共资源交易中心（深圳交易集团有限公司龙华分公司）11楼1102室（地址：深圳市龙华区龙华街道国鸿大厦7栋A座），质疑咨询电话：0755-23338582。</w:t>
      </w:r>
    </w:p>
    <w:p>
      <w:pPr>
        <w:spacing w:line="360" w:lineRule="auto"/>
        <w:rPr>
          <w:rFonts w:ascii="宋体" w:hAnsi="宋体" w:cs="宋体"/>
          <w:szCs w:val="21"/>
        </w:rPr>
      </w:pPr>
      <w:r>
        <w:rPr>
          <w:rFonts w:ascii="宋体" w:hAnsi="宋体" w:cs="宋体" w:hint="eastAsia"/>
          <w:szCs w:val="21"/>
        </w:rPr>
        <w:t>52.6收文办理程序</w:t>
      </w:r>
    </w:p>
    <w:p>
      <w:pPr>
        <w:spacing w:line="360" w:lineRule="auto"/>
        <w:rPr>
          <w:rFonts w:ascii="宋体" w:hAnsi="宋体" w:cs="宋体"/>
          <w:szCs w:val="21"/>
        </w:rPr>
      </w:pPr>
      <w:r>
        <w:rPr>
          <w:rFonts w:ascii="宋体" w:hAnsi="宋体" w:cs="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spacing w:line="360" w:lineRule="auto"/>
        <w:rPr>
          <w:rFonts w:ascii="宋体" w:hAnsi="宋体" w:cs="宋体"/>
          <w:szCs w:val="21"/>
        </w:rPr>
      </w:pPr>
      <w:r>
        <w:rPr>
          <w:rFonts w:ascii="宋体" w:hAnsi="宋体" w:cs="宋体" w:hint="eastAsia"/>
          <w:szCs w:val="21"/>
        </w:rPr>
        <w:t>52.6.2供应商提交的质疑材料不符合质疑条件的，视情况处理：</w:t>
      </w:r>
    </w:p>
    <w:p>
      <w:pPr>
        <w:spacing w:line="360" w:lineRule="auto"/>
        <w:rPr>
          <w:rFonts w:ascii="宋体" w:hAnsi="宋体" w:cs="宋体"/>
          <w:szCs w:val="21"/>
        </w:rPr>
      </w:pPr>
      <w:r>
        <w:rPr>
          <w:rFonts w:ascii="宋体" w:hAnsi="宋体" w:cs="宋体" w:hint="eastAsia"/>
          <w:szCs w:val="21"/>
        </w:rPr>
        <w:t>供应商提交的质疑材料不全或者未按要求签字或者盖章的，政府集中采购机构应当一次性告知供应商需补正的内容和补正期限。</w:t>
      </w:r>
    </w:p>
    <w:p>
      <w:pPr>
        <w:spacing w:line="360" w:lineRule="auto"/>
        <w:rPr>
          <w:rFonts w:ascii="宋体" w:hAnsi="宋体" w:cs="宋体"/>
          <w:szCs w:val="21"/>
        </w:rPr>
      </w:pPr>
      <w:r>
        <w:rPr>
          <w:rFonts w:ascii="宋体" w:hAnsi="宋体" w:cs="宋体" w:hint="eastAsia"/>
          <w:szCs w:val="21"/>
        </w:rPr>
        <w:t>供应商提交的质疑存在下列情形之一的，不予受理：</w:t>
      </w:r>
    </w:p>
    <w:p>
      <w:pPr>
        <w:spacing w:line="360" w:lineRule="auto"/>
        <w:rPr>
          <w:rFonts w:ascii="宋体" w:hAnsi="宋体" w:cs="宋体"/>
          <w:szCs w:val="21"/>
        </w:rPr>
      </w:pPr>
      <w:r>
        <w:rPr>
          <w:rFonts w:ascii="宋体" w:hAnsi="宋体" w:cs="宋体" w:hint="eastAsia"/>
          <w:szCs w:val="21"/>
        </w:rPr>
        <w:t>（1）质疑主体不满足要求的；</w:t>
      </w:r>
    </w:p>
    <w:p>
      <w:pPr>
        <w:spacing w:line="360" w:lineRule="auto"/>
        <w:rPr>
          <w:rFonts w:ascii="宋体" w:hAnsi="宋体" w:cs="宋体"/>
          <w:szCs w:val="21"/>
        </w:rPr>
      </w:pPr>
      <w:r>
        <w:rPr>
          <w:rFonts w:ascii="宋体" w:hAnsi="宋体" w:cs="宋体" w:hint="eastAsia"/>
          <w:szCs w:val="21"/>
        </w:rPr>
        <w:t>（2）供应商自身权益未受到损害的；</w:t>
      </w:r>
    </w:p>
    <w:p>
      <w:pPr>
        <w:spacing w:line="360" w:lineRule="auto"/>
        <w:rPr>
          <w:rFonts w:ascii="宋体" w:hAnsi="宋体" w:cs="宋体"/>
          <w:szCs w:val="21"/>
        </w:rPr>
      </w:pPr>
      <w:r>
        <w:rPr>
          <w:rFonts w:ascii="宋体" w:hAnsi="宋体" w:cs="宋体" w:hint="eastAsia"/>
          <w:szCs w:val="21"/>
        </w:rPr>
        <w:t>（3）供应商未在法定质疑期限内提出质疑的；</w:t>
      </w:r>
    </w:p>
    <w:p>
      <w:pPr>
        <w:spacing w:line="360" w:lineRule="auto"/>
        <w:rPr>
          <w:rFonts w:ascii="宋体" w:hAnsi="宋体" w:cs="宋体"/>
          <w:szCs w:val="21"/>
        </w:rPr>
      </w:pPr>
      <w:r>
        <w:rPr>
          <w:rFonts w:ascii="宋体" w:hAnsi="宋体" w:cs="宋体" w:hint="eastAsia"/>
          <w:szCs w:val="21"/>
        </w:rPr>
        <w:t>（4）质疑材料不全或者未按要求签字或者盖章的情况下，要求补正后，逾期未补正或者补正后仍不符合规定的；</w:t>
      </w:r>
    </w:p>
    <w:p>
      <w:pPr>
        <w:spacing w:line="360" w:lineRule="auto"/>
        <w:rPr>
          <w:rFonts w:ascii="宋体" w:hAnsi="宋体" w:cs="宋体"/>
          <w:szCs w:val="21"/>
        </w:rPr>
      </w:pPr>
      <w:r>
        <w:rPr>
          <w:rFonts w:ascii="宋体" w:hAnsi="宋体" w:cs="宋体" w:hint="eastAsia"/>
          <w:szCs w:val="21"/>
        </w:rPr>
        <w:t>（5）其他不符合受理条件情形的。</w:t>
      </w:r>
    </w:p>
    <w:p>
      <w:pPr>
        <w:spacing w:line="360" w:lineRule="auto"/>
        <w:rPr>
          <w:rFonts w:ascii="宋体" w:hAnsi="宋体" w:cs="宋体"/>
          <w:szCs w:val="21"/>
        </w:rPr>
      </w:pPr>
      <w:r>
        <w:rPr>
          <w:rFonts w:ascii="宋体" w:hAnsi="宋体" w:cs="宋体" w:hint="eastAsia"/>
          <w:szCs w:val="21"/>
        </w:rPr>
        <w:t>质疑事项不予受理的，政府集中采购机构应当向供应商出具不符合质疑条件告知书。</w:t>
      </w:r>
    </w:p>
    <w:p>
      <w:pPr>
        <w:spacing w:line="360" w:lineRule="auto"/>
        <w:rPr>
          <w:rFonts w:ascii="宋体" w:hAnsi="宋体" w:cs="宋体"/>
          <w:szCs w:val="21"/>
        </w:rPr>
      </w:pPr>
      <w:r>
        <w:rPr>
          <w:rFonts w:ascii="宋体" w:hAnsi="宋体" w:cs="宋体" w:hint="eastAsia"/>
          <w:szCs w:val="21"/>
        </w:rPr>
        <w:t>52.7质疑答复时限</w:t>
      </w:r>
    </w:p>
    <w:p>
      <w:pPr>
        <w:spacing w:line="360" w:lineRule="auto"/>
        <w:rPr>
          <w:rFonts w:ascii="宋体" w:hAnsi="宋体" w:cs="宋体"/>
          <w:szCs w:val="21"/>
        </w:rPr>
      </w:pPr>
      <w:r>
        <w:rPr>
          <w:rFonts w:ascii="宋体" w:hAnsi="宋体" w:cs="宋体" w:hint="eastAsia"/>
          <w:szCs w:val="21"/>
        </w:rPr>
        <w:t>自收文之日起七个工作日内。</w:t>
      </w:r>
    </w:p>
    <w:p>
      <w:pPr>
        <w:spacing w:line="360" w:lineRule="auto"/>
        <w:rPr>
          <w:rFonts w:ascii="宋体" w:hAnsi="宋体" w:cs="宋体"/>
          <w:szCs w:val="21"/>
        </w:rPr>
      </w:pPr>
      <w:r>
        <w:rPr>
          <w:rFonts w:ascii="宋体" w:hAnsi="宋体" w:cs="宋体" w:hint="eastAsia"/>
          <w:szCs w:val="21"/>
        </w:rPr>
        <w:t>52.8投诉</w:t>
      </w:r>
    </w:p>
    <w:p>
      <w:pPr>
        <w:spacing w:line="360" w:lineRule="auto"/>
        <w:rPr>
          <w:rFonts w:ascii="宋体" w:hAnsi="宋体" w:cs="宋体"/>
          <w:szCs w:val="21"/>
        </w:rPr>
      </w:pPr>
      <w:r>
        <w:rPr>
          <w:rFonts w:ascii="宋体" w:hAnsi="宋体" w:cs="宋体" w:hint="eastAsia"/>
          <w:szCs w:val="21"/>
        </w:rPr>
        <w:t>对质疑答复不满意或者未在规定时间内答复的，提出质疑的供应商可以在答复期满后15个工作日内向同级财政部门投诉。</w:t>
      </w:r>
    </w:p>
    <w:p>
      <w:pPr>
        <w:spacing w:line="360" w:lineRule="auto"/>
        <w:rPr>
          <w:rFonts w:ascii="宋体" w:hAnsi="宋体" w:cs="宋体"/>
          <w:szCs w:val="21"/>
        </w:rPr>
      </w:pPr>
      <w:r>
        <w:rPr>
          <w:rFonts w:ascii="宋体" w:hAnsi="宋体" w:cs="宋体" w:hint="eastAsia"/>
          <w:szCs w:val="21"/>
        </w:rPr>
        <w:t>53. 质疑后续处理</w:t>
      </w:r>
    </w:p>
    <w:p>
      <w:pPr>
        <w:spacing w:line="360" w:lineRule="auto"/>
        <w:rPr>
          <w:rFonts w:ascii="宋体" w:hAnsi="宋体" w:cs="宋体"/>
          <w:szCs w:val="21"/>
        </w:rPr>
      </w:pPr>
      <w:r>
        <w:rPr>
          <w:rFonts w:ascii="宋体" w:hAnsi="宋体" w:cs="宋体" w:hint="eastAsia"/>
          <w:szCs w:val="21"/>
        </w:rPr>
        <w:t>53.1供应商质疑不成立，或者成立但未对中标、成交结果构成影响的，继续开展采购活动。</w:t>
      </w:r>
    </w:p>
    <w:p>
      <w:pPr>
        <w:spacing w:line="360" w:lineRule="auto"/>
        <w:rPr>
          <w:rFonts w:ascii="宋体" w:hAnsi="宋体" w:cs="宋体"/>
        </w:rPr>
      </w:pPr>
      <w:r>
        <w:rPr>
          <w:rFonts w:ascii="宋体" w:hAnsi="宋体" w:cs="宋体" w:hint="eastAsia"/>
          <w:szCs w:val="21"/>
        </w:rPr>
        <w:t>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rPr>
          <w:rFonts w:ascii="宋体" w:hAnsi="宋体" w:cs="宋体"/>
        </w:rPr>
      </w:pPr>
      <w:bookmarkEnd w:id="84"/>
    </w:p>
    <w:p/>
    <w:p/>
    <w:p/>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FZXBSK--GBK1-0">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312"/>
        </w:tabs>
      </w:pPr>
    </w:lvl>
  </w:abstractNum>
  <w:abstractNum w:abstractNumId="1">
    <w:nsid w:val="00000002"/>
    <w:multiLevelType w:val="singleLevel"/>
    <w:tmpl w:val="00000002"/>
    <w:lvl w:ilvl="0">
      <w:start w:val="2"/>
      <w:numFmt w:val="chineseCounting"/>
      <w:suff w:val="nothing"/>
      <w:lvlText w:val="%1、"/>
      <w:lvlJc w:val="left"/>
      <w:rPr>
        <w:rFonts w:hint="eastAsia"/>
      </w:rPr>
    </w:lvl>
  </w:abstractNum>
  <w:abstractNum w:abstractNumId="2">
    <w:nsid w:val="00000003"/>
    <w:multiLevelType w:val="singleLevel"/>
    <w:tmpl w:val="00000003"/>
    <w:lvl w:ilvl="0">
      <w:start w:val="2"/>
      <w:numFmt w:val="decimal"/>
      <w:suff w:val="space"/>
      <w:lvlText w:val="%1."/>
      <w:lvlJc w:val="left"/>
    </w:lvl>
  </w:abstractNum>
  <w:abstractNum w:abstractNumId="3">
    <w:nsid w:val="00000004"/>
    <w:multiLevelType w:val="singleLevel"/>
    <w:tmpl w:val="00000004"/>
    <w:lvl w:ilvl="0">
      <w:start w:val="2"/>
      <w:numFmt w:val="decimal"/>
      <w:suff w:val="nothing"/>
      <w:lvlText w:val="%1、"/>
      <w:lvlJc w:val="left"/>
      <w:pPr>
        <w:ind w:left="630" w:firstLine="0"/>
      </w:pPr>
    </w:lvl>
  </w:abstractNum>
  <w:abstractNum w:abstractNumId="4">
    <w:nsid w:val="00000005"/>
    <w:multiLevelType w:val="singleLevel"/>
    <w:tmpl w:val="00000005"/>
    <w:lvl w:ilvl="0">
      <w:start w:val="1"/>
      <w:numFmt w:val="chineseCounting"/>
      <w:suff w:val="nothing"/>
      <w:lvlText w:val="（%1）"/>
      <w:lvlJc w:val="left"/>
      <w:pPr>
        <w:ind w:left="0" w:firstLine="420"/>
      </w:pPr>
      <w:rPr>
        <w:rFonts w:hint="eastAsia"/>
      </w:rPr>
    </w:lvl>
  </w:abstractNum>
  <w:abstractNum w:abstractNumId="5">
    <w:nsid w:val="00000006"/>
    <w:multiLevelType w:val="singleLevel"/>
    <w:tmpl w:val="00000006"/>
    <w:lvl w:ilvl="0">
      <w:start w:val="1"/>
      <w:numFmt w:val="chineseCounting"/>
      <w:suff w:val="nothing"/>
      <w:lvlText w:val="（%1）"/>
      <w:lvlJc w:val="left"/>
      <w:pPr>
        <w:ind w:left="0" w:firstLine="420"/>
      </w:pPr>
      <w:rPr>
        <w:rFonts w:hint="eastAsia"/>
      </w:rPr>
    </w:lvl>
  </w:abstractNum>
  <w:abstractNum w:abstractNumId="6">
    <w:nsid w:val="00000007"/>
    <w:multiLevelType w:val="singleLevel"/>
    <w:tmpl w:val="00000007"/>
    <w:lvl w:ilvl="0">
      <w:start w:val="1"/>
      <w:numFmt w:val="chineseCounting"/>
      <w:suff w:val="nothing"/>
      <w:lvlText w:val="（%1）"/>
      <w:lvlJc w:val="left"/>
      <w:pPr>
        <w:ind w:left="0" w:firstLine="420"/>
      </w:pPr>
      <w:rPr>
        <w:rFonts w:hint="eastAsia"/>
      </w:rPr>
    </w:lvl>
  </w:abstractNum>
  <w:abstractNum w:abstractNumId="7">
    <w:nsid w:val="00000008"/>
    <w:multiLevelType w:val="singleLevel"/>
    <w:tmpl w:val="00000008"/>
    <w:lvl w:ilvl="0">
      <w:start w:val="1"/>
      <w:numFmt w:val="chineseCounting"/>
      <w:suff w:val="nothing"/>
      <w:lvlText w:val="（%1）"/>
      <w:lvlJc w:val="left"/>
      <w:pPr>
        <w:ind w:left="0" w:firstLine="420"/>
      </w:pPr>
      <w:rPr>
        <w:rFonts w:hint="eastAsia"/>
      </w:rPr>
    </w:lvl>
  </w:abstractNum>
  <w:abstractNum w:abstractNumId="8">
    <w:nsid w:val="00000009"/>
    <w:multiLevelType w:val="singleLevel"/>
    <w:tmpl w:val="00000009"/>
    <w:lvl w:ilvl="0">
      <w:start w:val="1"/>
      <w:numFmt w:val="chineseCounting"/>
      <w:suff w:val="nothing"/>
      <w:lvlText w:val="（%1）"/>
      <w:lvlJc w:val="left"/>
      <w:pPr>
        <w:ind w:left="0" w:firstLine="420"/>
      </w:pPr>
      <w:rPr>
        <w:rFonts w:hint="eastAsia"/>
      </w:rPr>
    </w:lvl>
  </w:abstractNum>
  <w:abstractNum w:abstractNumId="9">
    <w:nsid w:val="0000000A"/>
    <w:multiLevelType w:val="singleLevel"/>
    <w:tmpl w:val="0000000A"/>
    <w:lvl w:ilvl="0">
      <w:start w:val="1"/>
      <w:numFmt w:val="chineseCounting"/>
      <w:suff w:val="nothing"/>
      <w:lvlText w:val="%1、"/>
      <w:lvlJc w:val="left"/>
      <w:pPr>
        <w:ind w:left="0" w:firstLine="420"/>
      </w:pPr>
      <w:rPr>
        <w:rFonts w:hint="eastAsia"/>
      </w:rPr>
    </w:lvl>
  </w:abstractNum>
  <w:abstractNum w:abstractNumId="10">
    <w:nsid w:val="0000000B"/>
    <w:multiLevelType w:val="multilevel"/>
    <w:tmpl w:val="0000000B"/>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
    <w:qFormat/>
    <w:pPr>
      <w:spacing w:before="340" w:after="330" w:line="360" w:lineRule="auto"/>
      <w:jc w:val="center"/>
      <w:outlineLvl w:val="0"/>
    </w:pPr>
    <w:rPr>
      <w:rFonts w:eastAsia="黑体"/>
      <w:kern w:val="44"/>
      <w:szCs w:val="44"/>
    </w:rPr>
  </w:style>
  <w:style w:type="paragraph" w:styleId="Heading2">
    <w:name w:val="heading 2"/>
    <w:basedOn w:val="Normal"/>
    <w:next w:val="Normal"/>
    <w:link w:val="2"/>
    <w:qFormat/>
    <w:pPr>
      <w:adjustRightInd w:val="0"/>
      <w:jc w:val="center"/>
      <w:textAlignment w:val="baseline"/>
      <w:outlineLvl w:val="1"/>
    </w:pPr>
    <w:rPr>
      <w:kern w:val="0"/>
      <w:sz w:val="24"/>
      <w:szCs w:val="20"/>
    </w:rPr>
  </w:style>
  <w:style w:type="paragraph" w:styleId="Heading3">
    <w:name w:val="heading 3"/>
    <w:basedOn w:val="Heading4"/>
    <w:next w:val="Normal"/>
    <w:link w:val="3"/>
    <w:uiPriority w:val="9"/>
    <w:qFormat/>
    <w:pPr>
      <w:spacing w:before="260" w:after="260" w:line="240" w:lineRule="auto"/>
      <w:outlineLvl w:val="2"/>
    </w:pPr>
    <w:rPr>
      <w:rFonts w:ascii="宋体" w:eastAsia="宋体" w:hAnsi="宋体"/>
      <w:szCs w:val="32"/>
    </w:rPr>
  </w:style>
  <w:style w:type="paragraph" w:styleId="Heading4">
    <w:name w:val="heading 4"/>
    <w:basedOn w:val="Normal"/>
    <w:next w:val="Normal"/>
    <w:link w:val="4"/>
    <w:uiPriority w:val="9"/>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qFormat/>
    <w:pPr>
      <w:spacing w:beforeAutospacing="1" w:afterAutospacing="1"/>
      <w:jc w:val="left"/>
    </w:pPr>
    <w:rPr>
      <w:kern w:val="0"/>
      <w:sz w:val="24"/>
    </w:rPr>
  </w:style>
  <w:style w:type="character" w:customStyle="1" w:styleId="4">
    <w:name w:val="标题 4 字符"/>
    <w:link w:val="Heading4"/>
    <w:uiPriority w:val="9"/>
    <w:qFormat/>
    <w:rPr>
      <w:rFonts w:ascii="Arial" w:eastAsia="黑体" w:hAnsi="Arial"/>
      <w:b/>
      <w:bCs/>
      <w:kern w:val="2"/>
      <w:sz w:val="28"/>
      <w:szCs w:val="28"/>
      <w:lang w:val="en-US" w:eastAsia="zh-CN" w:bidi="ar-SA"/>
    </w:rPr>
  </w:style>
  <w:style w:type="character" w:customStyle="1" w:styleId="3">
    <w:name w:val="标题 3 字符"/>
    <w:link w:val="Heading3"/>
    <w:uiPriority w:val="9"/>
    <w:qFormat/>
    <w:rPr>
      <w:rFonts w:ascii="宋体" w:eastAsia="宋体" w:hAnsi="宋体"/>
      <w:b/>
      <w:bCs/>
      <w:kern w:val="2"/>
      <w:sz w:val="28"/>
      <w:szCs w:val="32"/>
      <w:lang w:val="en-US" w:eastAsia="zh-CN" w:bidi="ar-SA"/>
    </w:rPr>
  </w:style>
  <w:style w:type="character" w:customStyle="1" w:styleId="1">
    <w:name w:val="标题 1 字符"/>
    <w:link w:val="Heading1"/>
    <w:qFormat/>
    <w:rPr>
      <w:rFonts w:ascii="宋体" w:eastAsia="黑体" w:hAnsi="宋体"/>
      <w:b/>
      <w:bCs/>
      <w:kern w:val="44"/>
      <w:sz w:val="28"/>
      <w:szCs w:val="44"/>
      <w:lang w:val="en-US" w:eastAsia="zh-CN" w:bidi="ar-SA"/>
    </w:rPr>
  </w:style>
  <w:style w:type="character" w:customStyle="1" w:styleId="2">
    <w:name w:val="标题 2 字符"/>
    <w:link w:val="Heading2"/>
    <w:qFormat/>
    <w:rPr>
      <w:rFonts w:ascii="宋体" w:eastAsia="宋体" w:hAnsi="宋体"/>
      <w:b/>
      <w:bCs/>
      <w:sz w:val="24"/>
      <w:lang w:val="en-US" w:eastAsia="zh-CN" w:bidi="ar-SA"/>
    </w:rPr>
  </w:style>
  <w:style w:type="paragraph" w:styleId="NormalIndent">
    <w:name w:val="Normal Indent"/>
    <w:basedOn w:val="Normal"/>
    <w:link w:val="a"/>
    <w:qFormat/>
    <w:pPr>
      <w:ind w:firstLine="420"/>
    </w:pPr>
    <w:rPr>
      <w:szCs w:val="20"/>
    </w:rPr>
  </w:style>
  <w:style w:type="character" w:customStyle="1" w:styleId="a">
    <w:name w:val="正文缩进 字符"/>
    <w:link w:val="NormalIndent"/>
    <w:qFormat/>
    <w:rPr>
      <w:rFonts w:eastAsia="宋体"/>
      <w:kern w:val="2"/>
      <w:sz w:val="21"/>
      <w:lang w:val="en-US" w:eastAsia="zh-CN" w:bidi="ar-SA"/>
    </w:rPr>
  </w:style>
  <w:style w:type="paragraph" w:styleId="CommentText">
    <w:name w:val="annotation text"/>
    <w:basedOn w:val="Normal"/>
    <w:link w:val="a0"/>
    <w:uiPriority w:val="99"/>
    <w:semiHidden/>
    <w:qFormat/>
    <w:pPr>
      <w:autoSpaceDE w:val="0"/>
      <w:autoSpaceDN w:val="0"/>
      <w:adjustRightInd w:val="0"/>
      <w:jc w:val="left"/>
      <w:textAlignment w:val="baseline"/>
    </w:pPr>
    <w:rPr>
      <w:rFonts w:ascii="宋体"/>
      <w:kern w:val="0"/>
      <w:sz w:val="34"/>
      <w:szCs w:val="20"/>
    </w:rPr>
  </w:style>
  <w:style w:type="character" w:customStyle="1" w:styleId="a0">
    <w:name w:val="批注文字 字符"/>
    <w:basedOn w:val="DefaultParagraphFont"/>
    <w:link w:val="CommentText"/>
    <w:uiPriority w:val="99"/>
    <w:semiHidden/>
    <w:qFormat/>
    <w:rPr>
      <w:rFonts w:ascii="宋体"/>
      <w:sz w:val="34"/>
    </w:rPr>
  </w:style>
  <w:style w:type="paragraph" w:styleId="BodyText">
    <w:name w:val="Body Text"/>
    <w:basedOn w:val="Normal"/>
    <w:next w:val="Normal"/>
    <w:link w:val="a1"/>
    <w:qFormat/>
    <w:pPr>
      <w:spacing w:line="360" w:lineRule="auto"/>
    </w:pPr>
    <w:rPr>
      <w:b/>
      <w:bCs/>
      <w:sz w:val="24"/>
    </w:rPr>
  </w:style>
  <w:style w:type="character" w:customStyle="1" w:styleId="a1">
    <w:name w:val="正文文本 字符"/>
    <w:link w:val="BodyText"/>
    <w:qFormat/>
    <w:rPr>
      <w:rFonts w:eastAsia="宋体"/>
      <w:b/>
      <w:bCs/>
      <w:kern w:val="2"/>
      <w:sz w:val="24"/>
      <w:szCs w:val="24"/>
      <w:lang w:val="en-US" w:eastAsia="zh-CN" w:bidi="ar-SA"/>
    </w:rPr>
  </w:style>
  <w:style w:type="character" w:customStyle="1" w:styleId="3Char">
    <w:name w:val="标题 3 Char"/>
    <w:qFormat/>
    <w:rPr>
      <w:rFonts w:ascii="黑体" w:eastAsia="黑体"/>
      <w:bCs/>
      <w:sz w:val="3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semiHidden/>
    <w:qFormat/>
    <w:rPr>
      <w:szCs w:val="20"/>
    </w:rPr>
  </w:style>
  <w:style w:type="paragraph" w:styleId="Index1">
    <w:name w:val="index 1"/>
    <w:basedOn w:val="Normal"/>
    <w:next w:val="Normal"/>
    <w:semiHidden/>
    <w:qFormat/>
    <w:pPr>
      <w:tabs>
        <w:tab w:val="left" w:pos="3360"/>
      </w:tabs>
      <w:spacing w:line="520" w:lineRule="exact"/>
      <w:ind w:left="419" w:hanging="314" w:leftChars="50" w:hangingChars="131"/>
      <w:jc w:val="center"/>
      <w:outlineLvl w:val="3"/>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TotalTime>0</TotalTime>
  <Pages>73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